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lineRule="atLeast" w:line="240" w:before="0" w:after="283"/>
        <w:rPr/>
      </w:pPr>
      <w:hyperlink w:anchor="toc">
        <w:bookmarkStart w:id="0" w:name="d120247d10k.htm"/>
        <w:bookmarkStart w:id="1" w:name="ksd120247d10k"/>
        <w:bookmarkEnd w:id="0"/>
        <w:bookmarkEnd w:id="1"/>
        <w:r>
          <w:rPr>
            <w:rStyle w:val="InternetLink"/>
            <w:b/>
            <w:sz w:val="20"/>
          </w:rPr>
          <w:t>Table of Contents</w:t>
        </w:r>
      </w:hyperlink>
    </w:p>
    <w:p>
      <w:pPr>
        <w:pStyle w:val="TextBody"/>
        <w:spacing w:lineRule="atLeast" w:line="141" w:before="0" w:after="0"/>
        <w:jc w:val="left"/>
        <w:rPr>
          <w:spacing w:val="0"/>
        </w:rPr>
      </w:pPr>
      <w:r>
        <w:rPr>
          <w:spacing w:val="0"/>
        </w:rPr>
        <w:t> </w:t>
      </w:r>
    </w:p>
    <w:p>
      <w:pPr>
        <w:pStyle w:val="TextBody"/>
        <w:spacing w:lineRule="atLeast" w:line="141" w:before="0" w:after="40"/>
        <w:jc w:val="left"/>
        <w:rPr>
          <w:spacing w:val="0"/>
        </w:rPr>
      </w:pPr>
      <w:r>
        <w:rPr>
          <w:spacing w:val="0"/>
        </w:rPr>
        <w:t> </w:t>
      </w:r>
    </w:p>
    <w:p>
      <w:pPr>
        <w:pStyle w:val="TextBody"/>
        <w:spacing w:before="80" w:after="0"/>
        <w:jc w:val="center"/>
        <w:rPr>
          <w:rFonts w:ascii="Times New Roman" w:hAnsi="Times New Roman"/>
          <w:b/>
          <w:spacing w:val="0"/>
          <w:sz w:val="36"/>
        </w:rPr>
      </w:pPr>
      <w:r>
        <w:rPr>
          <w:rFonts w:ascii="Times New Roman" w:hAnsi="Times New Roman"/>
          <w:b/>
          <w:spacing w:val="0"/>
          <w:sz w:val="36"/>
        </w:rPr>
        <w:t xml:space="preserve">UNITED STATES </w:t>
      </w:r>
    </w:p>
    <w:p>
      <w:pPr>
        <w:pStyle w:val="TextBody"/>
        <w:spacing w:before="0" w:after="0"/>
        <w:jc w:val="center"/>
        <w:rPr>
          <w:rFonts w:ascii="Times New Roman" w:hAnsi="Times New Roman"/>
          <w:b/>
          <w:spacing w:val="0"/>
          <w:sz w:val="36"/>
        </w:rPr>
      </w:pPr>
      <w:r>
        <w:rPr>
          <w:rFonts w:ascii="Times New Roman" w:hAnsi="Times New Roman"/>
          <w:b/>
          <w:spacing w:val="0"/>
          <w:sz w:val="36"/>
        </w:rPr>
        <w:t xml:space="preserve">SECURITIES AND EXCHANGE COMMISSION </w:t>
      </w:r>
    </w:p>
    <w:p>
      <w:pPr>
        <w:pStyle w:val="TextBody"/>
        <w:spacing w:before="0" w:after="0"/>
        <w:jc w:val="center"/>
        <w:rPr>
          <w:rFonts w:ascii="Times New Roman" w:hAnsi="Times New Roman"/>
          <w:b/>
          <w:spacing w:val="0"/>
          <w:sz w:val="24"/>
        </w:rPr>
      </w:pPr>
      <w:r>
        <w:rPr>
          <w:rFonts w:ascii="Times New Roman" w:hAnsi="Times New Roman"/>
          <w:b/>
          <w:spacing w:val="0"/>
          <w:sz w:val="24"/>
        </w:rPr>
        <w:t xml:space="preserve">Washington, D.C. 20549 </w:t>
      </w:r>
    </w:p>
    <w:p>
      <w:pPr>
        <w:pStyle w:val="TextBody"/>
        <w:spacing w:before="0" w:after="0"/>
        <w:jc w:val="left"/>
        <w:rPr>
          <w:spacing w:val="0"/>
        </w:rPr>
      </w:pPr>
      <w:r>
        <w:rPr>
          <w:spacing w:val="0"/>
        </w:rPr>
        <w:t> </w:t>
      </w:r>
    </w:p>
    <w:p>
      <w:pPr>
        <w:pStyle w:val="TextBody"/>
        <w:spacing w:lineRule="atLeast" w:line="141" w:before="0" w:after="40"/>
        <w:ind w:left="0" w:right="0" w:hanging="0"/>
        <w:jc w:val="center"/>
        <w:rPr>
          <w:spacing w:val="0"/>
        </w:rPr>
      </w:pPr>
      <w:r>
        <w:rPr>
          <w:spacing w:val="0"/>
        </w:rPr>
        <w:t> </w:t>
      </w:r>
    </w:p>
    <w:p>
      <w:pPr>
        <w:pStyle w:val="TextBody"/>
        <w:spacing w:before="40" w:after="0"/>
        <w:jc w:val="center"/>
        <w:rPr>
          <w:rFonts w:ascii="Times New Roman" w:hAnsi="Times New Roman"/>
          <w:b/>
          <w:sz w:val="36"/>
        </w:rPr>
      </w:pPr>
      <w:r>
        <w:rPr>
          <w:rFonts w:ascii="Times New Roman" w:hAnsi="Times New Roman"/>
          <w:b/>
          <w:sz w:val="36"/>
        </w:rPr>
        <w:t xml:space="preserve">Form </w:t>
      </w:r>
    </w:p>
    <w:p>
      <w:pPr>
        <w:pStyle w:val="TextBody"/>
        <w:spacing w:before="40" w:after="0"/>
        <w:jc w:val="center"/>
        <w:rPr>
          <w:rFonts w:ascii="Times New Roman" w:hAnsi="Times New Roman"/>
          <w:b/>
          <w:spacing w:val="0"/>
          <w:sz w:val="36"/>
        </w:rPr>
      </w:pPr>
      <w:r>
        <w:rPr>
          <w:rFonts w:ascii="Times New Roman" w:hAnsi="Times New Roman"/>
          <w:b/>
          <w:spacing w:val="0"/>
          <w:sz w:val="36"/>
        </w:rPr>
        <w:t>10-K</w:t>
      </w:r>
    </w:p>
    <w:p>
      <w:pPr>
        <w:pStyle w:val="TextBody"/>
        <w:spacing w:before="0" w:after="0"/>
        <w:jc w:val="left"/>
        <w:rPr>
          <w:spacing w:val="0"/>
        </w:rPr>
      </w:pPr>
      <w:r>
        <w:rPr>
          <w:spacing w:val="0"/>
        </w:rPr>
        <w:t> </w:t>
      </w:r>
    </w:p>
    <w:p>
      <w:pPr>
        <w:pStyle w:val="TextBody"/>
        <w:spacing w:lineRule="atLeast" w:line="141" w:before="0" w:after="40"/>
        <w:ind w:left="0" w:right="0" w:hanging="0"/>
        <w:jc w:val="center"/>
        <w:rPr>
          <w:spacing w:val="0"/>
        </w:rPr>
      </w:pPr>
      <w:r>
        <w:rPr>
          <w:spacing w:val="0"/>
        </w:rPr>
        <w:t> </w:t>
      </w:r>
    </w:p>
    <w:p>
      <w:pPr>
        <w:pStyle w:val="TextBody"/>
        <w:spacing w:before="40" w:after="0"/>
        <w:jc w:val="left"/>
        <w:rPr>
          <w:rFonts w:ascii="Times New Roman" w:hAnsi="Times New Roman"/>
          <w:b/>
          <w:spacing w:val="0"/>
          <w:sz w:val="20"/>
        </w:rPr>
      </w:pPr>
      <w:r>
        <w:rPr>
          <w:rFonts w:ascii="Times New Roman" w:hAnsi="Times New Roman"/>
          <w:b/>
          <w:spacing w:val="0"/>
          <w:sz w:val="20"/>
        </w:rPr>
        <w:t xml:space="preserve">(Mark One) </w:t>
      </w:r>
    </w:p>
    <w:tbl>
      <w:tblPr>
        <w:tblW w:w="10205" w:type="dxa"/>
        <w:jc w:val="left"/>
        <w:tblInd w:w="0" w:type="dxa"/>
        <w:tblCellMar>
          <w:top w:w="0" w:type="dxa"/>
          <w:left w:w="0" w:type="dxa"/>
          <w:bottom w:w="0" w:type="dxa"/>
          <w:right w:w="0" w:type="dxa"/>
        </w:tblCellMar>
      </w:tblPr>
      <w:tblGrid>
        <w:gridCol w:w="245"/>
        <w:gridCol w:w="9960"/>
      </w:tblGrid>
      <w:tr>
        <w:trPr/>
        <w:tc>
          <w:tcPr>
            <w:tcW w:w="245" w:type="dxa"/>
            <w:tcBorders/>
            <w:shd w:fill="auto" w:val="clear"/>
            <w:vAlign w:val="center"/>
          </w:tcPr>
          <w:p>
            <w:pPr>
              <w:pStyle w:val="TableContents"/>
              <w:spacing w:before="0" w:after="283"/>
              <w:jc w:val="left"/>
              <w:rPr/>
            </w:pPr>
            <w:r>
              <w:rPr/>
              <w:t>☒</w:t>
            </w:r>
          </w:p>
        </w:tc>
        <w:tc>
          <w:tcPr>
            <w:tcW w:w="9960" w:type="dxa"/>
            <w:tcBorders/>
            <w:shd w:fill="auto" w:val="clear"/>
            <w:vAlign w:val="center"/>
          </w:tcPr>
          <w:p>
            <w:pPr>
              <w:pStyle w:val="TableContents"/>
              <w:spacing w:before="0" w:after="0"/>
              <w:jc w:val="left"/>
              <w:rPr>
                <w:rFonts w:ascii="Times New Roman" w:hAnsi="Times New Roman"/>
                <w:b/>
                <w:spacing w:val="0"/>
                <w:sz w:val="24"/>
              </w:rPr>
            </w:pPr>
            <w:r>
              <w:rPr>
                <w:rFonts w:ascii="Times New Roman" w:hAnsi="Times New Roman"/>
                <w:b/>
                <w:spacing w:val="0"/>
                <w:sz w:val="24"/>
              </w:rPr>
              <w:t xml:space="preserve">ANNUAL REPORT PURSUANT TO SECTION 13 OR 15(d) OF THE SECURITIES EXCHANGE ACT OF 1934 </w:t>
            </w:r>
          </w:p>
        </w:tc>
      </w:tr>
    </w:tbl>
    <w:p>
      <w:pPr>
        <w:pStyle w:val="TextBody"/>
        <w:spacing w:before="40" w:after="0"/>
        <w:jc w:val="center"/>
        <w:rPr>
          <w:rFonts w:ascii="Times New Roman" w:hAnsi="Times New Roman"/>
          <w:b/>
          <w:spacing w:val="0"/>
          <w:sz w:val="18"/>
        </w:rPr>
      </w:pPr>
      <w:r>
        <w:rPr>
          <w:rFonts w:ascii="Times New Roman" w:hAnsi="Times New Roman"/>
          <w:b/>
          <w:spacing w:val="0"/>
          <w:sz w:val="18"/>
        </w:rPr>
        <w:t xml:space="preserve">FOR THE FISCAL YEAR ENDED January 31, 2021 </w:t>
      </w:r>
    </w:p>
    <w:p>
      <w:pPr>
        <w:pStyle w:val="TextBody"/>
        <w:spacing w:before="40" w:after="0"/>
        <w:jc w:val="center"/>
        <w:rPr>
          <w:rFonts w:ascii="Times New Roman" w:hAnsi="Times New Roman"/>
          <w:b/>
          <w:spacing w:val="0"/>
          <w:sz w:val="18"/>
        </w:rPr>
      </w:pPr>
      <w:r>
        <w:rPr>
          <w:rFonts w:ascii="Times New Roman" w:hAnsi="Times New Roman"/>
          <w:b/>
          <w:spacing w:val="0"/>
          <w:sz w:val="18"/>
        </w:rPr>
        <w:t xml:space="preserve">OR </w:t>
      </w:r>
    </w:p>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245"/>
        <w:gridCol w:w="9960"/>
      </w:tblGrid>
      <w:tr>
        <w:trPr/>
        <w:tc>
          <w:tcPr>
            <w:tcW w:w="245" w:type="dxa"/>
            <w:tcBorders/>
            <w:shd w:fill="auto" w:val="clear"/>
            <w:vAlign w:val="center"/>
          </w:tcPr>
          <w:p>
            <w:pPr>
              <w:pStyle w:val="TableContents"/>
              <w:spacing w:before="0" w:after="283"/>
              <w:jc w:val="left"/>
              <w:rPr/>
            </w:pPr>
            <w:r>
              <w:rPr/>
              <w:t>☐</w:t>
            </w:r>
          </w:p>
        </w:tc>
        <w:tc>
          <w:tcPr>
            <w:tcW w:w="9960" w:type="dxa"/>
            <w:tcBorders/>
            <w:shd w:fill="auto" w:val="clear"/>
            <w:vAlign w:val="center"/>
          </w:tcPr>
          <w:p>
            <w:pPr>
              <w:pStyle w:val="TableContents"/>
              <w:spacing w:before="0" w:after="0"/>
              <w:jc w:val="left"/>
              <w:rPr>
                <w:rFonts w:ascii="Times New Roman" w:hAnsi="Times New Roman"/>
                <w:b/>
                <w:spacing w:val="0"/>
                <w:sz w:val="24"/>
              </w:rPr>
            </w:pPr>
            <w:r>
              <w:rPr>
                <w:rFonts w:ascii="Times New Roman" w:hAnsi="Times New Roman"/>
                <w:b/>
                <w:spacing w:val="0"/>
                <w:sz w:val="24"/>
              </w:rPr>
              <w:t xml:space="preserve">TRANSITION REPORT PURSUANT TO SECTION 13 OR 15(d) OF THE SECURITIES EXCHANGE ACT OF 1934 </w:t>
            </w:r>
          </w:p>
        </w:tc>
      </w:tr>
    </w:tbl>
    <w:p>
      <w:pPr>
        <w:pStyle w:val="TextBody"/>
        <w:spacing w:before="40" w:after="0"/>
        <w:jc w:val="center"/>
        <w:rPr>
          <w:rFonts w:ascii="Times New Roman" w:hAnsi="Times New Roman"/>
          <w:b/>
          <w:sz w:val="18"/>
        </w:rPr>
      </w:pPr>
      <w:r>
        <w:rPr>
          <w:rFonts w:ascii="Times New Roman" w:hAnsi="Times New Roman"/>
          <w:b/>
          <w:sz w:val="18"/>
        </w:rPr>
        <w:t xml:space="preserve">FOR THE TRANSITION PERIOD FROM </w:t>
      </w:r>
    </w:p>
    <w:p>
      <w:pPr>
        <w:pStyle w:val="TextBody"/>
        <w:spacing w:before="40" w:after="0"/>
        <w:jc w:val="center"/>
        <w:rPr>
          <w:spacing w:val="0"/>
          <w:u w:val="single"/>
        </w:rPr>
      </w:pPr>
      <w:r>
        <w:rPr>
          <w:spacing w:val="0"/>
          <w:u w:val="single"/>
        </w:rPr>
        <w:t>                    </w:t>
      </w:r>
    </w:p>
    <w:p>
      <w:pPr>
        <w:pStyle w:val="TextBody"/>
        <w:spacing w:before="40" w:after="0"/>
        <w:jc w:val="center"/>
        <w:rPr>
          <w:rFonts w:ascii="Times New Roman" w:hAnsi="Times New Roman"/>
          <w:b/>
          <w:sz w:val="18"/>
        </w:rPr>
      </w:pPr>
      <w:r>
        <w:rPr>
          <w:rFonts w:ascii="Times New Roman" w:hAnsi="Times New Roman"/>
          <w:b/>
          <w:sz w:val="18"/>
        </w:rPr>
        <w:t xml:space="preserve">TO </w:t>
      </w:r>
    </w:p>
    <w:p>
      <w:pPr>
        <w:pStyle w:val="TextBody"/>
        <w:spacing w:before="40" w:after="0"/>
        <w:jc w:val="center"/>
        <w:rPr>
          <w:spacing w:val="0"/>
          <w:u w:val="single"/>
        </w:rPr>
      </w:pPr>
      <w:r>
        <w:rPr>
          <w:spacing w:val="0"/>
          <w:u w:val="single"/>
        </w:rPr>
        <w:t>                    </w:t>
      </w:r>
    </w:p>
    <w:p>
      <w:pPr>
        <w:pStyle w:val="TextBody"/>
        <w:spacing w:before="40" w:after="0"/>
        <w:jc w:val="center"/>
        <w:rPr>
          <w:rFonts w:ascii="Times New Roman" w:hAnsi="Times New Roman"/>
          <w:b/>
          <w:sz w:val="18"/>
        </w:rPr>
      </w:pPr>
      <w:r>
        <w:rPr>
          <w:rFonts w:ascii="Times New Roman" w:hAnsi="Times New Roman"/>
          <w:b/>
          <w:sz w:val="18"/>
        </w:rPr>
        <w:t xml:space="preserve">Commission File </w:t>
      </w:r>
    </w:p>
    <w:p>
      <w:pPr>
        <w:pStyle w:val="TextBody"/>
        <w:spacing w:before="40" w:after="0"/>
        <w:jc w:val="center"/>
        <w:rPr>
          <w:rFonts w:ascii="Times New Roman" w:hAnsi="Times New Roman"/>
          <w:b/>
          <w:spacing w:val="0"/>
          <w:sz w:val="18"/>
        </w:rPr>
      </w:pPr>
      <w:r>
        <w:rPr>
          <w:rFonts w:ascii="Times New Roman" w:hAnsi="Times New Roman"/>
          <w:b/>
          <w:spacing w:val="0"/>
          <w:sz w:val="18"/>
        </w:rPr>
        <w:t>No. 001-35664</w:t>
      </w:r>
    </w:p>
    <w:p>
      <w:pPr>
        <w:pStyle w:val="TextBody"/>
        <w:spacing w:before="0" w:after="0"/>
        <w:jc w:val="left"/>
        <w:rPr>
          <w:spacing w:val="0"/>
        </w:rPr>
      </w:pPr>
      <w:r>
        <w:rPr>
          <w:spacing w:val="0"/>
        </w:rPr>
        <w:t> </w:t>
      </w:r>
    </w:p>
    <w:p>
      <w:pPr>
        <w:pStyle w:val="TextBody"/>
        <w:spacing w:lineRule="atLeast" w:line="141" w:before="0" w:after="40"/>
        <w:ind w:left="0" w:right="0" w:hanging="0"/>
        <w:jc w:val="center"/>
        <w:rPr>
          <w:spacing w:val="0"/>
        </w:rPr>
      </w:pPr>
      <w:r>
        <w:rPr>
          <w:spacing w:val="0"/>
        </w:rPr>
        <w:t> </w:t>
      </w:r>
    </w:p>
    <w:p>
      <w:pPr>
        <w:pStyle w:val="TextBody"/>
        <w:spacing w:before="40" w:after="0"/>
        <w:jc w:val="center"/>
        <w:rPr>
          <w:rFonts w:ascii="Times New Roman" w:hAnsi="Times New Roman"/>
          <w:b/>
          <w:spacing w:val="0"/>
          <w:sz w:val="48"/>
        </w:rPr>
      </w:pPr>
      <w:r>
        <w:rPr>
          <w:rFonts w:ascii="Times New Roman" w:hAnsi="Times New Roman"/>
          <w:b/>
          <w:spacing w:val="0"/>
          <w:sz w:val="48"/>
        </w:rPr>
        <w:t xml:space="preserve">Dave &amp; Buster’s Entertainment, Inc. </w:t>
      </w:r>
    </w:p>
    <w:p>
      <w:pPr>
        <w:pStyle w:val="TextBody"/>
        <w:spacing w:before="0" w:after="0"/>
        <w:jc w:val="center"/>
        <w:rPr>
          <w:rFonts w:ascii="Times New Roman" w:hAnsi="Times New Roman"/>
          <w:b/>
          <w:spacing w:val="0"/>
          <w:sz w:val="18"/>
        </w:rPr>
      </w:pPr>
      <w:r>
        <w:rPr>
          <w:rFonts w:ascii="Times New Roman" w:hAnsi="Times New Roman"/>
          <w:b/>
          <w:spacing w:val="0"/>
          <w:sz w:val="18"/>
        </w:rPr>
        <w:t xml:space="preserve">(Exact name of registrant as specified in its charter) </w:t>
      </w:r>
    </w:p>
    <w:p>
      <w:pPr>
        <w:pStyle w:val="TextBody"/>
        <w:spacing w:before="0" w:after="0"/>
        <w:jc w:val="left"/>
        <w:rPr>
          <w:spacing w:val="0"/>
        </w:rPr>
      </w:pPr>
      <w:r>
        <w:rPr>
          <w:spacing w:val="0"/>
        </w:rPr>
        <w:t> </w:t>
      </w:r>
    </w:p>
    <w:p>
      <w:pPr>
        <w:pStyle w:val="TextBody"/>
        <w:spacing w:lineRule="atLeast" w:line="141" w:before="0" w:after="40"/>
        <w:ind w:left="0" w:right="0" w:hanging="0"/>
        <w:jc w:val="center"/>
        <w:rPr>
          <w:spacing w:val="0"/>
        </w:rPr>
      </w:pPr>
      <w:r>
        <w:rPr>
          <w:spacing w:val="0"/>
        </w:rPr>
        <w:t> </w:t>
      </w:r>
    </w:p>
    <w:p>
      <w:pPr>
        <w:pStyle w:val="TextBody"/>
        <w:spacing w:before="0" w:after="0"/>
        <w:jc w:val="left"/>
        <w:rPr>
          <w:spacing w:val="0"/>
        </w:rPr>
      </w:pPr>
      <w:r>
        <w:rPr>
          <w:spacing w:val="0"/>
        </w:rPr>
        <w:t> </w:t>
      </w:r>
    </w:p>
    <w:tbl>
      <w:tblPr>
        <w:tblW w:w="8485" w:type="dxa"/>
        <w:jc w:val="left"/>
        <w:tblInd w:w="0" w:type="dxa"/>
        <w:tblCellMar>
          <w:top w:w="0" w:type="dxa"/>
          <w:left w:w="0" w:type="dxa"/>
          <w:bottom w:w="0" w:type="dxa"/>
          <w:right w:w="0" w:type="dxa"/>
        </w:tblCellMar>
      </w:tblPr>
      <w:tblGrid>
        <w:gridCol w:w="5105"/>
        <w:gridCol w:w="60"/>
        <w:gridCol w:w="3320"/>
      </w:tblGrid>
      <w:tr>
        <w:trPr/>
        <w:tc>
          <w:tcPr>
            <w:tcW w:w="510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320" w:type="dxa"/>
            <w:tcBorders/>
            <w:shd w:fill="auto" w:val="clear"/>
            <w:vAlign w:val="center"/>
          </w:tcPr>
          <w:p>
            <w:pPr>
              <w:pStyle w:val="TableContents"/>
              <w:spacing w:before="0" w:after="283"/>
              <w:rPr>
                <w:sz w:val="4"/>
                <w:szCs w:val="4"/>
              </w:rPr>
            </w:pPr>
            <w:r>
              <w:rPr>
                <w:sz w:val="4"/>
                <w:szCs w:val="4"/>
              </w:rPr>
            </w:r>
          </w:p>
        </w:tc>
      </w:tr>
      <w:tr>
        <w:trPr/>
        <w:tc>
          <w:tcPr>
            <w:tcW w:w="5105" w:type="dxa"/>
            <w:tcBorders/>
            <w:shd w:fill="auto" w:val="clear"/>
            <w:vAlign w:val="center"/>
          </w:tcPr>
          <w:p>
            <w:pPr>
              <w:pStyle w:val="TableContents"/>
              <w:spacing w:before="0" w:after="0"/>
              <w:jc w:val="center"/>
              <w:rPr>
                <w:b/>
                <w:spacing w:val="0"/>
              </w:rPr>
            </w:pPr>
            <w:r>
              <w:rPr>
                <w:b/>
                <w:spacing w:val="0"/>
              </w:rPr>
              <w:t>Delaware</w:t>
            </w:r>
          </w:p>
        </w:tc>
        <w:tc>
          <w:tcPr>
            <w:tcW w:w="60" w:type="dxa"/>
            <w:tcBorders/>
            <w:shd w:fill="auto" w:val="clear"/>
            <w:vAlign w:val="center"/>
          </w:tcPr>
          <w:p>
            <w:pPr>
              <w:pStyle w:val="TableContents"/>
              <w:spacing w:before="0" w:after="283"/>
              <w:rPr/>
            </w:pPr>
            <w:r>
              <w:rPr/>
              <w:t> </w:t>
            </w:r>
          </w:p>
        </w:tc>
        <w:tc>
          <w:tcPr>
            <w:tcW w:w="3320" w:type="dxa"/>
            <w:tcBorders/>
            <w:shd w:fill="auto" w:val="clear"/>
            <w:vAlign w:val="center"/>
          </w:tcPr>
          <w:p>
            <w:pPr>
              <w:pStyle w:val="TableContents"/>
              <w:spacing w:before="0" w:after="0"/>
              <w:jc w:val="center"/>
              <w:rPr>
                <w:b/>
                <w:spacing w:val="0"/>
              </w:rPr>
            </w:pPr>
            <w:r>
              <w:rPr>
                <w:b/>
                <w:spacing w:val="0"/>
              </w:rPr>
              <w:t>35-2382255</w:t>
            </w:r>
          </w:p>
        </w:tc>
      </w:tr>
      <w:tr>
        <w:trPr/>
        <w:tc>
          <w:tcPr>
            <w:tcW w:w="5105" w:type="dxa"/>
            <w:tcBorders/>
            <w:shd w:fill="auto" w:val="clear"/>
            <w:vAlign w:val="center"/>
          </w:tcPr>
          <w:p>
            <w:pPr>
              <w:pStyle w:val="TableContents"/>
              <w:spacing w:before="0" w:after="0"/>
              <w:jc w:val="center"/>
              <w:rPr>
                <w:b/>
                <w:spacing w:val="0"/>
              </w:rPr>
            </w:pPr>
            <w:r>
              <w:rPr>
                <w:b/>
                <w:spacing w:val="0"/>
              </w:rPr>
              <w:t>(State of Incorporation)</w:t>
            </w:r>
          </w:p>
        </w:tc>
        <w:tc>
          <w:tcPr>
            <w:tcW w:w="60" w:type="dxa"/>
            <w:tcBorders/>
            <w:shd w:fill="auto" w:val="clear"/>
            <w:vAlign w:val="center"/>
          </w:tcPr>
          <w:p>
            <w:pPr>
              <w:pStyle w:val="TableContents"/>
              <w:spacing w:before="0" w:after="283"/>
              <w:rPr/>
            </w:pPr>
            <w:r>
              <w:rPr/>
              <w:t> </w:t>
            </w:r>
          </w:p>
        </w:tc>
        <w:tc>
          <w:tcPr>
            <w:tcW w:w="3320" w:type="dxa"/>
            <w:tcBorders/>
            <w:shd w:fill="auto" w:val="clear"/>
            <w:vAlign w:val="center"/>
          </w:tcPr>
          <w:p>
            <w:pPr>
              <w:pStyle w:val="TableContents"/>
              <w:spacing w:before="0" w:after="0"/>
              <w:jc w:val="center"/>
              <w:rPr>
                <w:b/>
                <w:spacing w:val="0"/>
              </w:rPr>
            </w:pPr>
            <w:r>
              <w:rPr>
                <w:b/>
                <w:spacing w:val="0"/>
              </w:rPr>
              <w:t>(I.R.S. Employer ID)</w:t>
            </w:r>
          </w:p>
        </w:tc>
      </w:tr>
      <w:tr>
        <w:trPr/>
        <w:tc>
          <w:tcPr>
            <w:tcW w:w="5105" w:type="dxa"/>
            <w:tcBorders/>
            <w:shd w:fill="auto" w:val="clear"/>
            <w:vAlign w:val="center"/>
          </w:tcPr>
          <w:p>
            <w:pPr>
              <w:pStyle w:val="TableContents"/>
              <w:spacing w:before="0" w:after="283"/>
              <w:rPr/>
            </w:pPr>
            <w:r>
              <w:rPr/>
              <w:t> </w:t>
            </w:r>
          </w:p>
        </w:tc>
        <w:tc>
          <w:tcPr>
            <w:tcW w:w="3380" w:type="dxa"/>
            <w:gridSpan w:val="2"/>
            <w:tcBorders/>
            <w:shd w:fill="auto" w:val="clear"/>
            <w:vAlign w:val="center"/>
          </w:tcPr>
          <w:p>
            <w:pPr>
              <w:pStyle w:val="TableContents"/>
              <w:spacing w:before="0" w:after="283"/>
              <w:rPr/>
            </w:pPr>
            <w:r>
              <w:rPr/>
              <w:t> </w:t>
            </w:r>
          </w:p>
        </w:tc>
      </w:tr>
      <w:tr>
        <w:trPr/>
        <w:tc>
          <w:tcPr>
            <w:tcW w:w="5105" w:type="dxa"/>
            <w:tcBorders/>
            <w:shd w:fill="auto" w:val="clear"/>
            <w:vAlign w:val="center"/>
          </w:tcPr>
          <w:p>
            <w:pPr>
              <w:pStyle w:val="TableContents"/>
              <w:spacing w:before="0" w:after="0"/>
              <w:jc w:val="center"/>
              <w:rPr>
                <w:b/>
                <w:spacing w:val="0"/>
              </w:rPr>
            </w:pPr>
            <w:r>
              <w:rPr>
                <w:b/>
                <w:spacing w:val="0"/>
              </w:rPr>
              <w:t xml:space="preserve">2481 Mañana Drive, Dallas, </w:t>
            </w:r>
          </w:p>
          <w:p>
            <w:pPr>
              <w:pStyle w:val="TableContents"/>
              <w:spacing w:before="0" w:after="0"/>
              <w:jc w:val="center"/>
              <w:rPr>
                <w:b/>
                <w:spacing w:val="0"/>
              </w:rPr>
            </w:pPr>
            <w:r>
              <w:rPr>
                <w:b/>
                <w:spacing w:val="0"/>
              </w:rPr>
              <w:t>Texas</w:t>
            </w:r>
          </w:p>
          <w:p>
            <w:pPr>
              <w:pStyle w:val="TableContents"/>
              <w:spacing w:before="0" w:after="0"/>
              <w:jc w:val="center"/>
              <w:rPr>
                <w:b/>
                <w:spacing w:val="0"/>
              </w:rPr>
            </w:pPr>
            <w:r>
              <w:rPr>
                <w:b/>
                <w:spacing w:val="0"/>
              </w:rPr>
              <w:t>, 75220</w:t>
            </w:r>
          </w:p>
        </w:tc>
        <w:tc>
          <w:tcPr>
            <w:tcW w:w="60" w:type="dxa"/>
            <w:tcBorders/>
            <w:shd w:fill="auto" w:val="clear"/>
            <w:vAlign w:val="center"/>
          </w:tcPr>
          <w:p>
            <w:pPr>
              <w:pStyle w:val="TableContents"/>
              <w:spacing w:before="0" w:after="283"/>
              <w:rPr/>
            </w:pPr>
            <w:r>
              <w:rPr/>
              <w:t> </w:t>
            </w:r>
          </w:p>
        </w:tc>
        <w:tc>
          <w:tcPr>
            <w:tcW w:w="3320" w:type="dxa"/>
            <w:tcBorders/>
            <w:shd w:fill="auto" w:val="clear"/>
            <w:vAlign w:val="center"/>
          </w:tcPr>
          <w:p>
            <w:pPr>
              <w:pStyle w:val="TableContents"/>
              <w:spacing w:before="0" w:after="0"/>
              <w:jc w:val="center"/>
              <w:rPr>
                <w:b/>
                <w:spacing w:val="0"/>
              </w:rPr>
            </w:pPr>
            <w:r>
              <w:rPr>
                <w:b/>
                <w:spacing w:val="0"/>
              </w:rPr>
              <w:t xml:space="preserve">(214) </w:t>
            </w:r>
          </w:p>
          <w:p>
            <w:pPr>
              <w:pStyle w:val="TableContents"/>
              <w:spacing w:before="0" w:after="0"/>
              <w:jc w:val="center"/>
              <w:rPr>
                <w:b/>
                <w:spacing w:val="0"/>
              </w:rPr>
            </w:pPr>
            <w:r>
              <w:rPr>
                <w:b/>
                <w:spacing w:val="0"/>
              </w:rPr>
              <w:t>357-9588</w:t>
            </w:r>
          </w:p>
        </w:tc>
      </w:tr>
      <w:tr>
        <w:trPr/>
        <w:tc>
          <w:tcPr>
            <w:tcW w:w="5105" w:type="dxa"/>
            <w:tcBorders/>
            <w:shd w:fill="auto" w:val="clear"/>
            <w:vAlign w:val="center"/>
          </w:tcPr>
          <w:p>
            <w:pPr>
              <w:pStyle w:val="TableContents"/>
              <w:spacing w:before="0" w:after="0"/>
              <w:jc w:val="center"/>
              <w:rPr>
                <w:b/>
                <w:spacing w:val="0"/>
              </w:rPr>
            </w:pPr>
            <w:r>
              <w:rPr>
                <w:b/>
                <w:spacing w:val="0"/>
              </w:rPr>
              <w:t>(Address of principal executive offices) (Zip Code)</w:t>
            </w:r>
          </w:p>
        </w:tc>
        <w:tc>
          <w:tcPr>
            <w:tcW w:w="60" w:type="dxa"/>
            <w:tcBorders/>
            <w:shd w:fill="auto" w:val="clear"/>
            <w:vAlign w:val="center"/>
          </w:tcPr>
          <w:p>
            <w:pPr>
              <w:pStyle w:val="TableContents"/>
              <w:spacing w:before="0" w:after="283"/>
              <w:rPr/>
            </w:pPr>
            <w:r>
              <w:rPr/>
              <w:t> </w:t>
            </w:r>
          </w:p>
        </w:tc>
        <w:tc>
          <w:tcPr>
            <w:tcW w:w="3320" w:type="dxa"/>
            <w:tcBorders/>
            <w:shd w:fill="auto" w:val="clear"/>
            <w:vAlign w:val="center"/>
          </w:tcPr>
          <w:p>
            <w:pPr>
              <w:pStyle w:val="TableContents"/>
              <w:spacing w:before="0" w:after="0"/>
              <w:jc w:val="center"/>
              <w:rPr>
                <w:b/>
                <w:spacing w:val="0"/>
              </w:rPr>
            </w:pPr>
            <w:r>
              <w:rPr>
                <w:b/>
                <w:spacing w:val="0"/>
              </w:rPr>
              <w:t>(Registrant’s telephone number)</w:t>
            </w:r>
          </w:p>
        </w:tc>
      </w:tr>
    </w:tbl>
    <w:p>
      <w:pPr>
        <w:pStyle w:val="TextBody"/>
        <w:spacing w:before="40" w:after="0"/>
        <w:jc w:val="center"/>
        <w:rPr>
          <w:rFonts w:ascii="Times New Roman" w:hAnsi="Times New Roman"/>
          <w:b/>
          <w:spacing w:val="0"/>
          <w:sz w:val="18"/>
        </w:rPr>
      </w:pPr>
      <w:r>
        <w:rPr>
          <w:rFonts w:ascii="Times New Roman" w:hAnsi="Times New Roman"/>
          <w:b/>
          <w:spacing w:val="0"/>
          <w:sz w:val="18"/>
        </w:rPr>
        <w:t xml:space="preserve">Securities registered pursuant to Section 12(b) of the Act: </w:t>
      </w:r>
    </w:p>
    <w:p>
      <w:pPr>
        <w:pStyle w:val="TextBody"/>
        <w:spacing w:before="0" w:after="0"/>
        <w:jc w:val="left"/>
        <w:rPr>
          <w:spacing w:val="0"/>
        </w:rPr>
      </w:pPr>
      <w:r>
        <w:rPr>
          <w:spacing w:val="0"/>
        </w:rPr>
        <w:t> </w:t>
      </w:r>
    </w:p>
    <w:tbl>
      <w:tblPr>
        <w:tblW w:w="7515" w:type="dxa"/>
        <w:jc w:val="left"/>
        <w:tblInd w:w="0" w:type="dxa"/>
        <w:tblCellMar>
          <w:top w:w="0" w:type="dxa"/>
          <w:left w:w="0" w:type="dxa"/>
          <w:bottom w:w="0" w:type="dxa"/>
          <w:right w:w="0" w:type="dxa"/>
        </w:tblCellMar>
      </w:tblPr>
      <w:tblGrid>
        <w:gridCol w:w="3380"/>
        <w:gridCol w:w="60"/>
        <w:gridCol w:w="740"/>
        <w:gridCol w:w="60"/>
        <w:gridCol w:w="3275"/>
      </w:tblGrid>
      <w:tr>
        <w:trPr/>
        <w:tc>
          <w:tcPr>
            <w:tcW w:w="33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74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275" w:type="dxa"/>
            <w:tcBorders/>
            <w:shd w:fill="auto" w:val="clear"/>
            <w:vAlign w:val="center"/>
          </w:tcPr>
          <w:p>
            <w:pPr>
              <w:pStyle w:val="TableContents"/>
              <w:spacing w:before="0" w:after="283"/>
              <w:rPr>
                <w:sz w:val="4"/>
                <w:szCs w:val="4"/>
              </w:rPr>
            </w:pPr>
            <w:r>
              <w:rPr>
                <w:sz w:val="4"/>
                <w:szCs w:val="4"/>
              </w:rPr>
            </w:r>
          </w:p>
        </w:tc>
      </w:tr>
      <w:tr>
        <w:trPr/>
        <w:tc>
          <w:tcPr>
            <w:tcW w:w="3380" w:type="dxa"/>
            <w:tcBorders/>
            <w:shd w:fill="auto" w:val="clear"/>
            <w:vAlign w:val="center"/>
          </w:tcPr>
          <w:p>
            <w:pPr>
              <w:pStyle w:val="TableContents"/>
              <w:spacing w:before="0" w:after="20"/>
              <w:jc w:val="center"/>
              <w:rPr>
                <w:rFonts w:ascii="Times New Roman" w:hAnsi="Times New Roman"/>
                <w:b/>
                <w:spacing w:val="0"/>
                <w:sz w:val="16"/>
              </w:rPr>
            </w:pPr>
            <w:r>
              <w:rPr>
                <w:rFonts w:ascii="Times New Roman" w:hAnsi="Times New Roman"/>
                <w:b/>
                <w:spacing w:val="0"/>
                <w:sz w:val="16"/>
              </w:rPr>
              <w:t>Title of each class</w:t>
            </w:r>
          </w:p>
        </w:tc>
        <w:tc>
          <w:tcPr>
            <w:tcW w:w="60" w:type="dxa"/>
            <w:tcBorders/>
            <w:shd w:fill="auto" w:val="clear"/>
            <w:vAlign w:val="center"/>
          </w:tcPr>
          <w:p>
            <w:pPr>
              <w:pStyle w:val="TableContents"/>
              <w:spacing w:before="0" w:after="283"/>
              <w:rPr/>
            </w:pPr>
            <w:r>
              <w:rPr/>
              <w:t> </w:t>
            </w:r>
          </w:p>
        </w:tc>
        <w:tc>
          <w:tcPr>
            <w:tcW w:w="740" w:type="dxa"/>
            <w:tcBorders/>
            <w:shd w:fill="auto" w:val="clear"/>
            <w:vAlign w:val="center"/>
          </w:tcPr>
          <w:p>
            <w:pPr>
              <w:pStyle w:val="TableContents"/>
              <w:spacing w:before="0" w:after="0"/>
              <w:jc w:val="center"/>
              <w:rPr>
                <w:rFonts w:ascii="Times New Roman" w:hAnsi="Times New Roman"/>
                <w:b/>
                <w:spacing w:val="0"/>
                <w:sz w:val="16"/>
              </w:rPr>
            </w:pPr>
            <w:r>
              <w:rPr>
                <w:rFonts w:ascii="Times New Roman" w:hAnsi="Times New Roman"/>
                <w:b/>
                <w:spacing w:val="0"/>
                <w:sz w:val="16"/>
              </w:rPr>
              <w:t>Trading</w:t>
            </w:r>
          </w:p>
          <w:p>
            <w:pPr>
              <w:pStyle w:val="TableContents"/>
              <w:spacing w:before="0" w:after="20"/>
              <w:jc w:val="center"/>
              <w:rPr>
                <w:rFonts w:ascii="Times New Roman" w:hAnsi="Times New Roman"/>
                <w:b/>
                <w:spacing w:val="0"/>
                <w:sz w:val="16"/>
              </w:rPr>
            </w:pPr>
            <w:r>
              <w:rPr>
                <w:rFonts w:ascii="Times New Roman" w:hAnsi="Times New Roman"/>
                <w:b/>
                <w:spacing w:val="0"/>
                <w:sz w:val="16"/>
              </w:rPr>
              <w:t>Symbol(s)</w:t>
            </w:r>
          </w:p>
        </w:tc>
        <w:tc>
          <w:tcPr>
            <w:tcW w:w="60" w:type="dxa"/>
            <w:tcBorders/>
            <w:shd w:fill="auto" w:val="clear"/>
            <w:vAlign w:val="center"/>
          </w:tcPr>
          <w:p>
            <w:pPr>
              <w:pStyle w:val="TableContents"/>
              <w:spacing w:before="0" w:after="283"/>
              <w:rPr/>
            </w:pPr>
            <w:r>
              <w:rPr/>
              <w:t> </w:t>
            </w:r>
          </w:p>
        </w:tc>
        <w:tc>
          <w:tcPr>
            <w:tcW w:w="3275" w:type="dxa"/>
            <w:tcBorders/>
            <w:shd w:fill="auto" w:val="clear"/>
            <w:vAlign w:val="center"/>
          </w:tcPr>
          <w:p>
            <w:pPr>
              <w:pStyle w:val="TableContents"/>
              <w:spacing w:before="0" w:after="0"/>
              <w:jc w:val="center"/>
              <w:rPr>
                <w:rFonts w:ascii="Times New Roman" w:hAnsi="Times New Roman"/>
                <w:b/>
                <w:spacing w:val="0"/>
                <w:sz w:val="16"/>
              </w:rPr>
            </w:pPr>
            <w:r>
              <w:rPr>
                <w:rFonts w:ascii="Times New Roman" w:hAnsi="Times New Roman"/>
                <w:b/>
                <w:spacing w:val="0"/>
                <w:sz w:val="16"/>
              </w:rPr>
              <w:t>Name of each exchange</w:t>
            </w:r>
          </w:p>
          <w:p>
            <w:pPr>
              <w:pStyle w:val="TableContents"/>
              <w:spacing w:before="0" w:after="20"/>
              <w:jc w:val="center"/>
              <w:rPr>
                <w:rFonts w:ascii="Times New Roman" w:hAnsi="Times New Roman"/>
                <w:b/>
                <w:spacing w:val="0"/>
                <w:sz w:val="16"/>
              </w:rPr>
            </w:pPr>
            <w:r>
              <w:rPr>
                <w:rFonts w:ascii="Times New Roman" w:hAnsi="Times New Roman"/>
                <w:b/>
                <w:spacing w:val="0"/>
                <w:sz w:val="16"/>
              </w:rPr>
              <w:t>on which registered</w:t>
            </w:r>
          </w:p>
        </w:tc>
      </w:tr>
      <w:tr>
        <w:trPr/>
        <w:tc>
          <w:tcPr>
            <w:tcW w:w="3380" w:type="dxa"/>
            <w:tcBorders/>
            <w:shd w:fill="auto" w:val="clear"/>
            <w:vAlign w:val="center"/>
          </w:tcPr>
          <w:p>
            <w:pPr>
              <w:pStyle w:val="TableContents"/>
              <w:spacing w:before="0" w:after="0"/>
              <w:jc w:val="center"/>
              <w:rPr>
                <w:b/>
                <w:spacing w:val="0"/>
              </w:rPr>
            </w:pPr>
            <w:r>
              <w:rPr>
                <w:b/>
                <w:spacing w:val="0"/>
              </w:rPr>
              <w:t>Common Stock $0.01 par value</w:t>
            </w:r>
          </w:p>
        </w:tc>
        <w:tc>
          <w:tcPr>
            <w:tcW w:w="60" w:type="dxa"/>
            <w:tcBorders/>
            <w:shd w:fill="auto" w:val="clear"/>
            <w:vAlign w:val="center"/>
          </w:tcPr>
          <w:p>
            <w:pPr>
              <w:pStyle w:val="TableContents"/>
              <w:spacing w:before="0" w:after="283"/>
              <w:rPr/>
            </w:pPr>
            <w:r>
              <w:rPr/>
              <w:t> </w:t>
            </w:r>
          </w:p>
        </w:tc>
        <w:tc>
          <w:tcPr>
            <w:tcW w:w="740" w:type="dxa"/>
            <w:tcBorders/>
            <w:shd w:fill="auto" w:val="clear"/>
            <w:vAlign w:val="center"/>
          </w:tcPr>
          <w:p>
            <w:pPr>
              <w:pStyle w:val="TableContents"/>
              <w:spacing w:before="0" w:after="0"/>
              <w:jc w:val="center"/>
              <w:rPr>
                <w:b/>
                <w:spacing w:val="0"/>
              </w:rPr>
            </w:pPr>
            <w:r>
              <w:rPr>
                <w:b/>
                <w:spacing w:val="0"/>
              </w:rPr>
              <w:t>PLAY</w:t>
            </w:r>
          </w:p>
        </w:tc>
        <w:tc>
          <w:tcPr>
            <w:tcW w:w="60" w:type="dxa"/>
            <w:tcBorders/>
            <w:shd w:fill="auto" w:val="clear"/>
            <w:vAlign w:val="center"/>
          </w:tcPr>
          <w:p>
            <w:pPr>
              <w:pStyle w:val="TableContents"/>
              <w:spacing w:before="0" w:after="283"/>
              <w:rPr/>
            </w:pPr>
            <w:r>
              <w:rPr/>
              <w:t> </w:t>
            </w:r>
          </w:p>
        </w:tc>
        <w:tc>
          <w:tcPr>
            <w:tcW w:w="3275" w:type="dxa"/>
            <w:tcBorders/>
            <w:shd w:fill="auto" w:val="clear"/>
            <w:vAlign w:val="center"/>
          </w:tcPr>
          <w:p>
            <w:pPr>
              <w:pStyle w:val="TableContents"/>
              <w:spacing w:before="0" w:after="0"/>
              <w:jc w:val="center"/>
              <w:rPr>
                <w:b/>
                <w:spacing w:val="0"/>
              </w:rPr>
            </w:pPr>
            <w:r>
              <w:rPr>
                <w:b/>
                <w:spacing w:val="0"/>
              </w:rPr>
              <w:t>NASDAQ Global Select Market</w:t>
            </w:r>
          </w:p>
        </w:tc>
      </w:tr>
      <w:tr>
        <w:trPr/>
        <w:tc>
          <w:tcPr>
            <w:tcW w:w="3380" w:type="dxa"/>
            <w:tcBorders/>
            <w:shd w:fill="auto" w:val="clear"/>
            <w:vAlign w:val="center"/>
          </w:tcPr>
          <w:p>
            <w:pPr>
              <w:pStyle w:val="TableContents"/>
              <w:spacing w:before="0" w:after="0"/>
              <w:jc w:val="center"/>
              <w:rPr>
                <w:b/>
                <w:spacing w:val="0"/>
              </w:rPr>
            </w:pPr>
            <w:r>
              <w:rPr>
                <w:b/>
                <w:spacing w:val="0"/>
              </w:rPr>
              <w:t>Preferred Stock Purchase Rights</w:t>
            </w:r>
          </w:p>
        </w:tc>
        <w:tc>
          <w:tcPr>
            <w:tcW w:w="60" w:type="dxa"/>
            <w:tcBorders/>
            <w:shd w:fill="auto" w:val="clear"/>
            <w:vAlign w:val="center"/>
          </w:tcPr>
          <w:p>
            <w:pPr>
              <w:pStyle w:val="TableContents"/>
              <w:spacing w:before="0" w:after="283"/>
              <w:rPr/>
            </w:pPr>
            <w:r>
              <w:rPr/>
              <w:t> </w:t>
            </w:r>
          </w:p>
        </w:tc>
        <w:tc>
          <w:tcPr>
            <w:tcW w:w="740" w:type="dxa"/>
            <w:tcBorders/>
            <w:shd w:fill="auto" w:val="clear"/>
            <w:vAlign w:val="center"/>
          </w:tcPr>
          <w:p>
            <w:pPr>
              <w:pStyle w:val="TableContents"/>
              <w:spacing w:before="0" w:after="0"/>
              <w:jc w:val="center"/>
              <w:rPr>
                <w:b/>
                <w:spacing w:val="0"/>
              </w:rPr>
            </w:pPr>
            <w:r>
              <w:rPr>
                <w:b/>
                <w:spacing w:val="0"/>
              </w:rPr>
              <w:t>PLAY</w:t>
            </w:r>
          </w:p>
        </w:tc>
        <w:tc>
          <w:tcPr>
            <w:tcW w:w="60" w:type="dxa"/>
            <w:tcBorders/>
            <w:shd w:fill="auto" w:val="clear"/>
            <w:vAlign w:val="center"/>
          </w:tcPr>
          <w:p>
            <w:pPr>
              <w:pStyle w:val="TableContents"/>
              <w:spacing w:before="0" w:after="283"/>
              <w:rPr/>
            </w:pPr>
            <w:r>
              <w:rPr/>
              <w:t> </w:t>
            </w:r>
          </w:p>
        </w:tc>
        <w:tc>
          <w:tcPr>
            <w:tcW w:w="3275" w:type="dxa"/>
            <w:tcBorders/>
            <w:shd w:fill="auto" w:val="clear"/>
            <w:vAlign w:val="center"/>
          </w:tcPr>
          <w:p>
            <w:pPr>
              <w:pStyle w:val="TableContents"/>
              <w:spacing w:before="0" w:after="0"/>
              <w:jc w:val="center"/>
              <w:rPr>
                <w:b/>
                <w:spacing w:val="0"/>
              </w:rPr>
            </w:pPr>
            <w:r>
              <w:rPr>
                <w:b/>
                <w:spacing w:val="0"/>
              </w:rPr>
              <w:t>NASDAQ Global Select Market</w:t>
            </w:r>
          </w:p>
        </w:tc>
      </w:tr>
    </w:tbl>
    <w:p>
      <w:pPr>
        <w:pStyle w:val="TextBody"/>
        <w:spacing w:before="40" w:after="0"/>
        <w:jc w:val="center"/>
        <w:rPr>
          <w:rFonts w:ascii="Times New Roman" w:hAnsi="Times New Roman"/>
          <w:b/>
          <w:spacing w:val="0"/>
          <w:sz w:val="18"/>
        </w:rPr>
      </w:pPr>
      <w:r>
        <w:rPr>
          <w:rFonts w:ascii="Times New Roman" w:hAnsi="Times New Roman"/>
          <w:b/>
          <w:spacing w:val="0"/>
          <w:sz w:val="18"/>
        </w:rPr>
        <w:t xml:space="preserve">Securities registered pursuant to Section 12(g) of the Act: None </w:t>
      </w:r>
    </w:p>
    <w:p>
      <w:pPr>
        <w:pStyle w:val="TextBody"/>
        <w:spacing w:before="0" w:after="0"/>
        <w:jc w:val="left"/>
        <w:rPr>
          <w:spacing w:val="0"/>
        </w:rPr>
      </w:pPr>
      <w:r>
        <w:rPr>
          <w:spacing w:val="0"/>
        </w:rPr>
        <w:t> </w:t>
      </w:r>
    </w:p>
    <w:p>
      <w:pPr>
        <w:pStyle w:val="TextBody"/>
        <w:spacing w:lineRule="atLeast" w:line="141" w:before="0" w:after="40"/>
        <w:ind w:left="0" w:right="0" w:hanging="0"/>
        <w:jc w:val="center"/>
        <w:rPr>
          <w:spacing w:val="0"/>
        </w:rPr>
      </w:pPr>
      <w:r>
        <w:rPr>
          <w:spacing w:val="0"/>
        </w:rPr>
        <w:t> </w:t>
      </w:r>
    </w:p>
    <w:p>
      <w:pPr>
        <w:pStyle w:val="TextBody"/>
        <w:spacing w:before="40" w:after="0"/>
        <w:jc w:val="left"/>
        <w:rPr>
          <w:rFonts w:ascii="Times New Roman" w:hAnsi="Times New Roman"/>
          <w:spacing w:val="0"/>
          <w:sz w:val="18"/>
        </w:rPr>
      </w:pPr>
      <w:r>
        <w:rPr>
          <w:rFonts w:ascii="Times New Roman" w:hAnsi="Times New Roman"/>
          <w:spacing w:val="0"/>
          <w:sz w:val="18"/>
        </w:rPr>
        <w:t>Indicate by checkmark if the registrant is a well-known seasoned issuer, as defined in Rule 405 of the Securities Ac</w:t>
      </w:r>
    </w:p>
    <w:p>
      <w:pPr>
        <w:pStyle w:val="TextBody"/>
        <w:spacing w:before="40" w:after="0"/>
        <w:jc w:val="left"/>
        <w:rPr>
          <w:rFonts w:ascii="Times New Roman" w:hAnsi="Times New Roman"/>
          <w:spacing w:val="0"/>
          <w:sz w:val="18"/>
          <w:highlight w:val="white"/>
        </w:rPr>
      </w:pPr>
      <w:r>
        <w:rPr>
          <w:rFonts w:ascii="Times New Roman" w:hAnsi="Times New Roman"/>
          <w:spacing w:val="0"/>
          <w:sz w:val="18"/>
          <w:highlight w:val="white"/>
        </w:rPr>
        <w:t>t.  </w:t>
      </w:r>
    </w:p>
    <w:p>
      <w:pPr>
        <w:pStyle w:val="TextBody"/>
        <w:spacing w:before="40" w:after="0"/>
        <w:jc w:val="left"/>
        <w:rPr>
          <w:spacing w:val="0"/>
          <w:highlight w:val="white"/>
        </w:rPr>
      </w:pPr>
      <w:r>
        <w:rPr>
          <w:spacing w:val="0"/>
          <w:highlight w:val="white"/>
        </w:rPr>
        <w:t> </w:t>
      </w:r>
    </w:p>
    <w:p>
      <w:pPr>
        <w:pStyle w:val="TextBody"/>
        <w:spacing w:before="40" w:after="0"/>
        <w:jc w:val="left"/>
        <w:rPr>
          <w:spacing w:val="0"/>
          <w:highlight w:val="white"/>
        </w:rPr>
      </w:pPr>
      <w:r>
        <w:rPr>
          <w:spacing w:val="0"/>
          <w:highlight w:val="white"/>
        </w:rPr>
        <w:t>  </w:t>
      </w:r>
      <w:r>
        <w:rPr>
          <w:rFonts w:ascii="Times New Roman" w:hAnsi="Times New Roman"/>
          <w:spacing w:val="0"/>
          <w:sz w:val="18"/>
          <w:highlight w:val="white"/>
        </w:rPr>
        <w:t>Yes</w:t>
      </w:r>
    </w:p>
    <w:p>
      <w:pPr>
        <w:pStyle w:val="TextBody"/>
        <w:spacing w:before="40" w:after="0"/>
        <w:jc w:val="left"/>
        <w:rPr>
          <w:spacing w:val="0"/>
          <w:highlight w:val="white"/>
        </w:rPr>
      </w:pPr>
      <w:r>
        <w:rPr>
          <w:spacing w:val="0"/>
          <w:highlight w:val="white"/>
        </w:rPr>
        <w:t> </w:t>
      </w:r>
    </w:p>
    <w:p>
      <w:pPr>
        <w:pStyle w:val="TextBody"/>
        <w:spacing w:before="40" w:after="0"/>
        <w:jc w:val="left"/>
        <w:rPr>
          <w:spacing w:val="0"/>
          <w:highlight w:val="white"/>
        </w:rPr>
      </w:pPr>
      <w:r>
        <w:rPr>
          <w:spacing w:val="0"/>
          <w:highlight w:val="white"/>
        </w:rPr>
        <w:t> </w:t>
      </w:r>
    </w:p>
    <w:p>
      <w:pPr>
        <w:pStyle w:val="TextBody"/>
        <w:spacing w:before="40" w:after="0"/>
        <w:jc w:val="left"/>
        <w:rPr>
          <w:spacing w:val="0"/>
          <w:highlight w:val="white"/>
        </w:rPr>
      </w:pPr>
      <w:r>
        <w:rPr>
          <w:spacing w:val="0"/>
          <w:highlight w:val="white"/>
        </w:rPr>
        <w:t>☒    </w:t>
      </w:r>
      <w:r>
        <w:rPr>
          <w:rFonts w:ascii="Times New Roman" w:hAnsi="Times New Roman"/>
          <w:spacing w:val="0"/>
          <w:sz w:val="18"/>
          <w:highlight w:val="white"/>
        </w:rPr>
        <w:t>No  ☐</w:t>
      </w:r>
    </w:p>
    <w:p>
      <w:pPr>
        <w:pStyle w:val="TextBody"/>
        <w:spacing w:before="40" w:after="0"/>
        <w:jc w:val="left"/>
        <w:rPr>
          <w:rFonts w:ascii="Times New Roman" w:hAnsi="Times New Roman"/>
          <w:spacing w:val="0"/>
          <w:sz w:val="18"/>
        </w:rPr>
      </w:pPr>
      <w:r>
        <w:rPr>
          <w:rFonts w:ascii="Times New Roman" w:hAnsi="Times New Roman"/>
          <w:spacing w:val="0"/>
          <w:sz w:val="18"/>
        </w:rPr>
        <w:t>Indicate by checkmark if the registrant is not required to file reports pursuant to Section 13 or Section 15(d) of the Exchange Act.    Yes  ☐    No </w:t>
      </w:r>
    </w:p>
    <w:p>
      <w:pPr>
        <w:pStyle w:val="TextBody"/>
        <w:spacing w:before="40" w:after="0"/>
        <w:jc w:val="left"/>
        <w:rPr>
          <w:spacing w:val="0"/>
        </w:rPr>
      </w:pPr>
      <w:r>
        <w:rPr>
          <w:spacing w:val="0"/>
        </w:rPr>
        <w:t> </w:t>
      </w:r>
    </w:p>
    <w:p>
      <w:pPr>
        <w:pStyle w:val="TextBody"/>
        <w:spacing w:before="40" w:after="0"/>
        <w:jc w:val="left"/>
        <w:rPr>
          <w:spacing w:val="0"/>
        </w:rPr>
      </w:pPr>
      <w:r>
        <w:rPr>
          <w:spacing w:val="0"/>
        </w:rPr>
        <w:t xml:space="preserve">☒ </w:t>
      </w:r>
    </w:p>
    <w:p>
      <w:pPr>
        <w:pStyle w:val="TextBody"/>
        <w:spacing w:before="40" w:after="0"/>
        <w:jc w:val="left"/>
        <w:rPr>
          <w:rFonts w:ascii="Times New Roman" w:hAnsi="Times New Roman"/>
          <w:spacing w:val="0"/>
          <w:sz w:val="18"/>
        </w:rPr>
      </w:pPr>
      <w:r>
        <w:rPr>
          <w:rFonts w:ascii="Times New Roman" w:hAnsi="Times New Roman"/>
          <w:spacing w:val="0"/>
          <w:sz w:val="18"/>
        </w:rPr>
        <w:t xml:space="preserve">Indicate by checkmark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w:t>
      </w:r>
    </w:p>
    <w:p>
      <w:pPr>
        <w:pStyle w:val="TextBody"/>
        <w:spacing w:before="40" w:after="0"/>
        <w:jc w:val="left"/>
        <w:rPr>
          <w:rFonts w:ascii="Times New Roman" w:hAnsi="Times New Roman"/>
          <w:spacing w:val="0"/>
          <w:sz w:val="18"/>
          <w:highlight w:val="white"/>
        </w:rPr>
      </w:pPr>
      <w:r>
        <w:rPr>
          <w:rFonts w:ascii="Times New Roman" w:hAnsi="Times New Roman"/>
          <w:spacing w:val="0"/>
          <w:sz w:val="18"/>
          <w:highlight w:val="white"/>
        </w:rPr>
        <w:t>90 days.    Yes</w:t>
      </w:r>
    </w:p>
    <w:p>
      <w:pPr>
        <w:pStyle w:val="TextBody"/>
        <w:spacing w:before="40" w:after="0"/>
        <w:jc w:val="left"/>
        <w:rPr>
          <w:spacing w:val="0"/>
          <w:highlight w:val="white"/>
        </w:rPr>
      </w:pPr>
      <w:r>
        <w:rPr>
          <w:spacing w:val="0"/>
          <w:highlight w:val="white"/>
        </w:rPr>
        <w:t> </w:t>
      </w:r>
    </w:p>
    <w:p>
      <w:pPr>
        <w:pStyle w:val="TextBody"/>
        <w:spacing w:before="40" w:after="0"/>
        <w:jc w:val="left"/>
        <w:rPr>
          <w:spacing w:val="0"/>
          <w:highlight w:val="white"/>
        </w:rPr>
      </w:pPr>
      <w:r>
        <w:rPr>
          <w:spacing w:val="0"/>
          <w:highlight w:val="white"/>
        </w:rPr>
        <w:t> </w:t>
      </w:r>
    </w:p>
    <w:p>
      <w:pPr>
        <w:pStyle w:val="TextBody"/>
        <w:spacing w:before="40" w:after="0"/>
        <w:jc w:val="left"/>
        <w:rPr>
          <w:spacing w:val="0"/>
          <w:highlight w:val="white"/>
        </w:rPr>
      </w:pPr>
      <w:r>
        <w:rPr>
          <w:spacing w:val="0"/>
          <w:highlight w:val="white"/>
        </w:rPr>
        <w:t>☒    </w:t>
      </w:r>
      <w:r>
        <w:rPr>
          <w:rFonts w:ascii="Times New Roman" w:hAnsi="Times New Roman"/>
          <w:spacing w:val="0"/>
          <w:sz w:val="18"/>
          <w:highlight w:val="white"/>
        </w:rPr>
        <w:t>No  ☐</w:t>
      </w:r>
    </w:p>
    <w:p>
      <w:pPr>
        <w:pStyle w:val="TextBody"/>
        <w:spacing w:before="40" w:after="0"/>
        <w:jc w:val="left"/>
        <w:rPr>
          <w:rFonts w:ascii="Times New Roman" w:hAnsi="Times New Roman"/>
          <w:sz w:val="18"/>
        </w:rPr>
      </w:pPr>
      <w:r>
        <w:rPr>
          <w:rFonts w:ascii="Times New Roman" w:hAnsi="Times New Roman"/>
          <w:sz w:val="18"/>
        </w:rPr>
        <w:t xml:space="preserve">Indicate by checkmark whether the registrant has submitted electronically every Interactive Data File required to be submitted pursuant to Rule 405 of Regulation </w:t>
      </w:r>
    </w:p>
    <w:p>
      <w:pPr>
        <w:pStyle w:val="TextBody"/>
        <w:spacing w:before="40" w:after="0"/>
        <w:jc w:val="left"/>
        <w:rPr>
          <w:rFonts w:ascii="Times New Roman" w:hAnsi="Times New Roman"/>
          <w:spacing w:val="0"/>
          <w:sz w:val="18"/>
        </w:rPr>
      </w:pPr>
      <w:r>
        <w:rPr>
          <w:rFonts w:ascii="Times New Roman" w:hAnsi="Times New Roman"/>
          <w:spacing w:val="0"/>
          <w:sz w:val="18"/>
        </w:rPr>
        <w:t>S-T</w:t>
      </w:r>
    </w:p>
    <w:p>
      <w:pPr>
        <w:pStyle w:val="TextBody"/>
        <w:spacing w:before="40" w:after="0"/>
        <w:jc w:val="left"/>
        <w:rPr>
          <w:rFonts w:ascii="Times New Roman" w:hAnsi="Times New Roman"/>
          <w:sz w:val="18"/>
        </w:rPr>
      </w:pPr>
      <w:r>
        <w:rPr>
          <w:rFonts w:ascii="Times New Roman" w:hAnsi="Times New Roman"/>
          <w:sz w:val="18"/>
        </w:rPr>
        <w:t xml:space="preserve">(§ 232.405 of this chapter) during the preceding 12 months (or for such shorter period that the registrant was required to submit such files).    Yes  ☒    No  ☐ </w:t>
      </w:r>
    </w:p>
    <w:p>
      <w:pPr>
        <w:pStyle w:val="TextBody"/>
        <w:spacing w:before="40" w:after="0"/>
        <w:jc w:val="left"/>
        <w:rPr>
          <w:rFonts w:ascii="Times New Roman" w:hAnsi="Times New Roman"/>
          <w:sz w:val="18"/>
        </w:rPr>
      </w:pPr>
      <w:r>
        <w:rPr>
          <w:rFonts w:ascii="Times New Roman" w:hAnsi="Times New Roman"/>
          <w:sz w:val="18"/>
        </w:rPr>
        <w:t xml:space="preserve">Indicate by check mark whether the registrant is a large accelerated filer, an accelerated filer, a </w:t>
      </w:r>
    </w:p>
    <w:p>
      <w:pPr>
        <w:pStyle w:val="TextBody"/>
        <w:spacing w:before="40" w:after="0"/>
        <w:jc w:val="left"/>
        <w:rPr>
          <w:rFonts w:ascii="Times New Roman" w:hAnsi="Times New Roman"/>
          <w:spacing w:val="0"/>
          <w:sz w:val="18"/>
        </w:rPr>
      </w:pPr>
      <w:r>
        <w:rPr>
          <w:rFonts w:ascii="Times New Roman" w:hAnsi="Times New Roman"/>
          <w:spacing w:val="0"/>
          <w:sz w:val="18"/>
        </w:rPr>
        <w:t>non-accelerated</w:t>
      </w:r>
    </w:p>
    <w:p>
      <w:pPr>
        <w:pStyle w:val="TextBody"/>
        <w:spacing w:before="40" w:after="0"/>
        <w:jc w:val="left"/>
        <w:rPr>
          <w:rFonts w:ascii="Times New Roman" w:hAnsi="Times New Roman"/>
          <w:sz w:val="18"/>
        </w:rPr>
      </w:pPr>
      <w:r>
        <w:rPr>
          <w:rFonts w:ascii="Times New Roman" w:hAnsi="Times New Roman"/>
          <w:sz w:val="18"/>
        </w:rPr>
        <w:t xml:space="preserve">filer, smaller reporting company, or an emerging growth company. See the definitions of “large accelerated filer,” “accelerated filer,” “smaller reporting company,” and “emerging growth company” in Rule </w:t>
      </w:r>
    </w:p>
    <w:p>
      <w:pPr>
        <w:pStyle w:val="TextBody"/>
        <w:spacing w:before="40" w:after="0"/>
        <w:jc w:val="left"/>
        <w:rPr>
          <w:rFonts w:ascii="Times New Roman" w:hAnsi="Times New Roman"/>
          <w:spacing w:val="0"/>
          <w:sz w:val="18"/>
        </w:rPr>
      </w:pPr>
      <w:r>
        <w:rPr>
          <w:rFonts w:ascii="Times New Roman" w:hAnsi="Times New Roman"/>
          <w:spacing w:val="0"/>
          <w:sz w:val="18"/>
        </w:rPr>
        <w:t>12b-2</w:t>
      </w:r>
    </w:p>
    <w:p>
      <w:pPr>
        <w:pStyle w:val="TextBody"/>
        <w:spacing w:before="40" w:after="0"/>
        <w:jc w:val="left"/>
        <w:rPr>
          <w:rFonts w:ascii="Times New Roman" w:hAnsi="Times New Roman"/>
          <w:sz w:val="18"/>
        </w:rPr>
      </w:pPr>
      <w:r>
        <w:rPr>
          <w:rFonts w:ascii="Times New Roman" w:hAnsi="Times New Roman"/>
          <w:sz w:val="18"/>
        </w:rPr>
        <w:t xml:space="preserve">of the Exchange Act. </w:t>
      </w:r>
    </w:p>
    <w:p>
      <w:pPr>
        <w:pStyle w:val="TextBody"/>
        <w:spacing w:before="0" w:after="0"/>
        <w:jc w:val="left"/>
        <w:rPr>
          <w:spacing w:val="0"/>
        </w:rPr>
      </w:pPr>
      <w:r>
        <w:rPr>
          <w:spacing w:val="0"/>
        </w:rPr>
        <w:t> </w:t>
      </w:r>
    </w:p>
    <w:tbl>
      <w:tblPr>
        <w:tblW w:w="6050" w:type="dxa"/>
        <w:jc w:val="left"/>
        <w:tblInd w:w="0" w:type="dxa"/>
        <w:tblCellMar>
          <w:top w:w="0" w:type="dxa"/>
          <w:left w:w="0" w:type="dxa"/>
          <w:bottom w:w="0" w:type="dxa"/>
          <w:right w:w="0" w:type="dxa"/>
        </w:tblCellMar>
      </w:tblPr>
      <w:tblGrid>
        <w:gridCol w:w="2750"/>
        <w:gridCol w:w="60"/>
        <w:gridCol w:w="230"/>
        <w:gridCol w:w="120"/>
        <w:gridCol w:w="2585"/>
        <w:gridCol w:w="60"/>
        <w:gridCol w:w="245"/>
      </w:tblGrid>
      <w:tr>
        <w:trPr/>
        <w:tc>
          <w:tcPr>
            <w:tcW w:w="275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58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r>
      <w:tr>
        <w:trPr/>
        <w:tc>
          <w:tcPr>
            <w:tcW w:w="2750" w:type="dxa"/>
            <w:tcBorders/>
            <w:shd w:fill="auto" w:val="clear"/>
            <w:vAlign w:val="center"/>
          </w:tcPr>
          <w:p>
            <w:pPr>
              <w:pStyle w:val="TableContents"/>
              <w:spacing w:before="0" w:after="283"/>
              <w:rPr/>
            </w:pPr>
            <w:r>
              <w:rPr/>
              <w:t xml:space="preserve">Large accelerated filer </w:t>
            </w:r>
          </w:p>
        </w:tc>
        <w:tc>
          <w:tcPr>
            <w:tcW w:w="60" w:type="dxa"/>
            <w:tcBorders/>
            <w:shd w:fill="auto" w:val="clear"/>
            <w:vAlign w:val="center"/>
          </w:tcPr>
          <w:p>
            <w:pPr>
              <w:pStyle w:val="TableContents"/>
              <w:spacing w:before="0" w:after="283"/>
              <w:rPr/>
            </w:pPr>
            <w:r>
              <w:rPr/>
              <w:t> </w:t>
            </w:r>
          </w:p>
        </w:tc>
        <w:tc>
          <w:tcPr>
            <w:tcW w:w="230" w:type="dxa"/>
            <w:tcBorders/>
            <w:shd w:fill="auto" w:val="clear"/>
            <w:vAlign w:val="center"/>
          </w:tcPr>
          <w:p>
            <w:pPr>
              <w:pStyle w:val="TableContents"/>
              <w:spacing w:before="0" w:after="283"/>
              <w:rPr/>
            </w:pPr>
            <w:r>
              <w:rPr/>
              <w:t>☒</w:t>
            </w:r>
          </w:p>
        </w:tc>
        <w:tc>
          <w:tcPr>
            <w:tcW w:w="120" w:type="dxa"/>
            <w:tcBorders/>
            <w:shd w:fill="auto" w:val="clear"/>
            <w:vAlign w:val="center"/>
          </w:tcPr>
          <w:p>
            <w:pPr>
              <w:pStyle w:val="TableContents"/>
              <w:spacing w:before="0" w:after="283"/>
              <w:rPr/>
            </w:pPr>
            <w:r>
              <w:rPr/>
              <w:t>  </w:t>
            </w:r>
          </w:p>
        </w:tc>
        <w:tc>
          <w:tcPr>
            <w:tcW w:w="2585" w:type="dxa"/>
            <w:tcBorders/>
            <w:shd w:fill="auto" w:val="clear"/>
            <w:vAlign w:val="center"/>
          </w:tcPr>
          <w:p>
            <w:pPr>
              <w:pStyle w:val="TableContents"/>
              <w:spacing w:before="0" w:after="283"/>
              <w:rPr/>
            </w:pPr>
            <w:r>
              <w:rPr/>
              <w:t>Accelerated filer</w:t>
            </w:r>
          </w:p>
        </w:tc>
        <w:tc>
          <w:tcPr>
            <w:tcW w:w="60" w:type="dxa"/>
            <w:tcBorders/>
            <w:shd w:fill="auto" w:val="clear"/>
            <w:vAlign w:val="center"/>
          </w:tcPr>
          <w:p>
            <w:pPr>
              <w:pStyle w:val="TableContents"/>
              <w:spacing w:before="0" w:after="283"/>
              <w:rPr/>
            </w:pPr>
            <w:r>
              <w:rPr/>
              <w:t> </w:t>
            </w:r>
          </w:p>
        </w:tc>
        <w:tc>
          <w:tcPr>
            <w:tcW w:w="245" w:type="dxa"/>
            <w:tcBorders/>
            <w:shd w:fill="auto" w:val="clear"/>
            <w:vAlign w:val="center"/>
          </w:tcPr>
          <w:p>
            <w:pPr>
              <w:pStyle w:val="TableContents"/>
              <w:spacing w:before="0" w:after="283"/>
              <w:rPr/>
            </w:pPr>
            <w:r>
              <w:rPr/>
              <w:t>☐</w:t>
            </w:r>
          </w:p>
        </w:tc>
      </w:tr>
      <w:tr>
        <w:trPr/>
        <w:tc>
          <w:tcPr>
            <w:tcW w:w="2750" w:type="dxa"/>
            <w:tcBorders/>
            <w:shd w:fill="auto" w:val="clear"/>
            <w:vAlign w:val="center"/>
          </w:tcPr>
          <w:p>
            <w:pPr>
              <w:pStyle w:val="TableContents"/>
              <w:spacing w:before="0" w:after="283"/>
              <w:rPr/>
            </w:pPr>
            <w:r>
              <w:rPr/>
              <w:t> </w:t>
            </w:r>
          </w:p>
        </w:tc>
        <w:tc>
          <w:tcPr>
            <w:tcW w:w="290" w:type="dxa"/>
            <w:gridSpan w:val="2"/>
            <w:tcBorders/>
            <w:shd w:fill="auto" w:val="clear"/>
            <w:vAlign w:val="center"/>
          </w:tcPr>
          <w:p>
            <w:pPr>
              <w:pStyle w:val="TableContents"/>
              <w:spacing w:before="0" w:after="283"/>
              <w:rPr/>
            </w:pPr>
            <w:r>
              <w:rPr/>
              <w:t> </w:t>
            </w:r>
          </w:p>
        </w:tc>
        <w:tc>
          <w:tcPr>
            <w:tcW w:w="2705" w:type="dxa"/>
            <w:gridSpan w:val="2"/>
            <w:tcBorders/>
            <w:shd w:fill="auto" w:val="clear"/>
            <w:vAlign w:val="center"/>
          </w:tcPr>
          <w:p>
            <w:pPr>
              <w:pStyle w:val="TableContents"/>
              <w:spacing w:before="0" w:after="283"/>
              <w:rPr/>
            </w:pPr>
            <w:r>
              <w:rPr/>
              <w:t> </w:t>
            </w:r>
          </w:p>
        </w:tc>
        <w:tc>
          <w:tcPr>
            <w:tcW w:w="305" w:type="dxa"/>
            <w:gridSpan w:val="2"/>
            <w:tcBorders/>
            <w:shd w:fill="auto" w:val="clear"/>
            <w:vAlign w:val="center"/>
          </w:tcPr>
          <w:p>
            <w:pPr>
              <w:pStyle w:val="TableContents"/>
              <w:spacing w:before="0" w:after="283"/>
              <w:rPr/>
            </w:pPr>
            <w:r>
              <w:rPr/>
              <w:t> </w:t>
            </w:r>
          </w:p>
        </w:tc>
      </w:tr>
      <w:tr>
        <w:trPr/>
        <w:tc>
          <w:tcPr>
            <w:tcW w:w="2750" w:type="dxa"/>
            <w:tcBorders/>
            <w:shd w:fill="auto" w:val="clear"/>
            <w:vAlign w:val="center"/>
          </w:tcPr>
          <w:p>
            <w:pPr>
              <w:pStyle w:val="TableContents"/>
              <w:spacing w:before="0" w:after="283"/>
              <w:rPr/>
            </w:pPr>
            <w:r>
              <w:rPr/>
              <w:t>Non-accelerated filer</w:t>
            </w:r>
          </w:p>
        </w:tc>
        <w:tc>
          <w:tcPr>
            <w:tcW w:w="60" w:type="dxa"/>
            <w:tcBorders/>
            <w:shd w:fill="auto" w:val="clear"/>
            <w:vAlign w:val="center"/>
          </w:tcPr>
          <w:p>
            <w:pPr>
              <w:pStyle w:val="TableContents"/>
              <w:spacing w:before="0" w:after="283"/>
              <w:rPr/>
            </w:pPr>
            <w:r>
              <w:rPr/>
              <w:t> </w:t>
            </w:r>
          </w:p>
        </w:tc>
        <w:tc>
          <w:tcPr>
            <w:tcW w:w="230" w:type="dxa"/>
            <w:tcBorders/>
            <w:shd w:fill="auto" w:val="clear"/>
            <w:vAlign w:val="center"/>
          </w:tcPr>
          <w:p>
            <w:pPr>
              <w:pStyle w:val="TableContents"/>
              <w:spacing w:before="0" w:after="283"/>
              <w:rPr/>
            </w:pPr>
            <w:r>
              <w:rPr/>
              <w:t>☐</w:t>
            </w:r>
          </w:p>
        </w:tc>
        <w:tc>
          <w:tcPr>
            <w:tcW w:w="120" w:type="dxa"/>
            <w:tcBorders/>
            <w:shd w:fill="auto" w:val="clear"/>
            <w:vAlign w:val="center"/>
          </w:tcPr>
          <w:p>
            <w:pPr>
              <w:pStyle w:val="TableContents"/>
              <w:spacing w:before="0" w:after="283"/>
              <w:rPr/>
            </w:pPr>
            <w:r>
              <w:rPr/>
              <w:t>  </w:t>
            </w:r>
          </w:p>
        </w:tc>
        <w:tc>
          <w:tcPr>
            <w:tcW w:w="2585" w:type="dxa"/>
            <w:tcBorders/>
            <w:shd w:fill="auto" w:val="clear"/>
            <w:vAlign w:val="center"/>
          </w:tcPr>
          <w:p>
            <w:pPr>
              <w:pStyle w:val="TableContents"/>
              <w:spacing w:before="0" w:after="283"/>
              <w:rPr/>
            </w:pPr>
            <w:r>
              <w:rPr/>
              <w:t>Smaller reporting company</w:t>
            </w:r>
          </w:p>
        </w:tc>
        <w:tc>
          <w:tcPr>
            <w:tcW w:w="60" w:type="dxa"/>
            <w:tcBorders/>
            <w:shd w:fill="auto" w:val="clear"/>
            <w:vAlign w:val="center"/>
          </w:tcPr>
          <w:p>
            <w:pPr>
              <w:pStyle w:val="TableContents"/>
              <w:spacing w:before="0" w:after="283"/>
              <w:rPr/>
            </w:pPr>
            <w:r>
              <w:rPr/>
              <w:t> </w:t>
            </w:r>
          </w:p>
        </w:tc>
        <w:tc>
          <w:tcPr>
            <w:tcW w:w="245" w:type="dxa"/>
            <w:tcBorders/>
            <w:shd w:fill="auto" w:val="clear"/>
            <w:vAlign w:val="center"/>
          </w:tcPr>
          <w:p>
            <w:pPr>
              <w:pStyle w:val="TableContents"/>
              <w:spacing w:before="0" w:after="283"/>
              <w:rPr/>
            </w:pPr>
            <w:r>
              <w:rPr/>
              <w:t>☐</w:t>
            </w:r>
          </w:p>
        </w:tc>
      </w:tr>
      <w:tr>
        <w:trPr/>
        <w:tc>
          <w:tcPr>
            <w:tcW w:w="2750" w:type="dxa"/>
            <w:tcBorders/>
            <w:shd w:fill="auto" w:val="clear"/>
            <w:vAlign w:val="center"/>
          </w:tcPr>
          <w:p>
            <w:pPr>
              <w:pStyle w:val="TableContents"/>
              <w:spacing w:before="0" w:after="283"/>
              <w:rPr/>
            </w:pPr>
            <w:r>
              <w:rPr/>
              <w:t> </w:t>
            </w:r>
          </w:p>
        </w:tc>
        <w:tc>
          <w:tcPr>
            <w:tcW w:w="290" w:type="dxa"/>
            <w:gridSpan w:val="2"/>
            <w:tcBorders/>
            <w:shd w:fill="auto" w:val="clear"/>
            <w:vAlign w:val="center"/>
          </w:tcPr>
          <w:p>
            <w:pPr>
              <w:pStyle w:val="TableContents"/>
              <w:spacing w:before="0" w:after="283"/>
              <w:rPr/>
            </w:pPr>
            <w:r>
              <w:rPr/>
              <w:t> </w:t>
            </w:r>
          </w:p>
        </w:tc>
        <w:tc>
          <w:tcPr>
            <w:tcW w:w="2705" w:type="dxa"/>
            <w:gridSpan w:val="2"/>
            <w:tcBorders/>
            <w:shd w:fill="auto" w:val="clear"/>
            <w:vAlign w:val="center"/>
          </w:tcPr>
          <w:p>
            <w:pPr>
              <w:pStyle w:val="TableContents"/>
              <w:spacing w:before="0" w:after="283"/>
              <w:rPr/>
            </w:pPr>
            <w:r>
              <w:rPr/>
              <w:t> </w:t>
            </w:r>
          </w:p>
        </w:tc>
        <w:tc>
          <w:tcPr>
            <w:tcW w:w="305" w:type="dxa"/>
            <w:gridSpan w:val="2"/>
            <w:tcBorders/>
            <w:shd w:fill="auto" w:val="clear"/>
            <w:vAlign w:val="center"/>
          </w:tcPr>
          <w:p>
            <w:pPr>
              <w:pStyle w:val="TableContents"/>
              <w:spacing w:before="0" w:after="283"/>
              <w:rPr/>
            </w:pPr>
            <w:r>
              <w:rPr/>
              <w:t> </w:t>
            </w:r>
          </w:p>
        </w:tc>
      </w:tr>
      <w:tr>
        <w:trPr/>
        <w:tc>
          <w:tcPr>
            <w:tcW w:w="2750" w:type="dxa"/>
            <w:tcBorders/>
            <w:shd w:fill="auto" w:val="clear"/>
            <w:vAlign w:val="center"/>
          </w:tcPr>
          <w:p>
            <w:pPr>
              <w:pStyle w:val="TableContents"/>
              <w:spacing w:before="0" w:after="283"/>
              <w:rPr/>
            </w:pPr>
            <w:r>
              <w:rPr/>
              <w:t>Emerging Growth Company</w:t>
            </w:r>
          </w:p>
        </w:tc>
        <w:tc>
          <w:tcPr>
            <w:tcW w:w="60" w:type="dxa"/>
            <w:tcBorders/>
            <w:shd w:fill="auto" w:val="clear"/>
            <w:vAlign w:val="center"/>
          </w:tcPr>
          <w:p>
            <w:pPr>
              <w:pStyle w:val="TableContents"/>
              <w:spacing w:before="0" w:after="283"/>
              <w:rPr/>
            </w:pPr>
            <w:r>
              <w:rPr/>
              <w:t> </w:t>
            </w:r>
          </w:p>
        </w:tc>
        <w:tc>
          <w:tcPr>
            <w:tcW w:w="230" w:type="dxa"/>
            <w:tcBorders/>
            <w:shd w:fill="auto" w:val="clear"/>
            <w:vAlign w:val="center"/>
          </w:tcPr>
          <w:p>
            <w:pPr>
              <w:pStyle w:val="TableContents"/>
              <w:spacing w:before="0" w:after="283"/>
              <w:rPr/>
            </w:pPr>
            <w:r>
              <w:rPr/>
              <w:t>☐</w:t>
            </w:r>
          </w:p>
        </w:tc>
        <w:tc>
          <w:tcPr>
            <w:tcW w:w="120" w:type="dxa"/>
            <w:tcBorders/>
            <w:shd w:fill="auto" w:val="clear"/>
            <w:vAlign w:val="center"/>
          </w:tcPr>
          <w:p>
            <w:pPr>
              <w:pStyle w:val="TableContents"/>
              <w:spacing w:before="0" w:after="283"/>
              <w:rPr/>
            </w:pPr>
            <w:r>
              <w:rPr/>
              <w:t>  </w:t>
            </w:r>
          </w:p>
        </w:tc>
        <w:tc>
          <w:tcPr>
            <w:tcW w:w="258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45" w:type="dxa"/>
            <w:tcBorders/>
            <w:shd w:fill="auto" w:val="clear"/>
            <w:vAlign w:val="center"/>
          </w:tcPr>
          <w:p>
            <w:pPr>
              <w:pStyle w:val="TableContents"/>
              <w:spacing w:before="0" w:after="283"/>
              <w:rPr/>
            </w:pPr>
            <w:r>
              <w:rPr/>
              <w:t> </w:t>
            </w:r>
          </w:p>
        </w:tc>
      </w:tr>
    </w:tbl>
    <w:p>
      <w:pPr>
        <w:pStyle w:val="TextBody"/>
        <w:spacing w:before="40" w:after="0"/>
        <w:jc w:val="left"/>
        <w:rPr>
          <w:rFonts w:ascii="Times New Roman" w:hAnsi="Times New Roman"/>
          <w:spacing w:val="0"/>
          <w:sz w:val="18"/>
        </w:rPr>
      </w:pPr>
      <w:r>
        <w:rPr>
          <w:rFonts w:ascii="Times New Roman" w:hAnsi="Times New Roman"/>
          <w:spacing w:val="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spacing w:before="40" w:after="0"/>
        <w:jc w:val="left"/>
        <w:rPr>
          <w:rFonts w:ascii="Times New Roman" w:hAnsi="Times New Roman"/>
          <w:spacing w:val="0"/>
          <w:sz w:val="18"/>
        </w:rPr>
      </w:pPr>
      <w:r>
        <w:rPr>
          <w:rFonts w:ascii="Times New Roman" w:hAnsi="Times New Roman"/>
          <w:spacing w:val="0"/>
          <w:sz w:val="18"/>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Yes  ☒    No  ☐ </w:t>
      </w:r>
    </w:p>
    <w:p>
      <w:pPr>
        <w:pStyle w:val="TextBody"/>
        <w:spacing w:before="40" w:after="0"/>
        <w:jc w:val="left"/>
        <w:rPr>
          <w:rFonts w:ascii="Times New Roman" w:hAnsi="Times New Roman"/>
          <w:spacing w:val="0"/>
          <w:sz w:val="18"/>
        </w:rPr>
      </w:pPr>
      <w:r>
        <w:rPr>
          <w:rFonts w:ascii="Times New Roman" w:hAnsi="Times New Roman"/>
          <w:spacing w:val="0"/>
          <w:sz w:val="18"/>
        </w:rPr>
        <w:t xml:space="preserve">Indicate by checkmark whether the registrant is a shell company (as defined in </w:t>
      </w:r>
    </w:p>
    <w:p>
      <w:pPr>
        <w:pStyle w:val="TextBody"/>
        <w:spacing w:before="40" w:after="0"/>
        <w:jc w:val="left"/>
        <w:rPr>
          <w:rFonts w:ascii="Times New Roman" w:hAnsi="Times New Roman"/>
          <w:spacing w:val="0"/>
          <w:sz w:val="18"/>
        </w:rPr>
      </w:pPr>
      <w:r>
        <w:rPr>
          <w:rFonts w:ascii="Times New Roman" w:hAnsi="Times New Roman"/>
          <w:spacing w:val="0"/>
          <w:sz w:val="18"/>
        </w:rPr>
        <w:t>Rule 12b-2</w:t>
      </w:r>
    </w:p>
    <w:p>
      <w:pPr>
        <w:pStyle w:val="TextBody"/>
        <w:spacing w:before="40" w:after="0"/>
        <w:jc w:val="left"/>
        <w:rPr>
          <w:rFonts w:ascii="Times New Roman" w:hAnsi="Times New Roman"/>
          <w:spacing w:val="0"/>
          <w:sz w:val="18"/>
        </w:rPr>
      </w:pPr>
      <w:r>
        <w:rPr>
          <w:rFonts w:ascii="Times New Roman" w:hAnsi="Times New Roman"/>
          <w:spacing w:val="0"/>
          <w:sz w:val="18"/>
        </w:rPr>
        <w:t xml:space="preserve">of the Exchange Act).    Yes  ☐    No  ☒ </w:t>
      </w:r>
    </w:p>
    <w:p>
      <w:pPr>
        <w:pStyle w:val="TextBody"/>
        <w:spacing w:before="40" w:after="0"/>
        <w:jc w:val="left"/>
        <w:rPr>
          <w:rFonts w:ascii="Times New Roman" w:hAnsi="Times New Roman"/>
          <w:sz w:val="18"/>
        </w:rPr>
      </w:pPr>
      <w:r>
        <w:rPr>
          <w:rFonts w:ascii="Times New Roman" w:hAnsi="Times New Roman"/>
          <w:sz w:val="18"/>
        </w:rPr>
        <w:t xml:space="preserve">The aggregate market value of common stock held by </w:t>
      </w:r>
    </w:p>
    <w:p>
      <w:pPr>
        <w:pStyle w:val="TextBody"/>
        <w:spacing w:before="40" w:after="0"/>
        <w:jc w:val="left"/>
        <w:rPr>
          <w:rFonts w:ascii="Times New Roman" w:hAnsi="Times New Roman"/>
          <w:spacing w:val="0"/>
          <w:sz w:val="18"/>
        </w:rPr>
      </w:pPr>
      <w:r>
        <w:rPr>
          <w:rFonts w:ascii="Times New Roman" w:hAnsi="Times New Roman"/>
          <w:spacing w:val="0"/>
          <w:sz w:val="18"/>
        </w:rPr>
        <w:t>non-affiliates,</w:t>
      </w:r>
    </w:p>
    <w:p>
      <w:pPr>
        <w:pStyle w:val="TextBody"/>
        <w:spacing w:before="40" w:after="0"/>
        <w:jc w:val="left"/>
        <w:rPr>
          <w:rFonts w:ascii="Times New Roman" w:hAnsi="Times New Roman"/>
          <w:sz w:val="18"/>
        </w:rPr>
      </w:pPr>
      <w:r>
        <w:rPr>
          <w:rFonts w:ascii="Times New Roman" w:hAnsi="Times New Roman"/>
          <w:sz w:val="18"/>
        </w:rPr>
        <w:t xml:space="preserve">based on the closing price of the last day of the registrant’s most recently completed second fiscal quarter as reported on the NASDAQ Global Select Market was $580 million. </w:t>
      </w:r>
    </w:p>
    <w:p>
      <w:pPr>
        <w:pStyle w:val="TextBody"/>
        <w:spacing w:before="40" w:after="0"/>
        <w:jc w:val="left"/>
        <w:rPr>
          <w:rFonts w:ascii="Times New Roman" w:hAnsi="Times New Roman"/>
          <w:spacing w:val="0"/>
          <w:sz w:val="18"/>
        </w:rPr>
      </w:pPr>
      <w:r>
        <w:rPr>
          <w:rFonts w:ascii="Times New Roman" w:hAnsi="Times New Roman"/>
          <w:spacing w:val="0"/>
          <w:sz w:val="18"/>
        </w:rPr>
        <w:t>The number of shares of Registrant’s Common Stock outstanding as of March 28, 2021 was</w:t>
      </w:r>
    </w:p>
    <w:p>
      <w:pPr>
        <w:pStyle w:val="TextBody"/>
        <w:spacing w:before="40" w:after="0"/>
        <w:jc w:val="left"/>
        <w:rPr>
          <w:rFonts w:ascii="Times New Roman" w:hAnsi="Times New Roman"/>
          <w:spacing w:val="0"/>
          <w:sz w:val="18"/>
        </w:rPr>
      </w:pPr>
      <w:r>
        <w:rPr>
          <w:rFonts w:ascii="Times New Roman" w:hAnsi="Times New Roman"/>
          <w:spacing w:val="0"/>
          <w:sz w:val="18"/>
        </w:rPr>
        <w:t xml:space="preserve">47,658,356. </w:t>
      </w:r>
    </w:p>
    <w:p>
      <w:pPr>
        <w:pStyle w:val="TextBody"/>
        <w:spacing w:before="40" w:after="0"/>
        <w:jc w:val="center"/>
        <w:rPr>
          <w:rFonts w:ascii="Times New Roman" w:hAnsi="Times New Roman"/>
          <w:b/>
          <w:spacing w:val="0"/>
          <w:sz w:val="18"/>
        </w:rPr>
      </w:pPr>
      <w:r>
        <w:rPr>
          <w:rFonts w:ascii="Times New Roman" w:hAnsi="Times New Roman"/>
          <w:b/>
          <w:spacing w:val="0"/>
          <w:sz w:val="18"/>
        </w:rPr>
        <w:t xml:space="preserve">DOCUMENTS INCORPORATED BY REFERENCE </w:t>
      </w:r>
    </w:p>
    <w:p>
      <w:pPr>
        <w:pStyle w:val="TextBody"/>
        <w:spacing w:before="40" w:after="0"/>
        <w:jc w:val="left"/>
        <w:rPr>
          <w:rFonts w:ascii="Times New Roman" w:hAnsi="Times New Roman"/>
          <w:sz w:val="18"/>
        </w:rPr>
      </w:pPr>
      <w:r>
        <w:rPr>
          <w:rFonts w:ascii="Times New Roman" w:hAnsi="Times New Roman"/>
          <w:sz w:val="18"/>
        </w:rPr>
        <w:t xml:space="preserve">Portions of the definitive Proxy Statement for the registrant’s 2021 Annual Meeting of Shareholders have been incorporated by reference into Part III of this Annual Report on </w:t>
      </w:r>
    </w:p>
    <w:p>
      <w:pPr>
        <w:pStyle w:val="TextBody"/>
        <w:spacing w:before="40" w:after="0"/>
        <w:jc w:val="left"/>
        <w:rPr>
          <w:rFonts w:ascii="Times New Roman" w:hAnsi="Times New Roman"/>
          <w:spacing w:val="0"/>
          <w:sz w:val="18"/>
        </w:rPr>
      </w:pPr>
      <w:r>
        <w:rPr>
          <w:rFonts w:ascii="Times New Roman" w:hAnsi="Times New Roman"/>
          <w:spacing w:val="0"/>
          <w:sz w:val="18"/>
        </w:rPr>
        <w:t>Form 10-K.</w:t>
      </w:r>
    </w:p>
    <w:p>
      <w:pPr>
        <w:pStyle w:val="TextBody"/>
        <w:spacing w:before="0" w:after="0"/>
        <w:jc w:val="left"/>
        <w:rPr>
          <w:spacing w:val="0"/>
        </w:rPr>
      </w:pPr>
      <w:r>
        <w:rPr>
          <w:spacing w:val="0"/>
        </w:rPr>
        <w:t> </w:t>
      </w:r>
    </w:p>
    <w:p>
      <w:pPr>
        <w:pStyle w:val="TextBody"/>
        <w:spacing w:lineRule="atLeast" w:line="141" w:before="0" w:after="0"/>
        <w:jc w:val="left"/>
        <w:rPr>
          <w:spacing w:val="0"/>
        </w:rPr>
      </w:pPr>
      <w:r>
        <w:rPr>
          <w:spacing w:val="0"/>
        </w:rPr>
        <w:t> </w:t>
      </w:r>
    </w:p>
    <w:p>
      <w:pPr>
        <w:pStyle w:val="TextBody"/>
        <w:spacing w:lineRule="atLeast" w:line="141" w:before="0" w:after="40"/>
        <w:jc w:val="left"/>
        <w:rPr>
          <w:spacing w:val="0"/>
        </w:rPr>
      </w:pPr>
      <w:r>
        <w:rPr>
          <w:spacing w:val="0"/>
        </w:rPr>
        <w:t> </w:t>
      </w:r>
    </w:p>
    <w:p>
      <w:pPr>
        <w:pStyle w:val="HorizontalLine"/>
        <w:rPr/>
      </w:pPr>
      <w:r>
        <w:rPr/>
      </w:r>
    </w:p>
    <w:p>
      <w:pPr>
        <w:pStyle w:val="TextBody"/>
        <w:spacing w:before="0" w:after="0"/>
        <w:rPr/>
      </w:pPr>
      <w:hyperlink w:anchor="toc">
        <w:r>
          <w:rPr>
            <w:rStyle w:val="InternetLink"/>
            <w:b/>
            <w:sz w:val="20"/>
          </w:rPr>
          <w:t>Table of Contents</w:t>
        </w:r>
      </w:hyperlink>
    </w:p>
    <w:p>
      <w:pPr>
        <w:pStyle w:val="TextBody"/>
        <w:spacing w:before="0" w:after="0"/>
        <w:jc w:val="center"/>
        <w:rPr>
          <w:rFonts w:ascii="Times New Roman" w:hAnsi="Times New Roman"/>
          <w:b/>
          <w:spacing w:val="0"/>
          <w:sz w:val="20"/>
        </w:rPr>
      </w:pPr>
      <w:r>
        <w:rPr>
          <w:rFonts w:ascii="Times New Roman" w:hAnsi="Times New Roman"/>
          <w:b/>
          <w:spacing w:val="0"/>
          <w:sz w:val="20"/>
        </w:rPr>
        <w:t xml:space="preserve">DAVE &amp; BUSTER’S ENTERTAINMENT, INC. </w:t>
      </w:r>
    </w:p>
    <w:p>
      <w:pPr>
        <w:pStyle w:val="TextBody"/>
        <w:spacing w:before="0" w:after="0"/>
        <w:jc w:val="center"/>
        <w:rPr>
          <w:rFonts w:ascii="Times New Roman" w:hAnsi="Times New Roman"/>
          <w:b/>
          <w:sz w:val="20"/>
        </w:rPr>
      </w:pPr>
      <w:r>
        <w:rPr>
          <w:rFonts w:ascii="Times New Roman" w:hAnsi="Times New Roman"/>
          <w:b/>
          <w:sz w:val="20"/>
        </w:rPr>
        <w:t xml:space="preserve">ANNUAL REPORT ON FORM </w:t>
      </w:r>
    </w:p>
    <w:p>
      <w:pPr>
        <w:pStyle w:val="TextBody"/>
        <w:spacing w:before="0" w:after="0"/>
        <w:jc w:val="center"/>
        <w:rPr>
          <w:rFonts w:ascii="Times New Roman" w:hAnsi="Times New Roman"/>
          <w:b/>
          <w:spacing w:val="0"/>
          <w:sz w:val="20"/>
        </w:rPr>
      </w:pPr>
      <w:r>
        <w:rPr>
          <w:rFonts w:ascii="Times New Roman" w:hAnsi="Times New Roman"/>
          <w:b/>
          <w:spacing w:val="0"/>
          <w:sz w:val="20"/>
        </w:rPr>
        <w:t>10-K</w:t>
      </w:r>
    </w:p>
    <w:p>
      <w:pPr>
        <w:pStyle w:val="TextBody"/>
        <w:spacing w:before="0" w:after="0"/>
        <w:jc w:val="center"/>
        <w:rPr>
          <w:rFonts w:ascii="Times New Roman" w:hAnsi="Times New Roman"/>
          <w:b/>
          <w:spacing w:val="0"/>
          <w:sz w:val="20"/>
        </w:rPr>
      </w:pPr>
      <w:r>
        <w:rPr>
          <w:rFonts w:ascii="Times New Roman" w:hAnsi="Times New Roman"/>
          <w:b/>
          <w:spacing w:val="0"/>
          <w:sz w:val="20"/>
        </w:rPr>
        <w:t xml:space="preserve">FOR FISCAL YEAR ENDED JANUARY 31, 2021 </w:t>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jc w:val="center"/>
        <w:rPr>
          <w:rFonts w:ascii="Times New Roman" w:hAnsi="Times New Roman"/>
          <w:b/>
          <w:spacing w:val="0"/>
          <w:sz w:val="20"/>
        </w:rPr>
      </w:pPr>
      <w:r>
        <w:rPr>
          <w:rFonts w:ascii="Times New Roman" w:hAnsi="Times New Roman"/>
          <w:b/>
          <w:spacing w:val="0"/>
          <w:sz w:val="20"/>
        </w:rPr>
        <w:t xml:space="preserve">TABLE OF CONTENTS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1040"/>
        <w:gridCol w:w="60"/>
        <w:gridCol w:w="8395"/>
        <w:gridCol w:w="120"/>
        <w:gridCol w:w="96"/>
        <w:gridCol w:w="419"/>
        <w:gridCol w:w="75"/>
      </w:tblGrid>
      <w:tr>
        <w:trPr/>
        <w:tc>
          <w:tcPr>
            <w:tcW w:w="104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39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96" w:type="dxa"/>
            <w:tcBorders/>
            <w:shd w:fill="auto" w:val="clear"/>
            <w:vAlign w:val="center"/>
          </w:tcPr>
          <w:p>
            <w:pPr>
              <w:pStyle w:val="TableContents"/>
              <w:spacing w:before="0" w:after="283"/>
              <w:rPr>
                <w:sz w:val="4"/>
                <w:szCs w:val="4"/>
              </w:rPr>
            </w:pPr>
            <w:r>
              <w:rPr>
                <w:sz w:val="4"/>
                <w:szCs w:val="4"/>
              </w:rPr>
            </w:r>
          </w:p>
        </w:tc>
        <w:tc>
          <w:tcPr>
            <w:tcW w:w="419"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104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39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515" w:type="dxa"/>
            <w:gridSpan w:val="2"/>
            <w:tcBorders/>
            <w:shd w:fill="auto" w:val="clear"/>
            <w:vAlign w:val="center"/>
          </w:tcPr>
          <w:p>
            <w:pPr>
              <w:pStyle w:val="TableContents"/>
              <w:spacing w:before="0" w:after="0"/>
              <w:jc w:val="center"/>
              <w:rPr>
                <w:b/>
                <w:spacing w:val="0"/>
              </w:rPr>
            </w:pPr>
            <w:r>
              <w:rPr>
                <w:b/>
                <w:spacing w:val="0"/>
              </w:rPr>
              <w:t>Page</w:t>
            </w:r>
          </w:p>
        </w:tc>
        <w:tc>
          <w:tcPr>
            <w:tcW w:w="75" w:type="dxa"/>
            <w:tcBorders/>
            <w:shd w:fill="auto" w:val="clear"/>
            <w:vAlign w:val="center"/>
          </w:tcPr>
          <w:p>
            <w:pPr>
              <w:pStyle w:val="TableContents"/>
              <w:spacing w:before="0" w:after="283"/>
              <w:rPr/>
            </w:pPr>
            <w:r>
              <w:rPr/>
              <w:t> </w:t>
            </w:r>
          </w:p>
        </w:tc>
      </w:tr>
      <w:tr>
        <w:trPr/>
        <w:tc>
          <w:tcPr>
            <w:tcW w:w="1040" w:type="dxa"/>
            <w:tcBorders/>
            <w:shd w:fill="auto" w:val="clear"/>
            <w:vAlign w:val="center"/>
          </w:tcPr>
          <w:p>
            <w:pPr>
              <w:pStyle w:val="TableContents"/>
              <w:spacing w:before="0" w:after="283"/>
              <w:rPr/>
            </w:pPr>
            <w:r>
              <w:rPr/>
              <w:t> </w:t>
            </w:r>
          </w:p>
        </w:tc>
        <w:tc>
          <w:tcPr>
            <w:tcW w:w="8455" w:type="dxa"/>
            <w:gridSpan w:val="2"/>
            <w:tcBorders/>
            <w:shd w:fill="auto" w:val="clear"/>
            <w:vAlign w:val="center"/>
          </w:tcPr>
          <w:p>
            <w:pPr>
              <w:pStyle w:val="TableContents"/>
              <w:spacing w:before="0" w:after="283"/>
              <w:rPr/>
            </w:pPr>
            <w:r>
              <w:rPr/>
              <w:t> </w:t>
            </w:r>
          </w:p>
        </w:tc>
        <w:tc>
          <w:tcPr>
            <w:tcW w:w="710" w:type="dxa"/>
            <w:gridSpan w:val="4"/>
            <w:tcBorders/>
            <w:shd w:fill="auto" w:val="clear"/>
            <w:vAlign w:val="center"/>
          </w:tcPr>
          <w:p>
            <w:pPr>
              <w:pStyle w:val="TableContents"/>
              <w:spacing w:before="0" w:after="283"/>
              <w:rPr/>
            </w:pPr>
            <w:r>
              <w:rPr/>
              <w:t> </w:t>
            </w:r>
          </w:p>
        </w:tc>
      </w:tr>
      <w:tr>
        <w:trPr/>
        <w:tc>
          <w:tcPr>
            <w:tcW w:w="104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395" w:type="dxa"/>
            <w:tcBorders/>
            <w:shd w:fill="auto" w:val="clear"/>
            <w:vAlign w:val="center"/>
          </w:tcPr>
          <w:p>
            <w:pPr>
              <w:pStyle w:val="TableContents"/>
              <w:spacing w:before="0" w:after="0"/>
              <w:jc w:val="center"/>
              <w:rPr>
                <w:b/>
                <w:spacing w:val="0"/>
              </w:rPr>
            </w:pPr>
            <w:r>
              <w:rPr>
                <w:b/>
                <w:spacing w:val="0"/>
              </w:rPr>
              <w:t>PART I</w:t>
            </w:r>
          </w:p>
        </w:tc>
        <w:tc>
          <w:tcPr>
            <w:tcW w:w="120" w:type="dxa"/>
            <w:tcBorders/>
            <w:shd w:fill="auto" w:val="clear"/>
            <w:vAlign w:val="center"/>
          </w:tcPr>
          <w:p>
            <w:pPr>
              <w:pStyle w:val="TableContents"/>
              <w:spacing w:before="0" w:after="283"/>
              <w:rPr/>
            </w:pPr>
            <w:r>
              <w:rPr/>
              <w:t>  </w:t>
            </w:r>
          </w:p>
        </w:tc>
        <w:tc>
          <w:tcPr>
            <w:tcW w:w="96" w:type="dxa"/>
            <w:tcBorders/>
            <w:shd w:fill="auto" w:val="clear"/>
            <w:vAlign w:val="center"/>
          </w:tcPr>
          <w:p>
            <w:pPr>
              <w:pStyle w:val="TableContents"/>
              <w:spacing w:before="0" w:after="283"/>
              <w:rPr/>
            </w:pPr>
            <w:r>
              <w:rPr/>
              <w:t> </w:t>
            </w:r>
          </w:p>
        </w:tc>
        <w:tc>
          <w:tcPr>
            <w:tcW w:w="419"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r>
        <w:trPr/>
        <w:tc>
          <w:tcPr>
            <w:tcW w:w="1040" w:type="dxa"/>
            <w:tcBorders/>
            <w:shd w:fill="auto" w:val="clear"/>
            <w:vAlign w:val="center"/>
          </w:tcPr>
          <w:p>
            <w:pPr>
              <w:pStyle w:val="TableContents"/>
              <w:spacing w:before="0" w:after="283"/>
              <w:rPr/>
            </w:pPr>
            <w:r>
              <w:rPr/>
              <w:t> </w:t>
            </w:r>
          </w:p>
        </w:tc>
        <w:tc>
          <w:tcPr>
            <w:tcW w:w="8455" w:type="dxa"/>
            <w:gridSpan w:val="2"/>
            <w:tcBorders/>
            <w:shd w:fill="auto" w:val="clear"/>
            <w:vAlign w:val="center"/>
          </w:tcPr>
          <w:p>
            <w:pPr>
              <w:pStyle w:val="TableContents"/>
              <w:spacing w:before="0" w:after="283"/>
              <w:rPr/>
            </w:pPr>
            <w:r>
              <w:rPr/>
              <w:t> </w:t>
            </w:r>
          </w:p>
        </w:tc>
        <w:tc>
          <w:tcPr>
            <w:tcW w:w="710" w:type="dxa"/>
            <w:gridSpan w:val="4"/>
            <w:tcBorders/>
            <w:shd w:fill="auto" w:val="clear"/>
            <w:vAlign w:val="center"/>
          </w:tcPr>
          <w:p>
            <w:pPr>
              <w:pStyle w:val="TableContents"/>
              <w:spacing w:before="0" w:after="283"/>
              <w:rPr/>
            </w:pPr>
            <w:r>
              <w:rPr/>
              <w:t> </w:t>
            </w:r>
          </w:p>
        </w:tc>
      </w:tr>
      <w:tr>
        <w:trPr/>
        <w:tc>
          <w:tcPr>
            <w:tcW w:w="1040" w:type="dxa"/>
            <w:tcBorders/>
            <w:shd w:fill="auto" w:val="clear"/>
            <w:vAlign w:val="center"/>
          </w:tcPr>
          <w:p>
            <w:pPr>
              <w:pStyle w:val="TableContents"/>
              <w:spacing w:before="0" w:after="283"/>
              <w:rPr/>
            </w:pPr>
            <w:r>
              <w:rPr/>
              <w:t>ITEM 1.</w:t>
            </w:r>
          </w:p>
        </w:tc>
        <w:tc>
          <w:tcPr>
            <w:tcW w:w="60" w:type="dxa"/>
            <w:tcBorders/>
            <w:shd w:fill="auto" w:val="clear"/>
            <w:vAlign w:val="center"/>
          </w:tcPr>
          <w:p>
            <w:pPr>
              <w:pStyle w:val="TableContents"/>
              <w:spacing w:before="0" w:after="283"/>
              <w:rPr/>
            </w:pPr>
            <w:r>
              <w:rPr/>
              <w:t> </w:t>
            </w:r>
          </w:p>
        </w:tc>
        <w:tc>
          <w:tcPr>
            <w:tcW w:w="8395" w:type="dxa"/>
            <w:tcBorders/>
            <w:shd w:fill="auto" w:val="clear"/>
            <w:vAlign w:val="center"/>
          </w:tcPr>
          <w:p>
            <w:pPr>
              <w:pStyle w:val="TableContents"/>
              <w:spacing w:before="0" w:after="0"/>
              <w:rPr/>
            </w:pPr>
            <w:hyperlink w:anchor="tx120247_1">
              <w:r>
                <w:rPr>
                  <w:rStyle w:val="InternetLink"/>
                  <w:rFonts w:ascii="Times New Roman" w:hAnsi="Times New Roman"/>
                  <w:spacing w:val="0"/>
                  <w:sz w:val="20"/>
                </w:rPr>
                <w:t>BUSINESS</w:t>
              </w:r>
            </w:hyperlink>
          </w:p>
        </w:tc>
        <w:tc>
          <w:tcPr>
            <w:tcW w:w="120" w:type="dxa"/>
            <w:tcBorders/>
            <w:shd w:fill="auto" w:val="clear"/>
            <w:vAlign w:val="center"/>
          </w:tcPr>
          <w:p>
            <w:pPr>
              <w:pStyle w:val="TableContents"/>
              <w:spacing w:before="0" w:after="283"/>
              <w:rPr/>
            </w:pPr>
            <w:r>
              <w:rPr/>
              <w:t>  </w:t>
            </w:r>
          </w:p>
        </w:tc>
        <w:tc>
          <w:tcPr>
            <w:tcW w:w="96" w:type="dxa"/>
            <w:tcBorders/>
            <w:shd w:fill="auto" w:val="clear"/>
            <w:vAlign w:val="center"/>
          </w:tcPr>
          <w:p>
            <w:pPr>
              <w:pStyle w:val="TableContents"/>
              <w:spacing w:before="0" w:after="283"/>
              <w:rPr/>
            </w:pPr>
            <w:r>
              <w:rPr/>
              <w:t> </w:t>
            </w:r>
          </w:p>
        </w:tc>
        <w:tc>
          <w:tcPr>
            <w:tcW w:w="419" w:type="dxa"/>
            <w:tcBorders/>
            <w:shd w:fill="auto" w:val="clear"/>
            <w:vAlign w:val="center"/>
          </w:tcPr>
          <w:p>
            <w:pPr>
              <w:pStyle w:val="TableContents"/>
              <w:spacing w:before="0" w:after="283"/>
              <w:jc w:val="right"/>
              <w:rPr/>
            </w:pPr>
            <w:r>
              <w:rPr/>
              <w:t>3</w:t>
            </w:r>
          </w:p>
        </w:tc>
        <w:tc>
          <w:tcPr>
            <w:tcW w:w="75" w:type="dxa"/>
            <w:tcBorders/>
            <w:shd w:fill="auto" w:val="clear"/>
            <w:vAlign w:val="center"/>
          </w:tcPr>
          <w:p>
            <w:pPr>
              <w:pStyle w:val="TableContents"/>
              <w:spacing w:before="0" w:after="283"/>
              <w:rPr/>
            </w:pPr>
            <w:r>
              <w:rPr/>
              <w:t> </w:t>
            </w:r>
          </w:p>
        </w:tc>
      </w:tr>
      <w:tr>
        <w:trPr/>
        <w:tc>
          <w:tcPr>
            <w:tcW w:w="1040" w:type="dxa"/>
            <w:tcBorders/>
            <w:shd w:fill="auto" w:val="clear"/>
            <w:vAlign w:val="center"/>
          </w:tcPr>
          <w:p>
            <w:pPr>
              <w:pStyle w:val="TableContents"/>
              <w:spacing w:before="0" w:after="283"/>
              <w:rPr/>
            </w:pPr>
            <w:r>
              <w:rPr/>
              <w:t>ITEM 1A.</w:t>
            </w:r>
          </w:p>
        </w:tc>
        <w:tc>
          <w:tcPr>
            <w:tcW w:w="60" w:type="dxa"/>
            <w:tcBorders/>
            <w:shd w:fill="auto" w:val="clear"/>
            <w:vAlign w:val="center"/>
          </w:tcPr>
          <w:p>
            <w:pPr>
              <w:pStyle w:val="TableContents"/>
              <w:spacing w:before="0" w:after="283"/>
              <w:rPr/>
            </w:pPr>
            <w:r>
              <w:rPr/>
              <w:t> </w:t>
            </w:r>
          </w:p>
        </w:tc>
        <w:tc>
          <w:tcPr>
            <w:tcW w:w="8395" w:type="dxa"/>
            <w:tcBorders/>
            <w:shd w:fill="auto" w:val="clear"/>
            <w:vAlign w:val="center"/>
          </w:tcPr>
          <w:p>
            <w:pPr>
              <w:pStyle w:val="TableContents"/>
              <w:spacing w:before="0" w:after="0"/>
              <w:rPr/>
            </w:pPr>
            <w:hyperlink w:anchor="tx120247_2">
              <w:r>
                <w:rPr>
                  <w:rStyle w:val="InternetLink"/>
                  <w:rFonts w:ascii="Times New Roman" w:hAnsi="Times New Roman"/>
                  <w:spacing w:val="0"/>
                  <w:sz w:val="20"/>
                </w:rPr>
                <w:t>RISK FACTORS</w:t>
              </w:r>
            </w:hyperlink>
          </w:p>
        </w:tc>
        <w:tc>
          <w:tcPr>
            <w:tcW w:w="120" w:type="dxa"/>
            <w:tcBorders/>
            <w:shd w:fill="auto" w:val="clear"/>
            <w:vAlign w:val="center"/>
          </w:tcPr>
          <w:p>
            <w:pPr>
              <w:pStyle w:val="TableContents"/>
              <w:spacing w:before="0" w:after="283"/>
              <w:rPr/>
            </w:pPr>
            <w:r>
              <w:rPr/>
              <w:t>  </w:t>
            </w:r>
          </w:p>
        </w:tc>
        <w:tc>
          <w:tcPr>
            <w:tcW w:w="96" w:type="dxa"/>
            <w:tcBorders/>
            <w:shd w:fill="auto" w:val="clear"/>
            <w:vAlign w:val="center"/>
          </w:tcPr>
          <w:p>
            <w:pPr>
              <w:pStyle w:val="TableContents"/>
              <w:spacing w:before="0" w:after="283"/>
              <w:rPr/>
            </w:pPr>
            <w:r>
              <w:rPr/>
              <w:t> </w:t>
            </w:r>
          </w:p>
        </w:tc>
        <w:tc>
          <w:tcPr>
            <w:tcW w:w="419" w:type="dxa"/>
            <w:tcBorders/>
            <w:shd w:fill="auto" w:val="clear"/>
            <w:vAlign w:val="center"/>
          </w:tcPr>
          <w:p>
            <w:pPr>
              <w:pStyle w:val="TableContents"/>
              <w:spacing w:before="0" w:after="283"/>
              <w:jc w:val="right"/>
              <w:rPr/>
            </w:pPr>
            <w:r>
              <w:rPr/>
              <w:t>15</w:t>
            </w:r>
          </w:p>
        </w:tc>
        <w:tc>
          <w:tcPr>
            <w:tcW w:w="75" w:type="dxa"/>
            <w:tcBorders/>
            <w:shd w:fill="auto" w:val="clear"/>
            <w:vAlign w:val="center"/>
          </w:tcPr>
          <w:p>
            <w:pPr>
              <w:pStyle w:val="TableContents"/>
              <w:spacing w:before="0" w:after="283"/>
              <w:rPr/>
            </w:pPr>
            <w:r>
              <w:rPr/>
              <w:t> </w:t>
            </w:r>
          </w:p>
        </w:tc>
      </w:tr>
      <w:tr>
        <w:trPr/>
        <w:tc>
          <w:tcPr>
            <w:tcW w:w="1040" w:type="dxa"/>
            <w:tcBorders/>
            <w:shd w:fill="auto" w:val="clear"/>
            <w:vAlign w:val="center"/>
          </w:tcPr>
          <w:p>
            <w:pPr>
              <w:pStyle w:val="TableContents"/>
              <w:spacing w:before="0" w:after="283"/>
              <w:rPr/>
            </w:pPr>
            <w:r>
              <w:rPr/>
              <w:t>ITEM 1B.</w:t>
            </w:r>
          </w:p>
        </w:tc>
        <w:tc>
          <w:tcPr>
            <w:tcW w:w="60" w:type="dxa"/>
            <w:tcBorders/>
            <w:shd w:fill="auto" w:val="clear"/>
            <w:vAlign w:val="center"/>
          </w:tcPr>
          <w:p>
            <w:pPr>
              <w:pStyle w:val="TableContents"/>
              <w:spacing w:before="0" w:after="283"/>
              <w:rPr/>
            </w:pPr>
            <w:r>
              <w:rPr/>
              <w:t> </w:t>
            </w:r>
          </w:p>
        </w:tc>
        <w:tc>
          <w:tcPr>
            <w:tcW w:w="8395" w:type="dxa"/>
            <w:tcBorders/>
            <w:shd w:fill="auto" w:val="clear"/>
            <w:vAlign w:val="center"/>
          </w:tcPr>
          <w:p>
            <w:pPr>
              <w:pStyle w:val="TableContents"/>
              <w:spacing w:before="0" w:after="0"/>
              <w:rPr/>
            </w:pPr>
            <w:hyperlink w:anchor="tx120247_3">
              <w:r>
                <w:rPr>
                  <w:rStyle w:val="InternetLink"/>
                  <w:rFonts w:ascii="Times New Roman" w:hAnsi="Times New Roman"/>
                  <w:spacing w:val="0"/>
                  <w:sz w:val="20"/>
                </w:rPr>
                <w:t>UNRESOLVED STAFF COMMENTS</w:t>
              </w:r>
            </w:hyperlink>
          </w:p>
        </w:tc>
        <w:tc>
          <w:tcPr>
            <w:tcW w:w="120" w:type="dxa"/>
            <w:tcBorders/>
            <w:shd w:fill="auto" w:val="clear"/>
            <w:vAlign w:val="center"/>
          </w:tcPr>
          <w:p>
            <w:pPr>
              <w:pStyle w:val="TableContents"/>
              <w:spacing w:before="0" w:after="283"/>
              <w:rPr/>
            </w:pPr>
            <w:r>
              <w:rPr/>
              <w:t>  </w:t>
            </w:r>
          </w:p>
        </w:tc>
        <w:tc>
          <w:tcPr>
            <w:tcW w:w="96" w:type="dxa"/>
            <w:tcBorders/>
            <w:shd w:fill="auto" w:val="clear"/>
            <w:vAlign w:val="center"/>
          </w:tcPr>
          <w:p>
            <w:pPr>
              <w:pStyle w:val="TableContents"/>
              <w:spacing w:before="0" w:after="283"/>
              <w:rPr/>
            </w:pPr>
            <w:r>
              <w:rPr/>
              <w:t> </w:t>
            </w:r>
          </w:p>
        </w:tc>
        <w:tc>
          <w:tcPr>
            <w:tcW w:w="419" w:type="dxa"/>
            <w:tcBorders/>
            <w:shd w:fill="auto" w:val="clear"/>
            <w:vAlign w:val="center"/>
          </w:tcPr>
          <w:p>
            <w:pPr>
              <w:pStyle w:val="TableContents"/>
              <w:spacing w:before="0" w:after="283"/>
              <w:jc w:val="right"/>
              <w:rPr/>
            </w:pPr>
            <w:r>
              <w:rPr/>
              <w:t>29</w:t>
            </w:r>
          </w:p>
        </w:tc>
        <w:tc>
          <w:tcPr>
            <w:tcW w:w="75" w:type="dxa"/>
            <w:tcBorders/>
            <w:shd w:fill="auto" w:val="clear"/>
            <w:vAlign w:val="center"/>
          </w:tcPr>
          <w:p>
            <w:pPr>
              <w:pStyle w:val="TableContents"/>
              <w:spacing w:before="0" w:after="283"/>
              <w:rPr/>
            </w:pPr>
            <w:r>
              <w:rPr/>
              <w:t> </w:t>
            </w:r>
          </w:p>
        </w:tc>
      </w:tr>
      <w:tr>
        <w:trPr/>
        <w:tc>
          <w:tcPr>
            <w:tcW w:w="1040" w:type="dxa"/>
            <w:tcBorders/>
            <w:shd w:fill="auto" w:val="clear"/>
            <w:vAlign w:val="center"/>
          </w:tcPr>
          <w:p>
            <w:pPr>
              <w:pStyle w:val="TableContents"/>
              <w:spacing w:before="0" w:after="283"/>
              <w:rPr/>
            </w:pPr>
            <w:r>
              <w:rPr/>
              <w:t>ITEM 2.</w:t>
            </w:r>
          </w:p>
        </w:tc>
        <w:tc>
          <w:tcPr>
            <w:tcW w:w="60" w:type="dxa"/>
            <w:tcBorders/>
            <w:shd w:fill="auto" w:val="clear"/>
            <w:vAlign w:val="center"/>
          </w:tcPr>
          <w:p>
            <w:pPr>
              <w:pStyle w:val="TableContents"/>
              <w:spacing w:before="0" w:after="283"/>
              <w:rPr/>
            </w:pPr>
            <w:r>
              <w:rPr/>
              <w:t> </w:t>
            </w:r>
          </w:p>
        </w:tc>
        <w:tc>
          <w:tcPr>
            <w:tcW w:w="8395" w:type="dxa"/>
            <w:tcBorders/>
            <w:shd w:fill="auto" w:val="clear"/>
            <w:vAlign w:val="center"/>
          </w:tcPr>
          <w:p>
            <w:pPr>
              <w:pStyle w:val="TableContents"/>
              <w:spacing w:before="0" w:after="0"/>
              <w:rPr/>
            </w:pPr>
            <w:hyperlink w:anchor="tx120247_4">
              <w:r>
                <w:rPr>
                  <w:rStyle w:val="InternetLink"/>
                  <w:rFonts w:ascii="Times New Roman" w:hAnsi="Times New Roman"/>
                  <w:spacing w:val="0"/>
                  <w:sz w:val="20"/>
                </w:rPr>
                <w:t>PROPERTIES</w:t>
              </w:r>
            </w:hyperlink>
          </w:p>
        </w:tc>
        <w:tc>
          <w:tcPr>
            <w:tcW w:w="120" w:type="dxa"/>
            <w:tcBorders/>
            <w:shd w:fill="auto" w:val="clear"/>
            <w:vAlign w:val="center"/>
          </w:tcPr>
          <w:p>
            <w:pPr>
              <w:pStyle w:val="TableContents"/>
              <w:spacing w:before="0" w:after="283"/>
              <w:rPr/>
            </w:pPr>
            <w:r>
              <w:rPr/>
              <w:t>  </w:t>
            </w:r>
          </w:p>
        </w:tc>
        <w:tc>
          <w:tcPr>
            <w:tcW w:w="96" w:type="dxa"/>
            <w:tcBorders/>
            <w:shd w:fill="auto" w:val="clear"/>
            <w:vAlign w:val="center"/>
          </w:tcPr>
          <w:p>
            <w:pPr>
              <w:pStyle w:val="TableContents"/>
              <w:spacing w:before="0" w:after="283"/>
              <w:rPr/>
            </w:pPr>
            <w:r>
              <w:rPr/>
              <w:t> </w:t>
            </w:r>
          </w:p>
        </w:tc>
        <w:tc>
          <w:tcPr>
            <w:tcW w:w="419" w:type="dxa"/>
            <w:tcBorders/>
            <w:shd w:fill="auto" w:val="clear"/>
            <w:vAlign w:val="center"/>
          </w:tcPr>
          <w:p>
            <w:pPr>
              <w:pStyle w:val="TableContents"/>
              <w:spacing w:before="0" w:after="283"/>
              <w:jc w:val="right"/>
              <w:rPr/>
            </w:pPr>
            <w:r>
              <w:rPr/>
              <w:t>30</w:t>
            </w:r>
          </w:p>
        </w:tc>
        <w:tc>
          <w:tcPr>
            <w:tcW w:w="75" w:type="dxa"/>
            <w:tcBorders/>
            <w:shd w:fill="auto" w:val="clear"/>
            <w:vAlign w:val="center"/>
          </w:tcPr>
          <w:p>
            <w:pPr>
              <w:pStyle w:val="TableContents"/>
              <w:spacing w:before="0" w:after="283"/>
              <w:rPr/>
            </w:pPr>
            <w:r>
              <w:rPr/>
              <w:t> </w:t>
            </w:r>
          </w:p>
        </w:tc>
      </w:tr>
      <w:tr>
        <w:trPr/>
        <w:tc>
          <w:tcPr>
            <w:tcW w:w="1040" w:type="dxa"/>
            <w:tcBorders/>
            <w:shd w:fill="auto" w:val="clear"/>
            <w:vAlign w:val="center"/>
          </w:tcPr>
          <w:p>
            <w:pPr>
              <w:pStyle w:val="TableContents"/>
              <w:spacing w:before="0" w:after="283"/>
              <w:rPr/>
            </w:pPr>
            <w:r>
              <w:rPr/>
              <w:t>ITEM 3.</w:t>
            </w:r>
          </w:p>
        </w:tc>
        <w:tc>
          <w:tcPr>
            <w:tcW w:w="60" w:type="dxa"/>
            <w:tcBorders/>
            <w:shd w:fill="auto" w:val="clear"/>
            <w:vAlign w:val="center"/>
          </w:tcPr>
          <w:p>
            <w:pPr>
              <w:pStyle w:val="TableContents"/>
              <w:spacing w:before="0" w:after="283"/>
              <w:rPr/>
            </w:pPr>
            <w:r>
              <w:rPr/>
              <w:t> </w:t>
            </w:r>
          </w:p>
        </w:tc>
        <w:tc>
          <w:tcPr>
            <w:tcW w:w="8395" w:type="dxa"/>
            <w:tcBorders/>
            <w:shd w:fill="auto" w:val="clear"/>
            <w:vAlign w:val="center"/>
          </w:tcPr>
          <w:p>
            <w:pPr>
              <w:pStyle w:val="TableContents"/>
              <w:spacing w:before="0" w:after="0"/>
              <w:rPr/>
            </w:pPr>
            <w:hyperlink w:anchor="tx120247_5">
              <w:r>
                <w:rPr>
                  <w:rStyle w:val="InternetLink"/>
                  <w:rFonts w:ascii="Times New Roman" w:hAnsi="Times New Roman"/>
                  <w:spacing w:val="0"/>
                  <w:sz w:val="20"/>
                </w:rPr>
                <w:t>LEGAL PROCEEDINGS</w:t>
              </w:r>
            </w:hyperlink>
          </w:p>
        </w:tc>
        <w:tc>
          <w:tcPr>
            <w:tcW w:w="120" w:type="dxa"/>
            <w:tcBorders/>
            <w:shd w:fill="auto" w:val="clear"/>
            <w:vAlign w:val="center"/>
          </w:tcPr>
          <w:p>
            <w:pPr>
              <w:pStyle w:val="TableContents"/>
              <w:spacing w:before="0" w:after="283"/>
              <w:rPr/>
            </w:pPr>
            <w:r>
              <w:rPr/>
              <w:t>  </w:t>
            </w:r>
          </w:p>
        </w:tc>
        <w:tc>
          <w:tcPr>
            <w:tcW w:w="96" w:type="dxa"/>
            <w:tcBorders/>
            <w:shd w:fill="auto" w:val="clear"/>
            <w:vAlign w:val="center"/>
          </w:tcPr>
          <w:p>
            <w:pPr>
              <w:pStyle w:val="TableContents"/>
              <w:spacing w:before="0" w:after="283"/>
              <w:rPr/>
            </w:pPr>
            <w:r>
              <w:rPr/>
              <w:t> </w:t>
            </w:r>
          </w:p>
        </w:tc>
        <w:tc>
          <w:tcPr>
            <w:tcW w:w="419" w:type="dxa"/>
            <w:tcBorders/>
            <w:shd w:fill="auto" w:val="clear"/>
            <w:vAlign w:val="center"/>
          </w:tcPr>
          <w:p>
            <w:pPr>
              <w:pStyle w:val="TableContents"/>
              <w:spacing w:before="0" w:after="283"/>
              <w:jc w:val="right"/>
              <w:rPr/>
            </w:pPr>
            <w:r>
              <w:rPr/>
              <w:t>31</w:t>
            </w:r>
          </w:p>
        </w:tc>
        <w:tc>
          <w:tcPr>
            <w:tcW w:w="75" w:type="dxa"/>
            <w:tcBorders/>
            <w:shd w:fill="auto" w:val="clear"/>
            <w:vAlign w:val="center"/>
          </w:tcPr>
          <w:p>
            <w:pPr>
              <w:pStyle w:val="TableContents"/>
              <w:spacing w:before="0" w:after="283"/>
              <w:rPr/>
            </w:pPr>
            <w:r>
              <w:rPr/>
              <w:t> </w:t>
            </w:r>
          </w:p>
        </w:tc>
      </w:tr>
      <w:tr>
        <w:trPr/>
        <w:tc>
          <w:tcPr>
            <w:tcW w:w="1040" w:type="dxa"/>
            <w:tcBorders/>
            <w:shd w:fill="auto" w:val="clear"/>
            <w:vAlign w:val="center"/>
          </w:tcPr>
          <w:p>
            <w:pPr>
              <w:pStyle w:val="TableContents"/>
              <w:spacing w:before="0" w:after="283"/>
              <w:rPr/>
            </w:pPr>
            <w:r>
              <w:rPr/>
              <w:t>ITEM 4.</w:t>
            </w:r>
          </w:p>
        </w:tc>
        <w:tc>
          <w:tcPr>
            <w:tcW w:w="60" w:type="dxa"/>
            <w:tcBorders/>
            <w:shd w:fill="auto" w:val="clear"/>
            <w:vAlign w:val="center"/>
          </w:tcPr>
          <w:p>
            <w:pPr>
              <w:pStyle w:val="TableContents"/>
              <w:spacing w:before="0" w:after="283"/>
              <w:rPr/>
            </w:pPr>
            <w:r>
              <w:rPr/>
              <w:t> </w:t>
            </w:r>
          </w:p>
        </w:tc>
        <w:tc>
          <w:tcPr>
            <w:tcW w:w="8395" w:type="dxa"/>
            <w:tcBorders/>
            <w:shd w:fill="auto" w:val="clear"/>
            <w:vAlign w:val="center"/>
          </w:tcPr>
          <w:p>
            <w:pPr>
              <w:pStyle w:val="TableContents"/>
              <w:spacing w:before="0" w:after="0"/>
              <w:rPr/>
            </w:pPr>
            <w:hyperlink w:anchor="tx120247_6">
              <w:r>
                <w:rPr>
                  <w:rStyle w:val="InternetLink"/>
                  <w:rFonts w:ascii="Times New Roman" w:hAnsi="Times New Roman"/>
                  <w:spacing w:val="0"/>
                  <w:sz w:val="20"/>
                </w:rPr>
                <w:t>MINE SAFETY DISCLOSURES</w:t>
              </w:r>
            </w:hyperlink>
          </w:p>
        </w:tc>
        <w:tc>
          <w:tcPr>
            <w:tcW w:w="120" w:type="dxa"/>
            <w:tcBorders/>
            <w:shd w:fill="auto" w:val="clear"/>
            <w:vAlign w:val="center"/>
          </w:tcPr>
          <w:p>
            <w:pPr>
              <w:pStyle w:val="TableContents"/>
              <w:spacing w:before="0" w:after="283"/>
              <w:rPr/>
            </w:pPr>
            <w:r>
              <w:rPr/>
              <w:t>  </w:t>
            </w:r>
          </w:p>
        </w:tc>
        <w:tc>
          <w:tcPr>
            <w:tcW w:w="96" w:type="dxa"/>
            <w:tcBorders/>
            <w:shd w:fill="auto" w:val="clear"/>
            <w:vAlign w:val="center"/>
          </w:tcPr>
          <w:p>
            <w:pPr>
              <w:pStyle w:val="TableContents"/>
              <w:spacing w:before="0" w:after="283"/>
              <w:rPr/>
            </w:pPr>
            <w:r>
              <w:rPr/>
              <w:t> </w:t>
            </w:r>
          </w:p>
        </w:tc>
        <w:tc>
          <w:tcPr>
            <w:tcW w:w="419" w:type="dxa"/>
            <w:tcBorders/>
            <w:shd w:fill="auto" w:val="clear"/>
            <w:vAlign w:val="center"/>
          </w:tcPr>
          <w:p>
            <w:pPr>
              <w:pStyle w:val="TableContents"/>
              <w:spacing w:before="0" w:after="283"/>
              <w:jc w:val="right"/>
              <w:rPr/>
            </w:pPr>
            <w:r>
              <w:rPr/>
              <w:t>31</w:t>
            </w:r>
          </w:p>
        </w:tc>
        <w:tc>
          <w:tcPr>
            <w:tcW w:w="75" w:type="dxa"/>
            <w:tcBorders/>
            <w:shd w:fill="auto" w:val="clear"/>
            <w:vAlign w:val="center"/>
          </w:tcPr>
          <w:p>
            <w:pPr>
              <w:pStyle w:val="TableContents"/>
              <w:spacing w:before="0" w:after="283"/>
              <w:rPr/>
            </w:pPr>
            <w:r>
              <w:rPr/>
              <w:t> </w:t>
            </w:r>
          </w:p>
        </w:tc>
      </w:tr>
      <w:tr>
        <w:trPr/>
        <w:tc>
          <w:tcPr>
            <w:tcW w:w="1040" w:type="dxa"/>
            <w:tcBorders/>
            <w:shd w:fill="auto" w:val="clear"/>
            <w:vAlign w:val="center"/>
          </w:tcPr>
          <w:p>
            <w:pPr>
              <w:pStyle w:val="TableContents"/>
              <w:spacing w:before="0" w:after="283"/>
              <w:rPr/>
            </w:pPr>
            <w:r>
              <w:rPr/>
              <w:t> </w:t>
            </w:r>
          </w:p>
        </w:tc>
        <w:tc>
          <w:tcPr>
            <w:tcW w:w="8455" w:type="dxa"/>
            <w:gridSpan w:val="2"/>
            <w:tcBorders/>
            <w:shd w:fill="auto" w:val="clear"/>
            <w:vAlign w:val="center"/>
          </w:tcPr>
          <w:p>
            <w:pPr>
              <w:pStyle w:val="TableContents"/>
              <w:spacing w:before="0" w:after="283"/>
              <w:rPr/>
            </w:pPr>
            <w:r>
              <w:rPr/>
              <w:t> </w:t>
            </w:r>
          </w:p>
        </w:tc>
        <w:tc>
          <w:tcPr>
            <w:tcW w:w="710" w:type="dxa"/>
            <w:gridSpan w:val="4"/>
            <w:tcBorders/>
            <w:shd w:fill="auto" w:val="clear"/>
            <w:vAlign w:val="center"/>
          </w:tcPr>
          <w:p>
            <w:pPr>
              <w:pStyle w:val="TableContents"/>
              <w:spacing w:before="0" w:after="283"/>
              <w:rPr/>
            </w:pPr>
            <w:r>
              <w:rPr/>
              <w:t> </w:t>
            </w:r>
          </w:p>
        </w:tc>
      </w:tr>
      <w:tr>
        <w:trPr/>
        <w:tc>
          <w:tcPr>
            <w:tcW w:w="104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395" w:type="dxa"/>
            <w:tcBorders/>
            <w:shd w:fill="auto" w:val="clear"/>
            <w:vAlign w:val="center"/>
          </w:tcPr>
          <w:p>
            <w:pPr>
              <w:pStyle w:val="TableContents"/>
              <w:spacing w:before="0" w:after="0"/>
              <w:jc w:val="center"/>
              <w:rPr>
                <w:b/>
                <w:spacing w:val="0"/>
              </w:rPr>
            </w:pPr>
            <w:r>
              <w:rPr>
                <w:b/>
                <w:spacing w:val="0"/>
              </w:rPr>
              <w:t>PART II</w:t>
            </w:r>
          </w:p>
        </w:tc>
        <w:tc>
          <w:tcPr>
            <w:tcW w:w="120" w:type="dxa"/>
            <w:tcBorders/>
            <w:shd w:fill="auto" w:val="clear"/>
            <w:vAlign w:val="center"/>
          </w:tcPr>
          <w:p>
            <w:pPr>
              <w:pStyle w:val="TableContents"/>
              <w:spacing w:before="0" w:after="283"/>
              <w:rPr/>
            </w:pPr>
            <w:r>
              <w:rPr/>
              <w:t>  </w:t>
            </w:r>
          </w:p>
        </w:tc>
        <w:tc>
          <w:tcPr>
            <w:tcW w:w="96" w:type="dxa"/>
            <w:tcBorders/>
            <w:shd w:fill="auto" w:val="clear"/>
            <w:vAlign w:val="center"/>
          </w:tcPr>
          <w:p>
            <w:pPr>
              <w:pStyle w:val="TableContents"/>
              <w:spacing w:before="0" w:after="283"/>
              <w:rPr/>
            </w:pPr>
            <w:r>
              <w:rPr/>
              <w:t> </w:t>
            </w:r>
          </w:p>
        </w:tc>
        <w:tc>
          <w:tcPr>
            <w:tcW w:w="419"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r>
        <w:trPr/>
        <w:tc>
          <w:tcPr>
            <w:tcW w:w="1040" w:type="dxa"/>
            <w:tcBorders/>
            <w:shd w:fill="auto" w:val="clear"/>
            <w:vAlign w:val="center"/>
          </w:tcPr>
          <w:p>
            <w:pPr>
              <w:pStyle w:val="TableContents"/>
              <w:spacing w:before="0" w:after="283"/>
              <w:rPr/>
            </w:pPr>
            <w:r>
              <w:rPr/>
              <w:t> </w:t>
            </w:r>
          </w:p>
        </w:tc>
        <w:tc>
          <w:tcPr>
            <w:tcW w:w="8455" w:type="dxa"/>
            <w:gridSpan w:val="2"/>
            <w:tcBorders/>
            <w:shd w:fill="auto" w:val="clear"/>
            <w:vAlign w:val="center"/>
          </w:tcPr>
          <w:p>
            <w:pPr>
              <w:pStyle w:val="TableContents"/>
              <w:spacing w:before="0" w:after="283"/>
              <w:rPr/>
            </w:pPr>
            <w:r>
              <w:rPr/>
              <w:t> </w:t>
            </w:r>
          </w:p>
        </w:tc>
        <w:tc>
          <w:tcPr>
            <w:tcW w:w="710" w:type="dxa"/>
            <w:gridSpan w:val="4"/>
            <w:tcBorders/>
            <w:shd w:fill="auto" w:val="clear"/>
            <w:vAlign w:val="center"/>
          </w:tcPr>
          <w:p>
            <w:pPr>
              <w:pStyle w:val="TableContents"/>
              <w:spacing w:before="0" w:after="283"/>
              <w:rPr/>
            </w:pPr>
            <w:r>
              <w:rPr/>
              <w:t> </w:t>
            </w:r>
          </w:p>
        </w:tc>
      </w:tr>
      <w:tr>
        <w:trPr/>
        <w:tc>
          <w:tcPr>
            <w:tcW w:w="1040" w:type="dxa"/>
            <w:tcBorders/>
            <w:shd w:fill="auto" w:val="clear"/>
            <w:vAlign w:val="center"/>
          </w:tcPr>
          <w:p>
            <w:pPr>
              <w:pStyle w:val="TableContents"/>
              <w:spacing w:before="0" w:after="283"/>
              <w:rPr/>
            </w:pPr>
            <w:r>
              <w:rPr/>
              <w:t>ITEM 5.</w:t>
            </w:r>
          </w:p>
        </w:tc>
        <w:tc>
          <w:tcPr>
            <w:tcW w:w="60" w:type="dxa"/>
            <w:tcBorders/>
            <w:shd w:fill="auto" w:val="clear"/>
            <w:vAlign w:val="center"/>
          </w:tcPr>
          <w:p>
            <w:pPr>
              <w:pStyle w:val="TableContents"/>
              <w:spacing w:before="0" w:after="283"/>
              <w:rPr/>
            </w:pPr>
            <w:r>
              <w:rPr/>
              <w:t> </w:t>
            </w:r>
          </w:p>
        </w:tc>
        <w:tc>
          <w:tcPr>
            <w:tcW w:w="8395" w:type="dxa"/>
            <w:tcBorders/>
            <w:shd w:fill="auto" w:val="clear"/>
            <w:vAlign w:val="center"/>
          </w:tcPr>
          <w:p>
            <w:pPr>
              <w:pStyle w:val="TableContents"/>
              <w:spacing w:before="0" w:after="0"/>
              <w:rPr/>
            </w:pPr>
            <w:hyperlink w:anchor="tx120247_7">
              <w:r>
                <w:rPr>
                  <w:rStyle w:val="InternetLink"/>
                  <w:rFonts w:ascii="Times New Roman" w:hAnsi="Times New Roman"/>
                  <w:spacing w:val="0"/>
                  <w:sz w:val="20"/>
                </w:rPr>
                <w:t>MARKET FOR REGISTRANT’S COMMON EQUITY, RELATED STOCKHOLDER MATTERS AND ISSUER PURCHASES OF EQUITY SECURITIES</w:t>
              </w:r>
            </w:hyperlink>
          </w:p>
        </w:tc>
        <w:tc>
          <w:tcPr>
            <w:tcW w:w="120" w:type="dxa"/>
            <w:tcBorders/>
            <w:shd w:fill="auto" w:val="clear"/>
            <w:vAlign w:val="center"/>
          </w:tcPr>
          <w:p>
            <w:pPr>
              <w:pStyle w:val="TableContents"/>
              <w:spacing w:before="0" w:after="283"/>
              <w:rPr/>
            </w:pPr>
            <w:r>
              <w:rPr/>
              <w:t>  </w:t>
            </w:r>
          </w:p>
        </w:tc>
        <w:tc>
          <w:tcPr>
            <w:tcW w:w="96" w:type="dxa"/>
            <w:tcBorders/>
            <w:shd w:fill="auto" w:val="clear"/>
            <w:vAlign w:val="center"/>
          </w:tcPr>
          <w:p>
            <w:pPr>
              <w:pStyle w:val="TableContents"/>
              <w:spacing w:before="0" w:after="283"/>
              <w:rPr/>
            </w:pPr>
            <w:r>
              <w:rPr/>
              <w:t> </w:t>
            </w:r>
          </w:p>
        </w:tc>
        <w:tc>
          <w:tcPr>
            <w:tcW w:w="419" w:type="dxa"/>
            <w:tcBorders/>
            <w:shd w:fill="auto" w:val="clear"/>
            <w:vAlign w:val="center"/>
          </w:tcPr>
          <w:p>
            <w:pPr>
              <w:pStyle w:val="TableContents"/>
              <w:spacing w:before="0" w:after="283"/>
              <w:jc w:val="right"/>
              <w:rPr/>
            </w:pPr>
            <w:r>
              <w:rPr/>
              <w:t>32</w:t>
            </w:r>
          </w:p>
        </w:tc>
        <w:tc>
          <w:tcPr>
            <w:tcW w:w="75" w:type="dxa"/>
            <w:tcBorders/>
            <w:shd w:fill="auto" w:val="clear"/>
            <w:vAlign w:val="center"/>
          </w:tcPr>
          <w:p>
            <w:pPr>
              <w:pStyle w:val="TableContents"/>
              <w:spacing w:before="0" w:after="283"/>
              <w:rPr/>
            </w:pPr>
            <w:r>
              <w:rPr/>
              <w:t> </w:t>
            </w:r>
          </w:p>
        </w:tc>
      </w:tr>
      <w:tr>
        <w:trPr/>
        <w:tc>
          <w:tcPr>
            <w:tcW w:w="1040" w:type="dxa"/>
            <w:tcBorders/>
            <w:shd w:fill="auto" w:val="clear"/>
            <w:vAlign w:val="center"/>
          </w:tcPr>
          <w:p>
            <w:pPr>
              <w:pStyle w:val="TableContents"/>
              <w:spacing w:before="0" w:after="283"/>
              <w:rPr/>
            </w:pPr>
            <w:r>
              <w:rPr/>
              <w:t>ITEM 6.</w:t>
            </w:r>
          </w:p>
        </w:tc>
        <w:tc>
          <w:tcPr>
            <w:tcW w:w="60" w:type="dxa"/>
            <w:tcBorders/>
            <w:shd w:fill="auto" w:val="clear"/>
            <w:vAlign w:val="center"/>
          </w:tcPr>
          <w:p>
            <w:pPr>
              <w:pStyle w:val="TableContents"/>
              <w:spacing w:before="0" w:after="283"/>
              <w:rPr/>
            </w:pPr>
            <w:r>
              <w:rPr/>
              <w:t> </w:t>
            </w:r>
          </w:p>
        </w:tc>
        <w:tc>
          <w:tcPr>
            <w:tcW w:w="8395" w:type="dxa"/>
            <w:tcBorders/>
            <w:shd w:fill="auto" w:val="clear"/>
            <w:vAlign w:val="center"/>
          </w:tcPr>
          <w:p>
            <w:pPr>
              <w:pStyle w:val="TableContents"/>
              <w:spacing w:before="0" w:after="0"/>
              <w:rPr/>
            </w:pPr>
            <w:hyperlink w:anchor="tx120247_8">
              <w:r>
                <w:rPr>
                  <w:rStyle w:val="InternetLink"/>
                  <w:rFonts w:ascii="Times New Roman" w:hAnsi="Times New Roman"/>
                  <w:spacing w:val="0"/>
                  <w:sz w:val="20"/>
                </w:rPr>
                <w:t>SELECTED FINANCIAL DATA</w:t>
              </w:r>
            </w:hyperlink>
          </w:p>
        </w:tc>
        <w:tc>
          <w:tcPr>
            <w:tcW w:w="120" w:type="dxa"/>
            <w:tcBorders/>
            <w:shd w:fill="auto" w:val="clear"/>
            <w:vAlign w:val="center"/>
          </w:tcPr>
          <w:p>
            <w:pPr>
              <w:pStyle w:val="TableContents"/>
              <w:spacing w:before="0" w:after="283"/>
              <w:rPr/>
            </w:pPr>
            <w:r>
              <w:rPr/>
              <w:t>  </w:t>
            </w:r>
          </w:p>
        </w:tc>
        <w:tc>
          <w:tcPr>
            <w:tcW w:w="96" w:type="dxa"/>
            <w:tcBorders/>
            <w:shd w:fill="auto" w:val="clear"/>
            <w:vAlign w:val="center"/>
          </w:tcPr>
          <w:p>
            <w:pPr>
              <w:pStyle w:val="TableContents"/>
              <w:spacing w:before="0" w:after="283"/>
              <w:rPr/>
            </w:pPr>
            <w:r>
              <w:rPr/>
              <w:t> </w:t>
            </w:r>
          </w:p>
        </w:tc>
        <w:tc>
          <w:tcPr>
            <w:tcW w:w="419" w:type="dxa"/>
            <w:tcBorders/>
            <w:shd w:fill="auto" w:val="clear"/>
            <w:vAlign w:val="center"/>
          </w:tcPr>
          <w:p>
            <w:pPr>
              <w:pStyle w:val="TableContents"/>
              <w:spacing w:before="0" w:after="283"/>
              <w:jc w:val="right"/>
              <w:rPr/>
            </w:pPr>
            <w:r>
              <w:rPr/>
              <w:t>33</w:t>
            </w:r>
          </w:p>
        </w:tc>
        <w:tc>
          <w:tcPr>
            <w:tcW w:w="75" w:type="dxa"/>
            <w:tcBorders/>
            <w:shd w:fill="auto" w:val="clear"/>
            <w:vAlign w:val="center"/>
          </w:tcPr>
          <w:p>
            <w:pPr>
              <w:pStyle w:val="TableContents"/>
              <w:spacing w:before="0" w:after="283"/>
              <w:rPr/>
            </w:pPr>
            <w:r>
              <w:rPr/>
              <w:t> </w:t>
            </w:r>
          </w:p>
        </w:tc>
      </w:tr>
      <w:tr>
        <w:trPr/>
        <w:tc>
          <w:tcPr>
            <w:tcW w:w="1040" w:type="dxa"/>
            <w:tcBorders/>
            <w:shd w:fill="auto" w:val="clear"/>
            <w:vAlign w:val="center"/>
          </w:tcPr>
          <w:p>
            <w:pPr>
              <w:pStyle w:val="TableContents"/>
              <w:spacing w:before="0" w:after="283"/>
              <w:rPr/>
            </w:pPr>
            <w:r>
              <w:rPr/>
              <w:t>ITEM 7.</w:t>
            </w:r>
          </w:p>
        </w:tc>
        <w:tc>
          <w:tcPr>
            <w:tcW w:w="60" w:type="dxa"/>
            <w:tcBorders/>
            <w:shd w:fill="auto" w:val="clear"/>
            <w:vAlign w:val="center"/>
          </w:tcPr>
          <w:p>
            <w:pPr>
              <w:pStyle w:val="TableContents"/>
              <w:spacing w:before="0" w:after="283"/>
              <w:rPr/>
            </w:pPr>
            <w:r>
              <w:rPr/>
              <w:t> </w:t>
            </w:r>
          </w:p>
        </w:tc>
        <w:tc>
          <w:tcPr>
            <w:tcW w:w="8395" w:type="dxa"/>
            <w:tcBorders/>
            <w:shd w:fill="auto" w:val="clear"/>
            <w:vAlign w:val="center"/>
          </w:tcPr>
          <w:p>
            <w:pPr>
              <w:pStyle w:val="TableContents"/>
              <w:spacing w:before="0" w:after="0"/>
              <w:rPr/>
            </w:pPr>
            <w:hyperlink w:anchor="tx120247_9">
              <w:r>
                <w:rPr>
                  <w:rStyle w:val="InternetLink"/>
                  <w:rFonts w:ascii="Times New Roman" w:hAnsi="Times New Roman"/>
                  <w:spacing w:val="0"/>
                  <w:sz w:val="20"/>
                </w:rPr>
                <w:t>MANAGEMENT’S DISCUSSION AND ANALYSIS OF FINANCIAL CONDITION AND RESULTS OF OPERATIONS</w:t>
              </w:r>
            </w:hyperlink>
          </w:p>
        </w:tc>
        <w:tc>
          <w:tcPr>
            <w:tcW w:w="120" w:type="dxa"/>
            <w:tcBorders/>
            <w:shd w:fill="auto" w:val="clear"/>
            <w:vAlign w:val="center"/>
          </w:tcPr>
          <w:p>
            <w:pPr>
              <w:pStyle w:val="TableContents"/>
              <w:spacing w:before="0" w:after="283"/>
              <w:rPr/>
            </w:pPr>
            <w:r>
              <w:rPr/>
              <w:t>  </w:t>
            </w:r>
          </w:p>
        </w:tc>
        <w:tc>
          <w:tcPr>
            <w:tcW w:w="96" w:type="dxa"/>
            <w:tcBorders/>
            <w:shd w:fill="auto" w:val="clear"/>
            <w:vAlign w:val="center"/>
          </w:tcPr>
          <w:p>
            <w:pPr>
              <w:pStyle w:val="TableContents"/>
              <w:spacing w:before="0" w:after="283"/>
              <w:rPr/>
            </w:pPr>
            <w:r>
              <w:rPr/>
              <w:t> </w:t>
            </w:r>
          </w:p>
        </w:tc>
        <w:tc>
          <w:tcPr>
            <w:tcW w:w="419" w:type="dxa"/>
            <w:tcBorders/>
            <w:shd w:fill="auto" w:val="clear"/>
            <w:vAlign w:val="center"/>
          </w:tcPr>
          <w:p>
            <w:pPr>
              <w:pStyle w:val="TableContents"/>
              <w:spacing w:before="0" w:after="283"/>
              <w:jc w:val="right"/>
              <w:rPr/>
            </w:pPr>
            <w:r>
              <w:rPr/>
              <w:t>34</w:t>
            </w:r>
          </w:p>
        </w:tc>
        <w:tc>
          <w:tcPr>
            <w:tcW w:w="75" w:type="dxa"/>
            <w:tcBorders/>
            <w:shd w:fill="auto" w:val="clear"/>
            <w:vAlign w:val="center"/>
          </w:tcPr>
          <w:p>
            <w:pPr>
              <w:pStyle w:val="TableContents"/>
              <w:spacing w:before="0" w:after="283"/>
              <w:rPr/>
            </w:pPr>
            <w:r>
              <w:rPr/>
              <w:t> </w:t>
            </w:r>
          </w:p>
        </w:tc>
      </w:tr>
      <w:tr>
        <w:trPr/>
        <w:tc>
          <w:tcPr>
            <w:tcW w:w="1040" w:type="dxa"/>
            <w:tcBorders/>
            <w:shd w:fill="auto" w:val="clear"/>
            <w:vAlign w:val="center"/>
          </w:tcPr>
          <w:p>
            <w:pPr>
              <w:pStyle w:val="TableContents"/>
              <w:spacing w:before="0" w:after="283"/>
              <w:rPr/>
            </w:pPr>
            <w:r>
              <w:rPr/>
              <w:t>ITEM 7A.</w:t>
            </w:r>
          </w:p>
        </w:tc>
        <w:tc>
          <w:tcPr>
            <w:tcW w:w="60" w:type="dxa"/>
            <w:tcBorders/>
            <w:shd w:fill="auto" w:val="clear"/>
            <w:vAlign w:val="center"/>
          </w:tcPr>
          <w:p>
            <w:pPr>
              <w:pStyle w:val="TableContents"/>
              <w:spacing w:before="0" w:after="283"/>
              <w:rPr/>
            </w:pPr>
            <w:r>
              <w:rPr/>
              <w:t> </w:t>
            </w:r>
          </w:p>
        </w:tc>
        <w:tc>
          <w:tcPr>
            <w:tcW w:w="8395" w:type="dxa"/>
            <w:tcBorders/>
            <w:shd w:fill="auto" w:val="clear"/>
            <w:vAlign w:val="center"/>
          </w:tcPr>
          <w:p>
            <w:pPr>
              <w:pStyle w:val="TableContents"/>
              <w:spacing w:before="0" w:after="0"/>
              <w:rPr/>
            </w:pPr>
            <w:hyperlink w:anchor="tx120247_10">
              <w:r>
                <w:rPr>
                  <w:rStyle w:val="InternetLink"/>
                  <w:rFonts w:ascii="Times New Roman" w:hAnsi="Times New Roman"/>
                  <w:spacing w:val="0"/>
                  <w:sz w:val="20"/>
                </w:rPr>
                <w:t>QUANTITATIVE AND QUALITATIVE DISCLOSURES ABOUT MARKET RISK</w:t>
              </w:r>
            </w:hyperlink>
          </w:p>
        </w:tc>
        <w:tc>
          <w:tcPr>
            <w:tcW w:w="120" w:type="dxa"/>
            <w:tcBorders/>
            <w:shd w:fill="auto" w:val="clear"/>
            <w:vAlign w:val="center"/>
          </w:tcPr>
          <w:p>
            <w:pPr>
              <w:pStyle w:val="TableContents"/>
              <w:spacing w:before="0" w:after="283"/>
              <w:rPr/>
            </w:pPr>
            <w:r>
              <w:rPr/>
              <w:t>  </w:t>
            </w:r>
          </w:p>
        </w:tc>
        <w:tc>
          <w:tcPr>
            <w:tcW w:w="96" w:type="dxa"/>
            <w:tcBorders/>
            <w:shd w:fill="auto" w:val="clear"/>
            <w:vAlign w:val="center"/>
          </w:tcPr>
          <w:p>
            <w:pPr>
              <w:pStyle w:val="TableContents"/>
              <w:spacing w:before="0" w:after="283"/>
              <w:rPr/>
            </w:pPr>
            <w:r>
              <w:rPr/>
              <w:t> </w:t>
            </w:r>
          </w:p>
        </w:tc>
        <w:tc>
          <w:tcPr>
            <w:tcW w:w="419" w:type="dxa"/>
            <w:tcBorders/>
            <w:shd w:fill="auto" w:val="clear"/>
            <w:vAlign w:val="center"/>
          </w:tcPr>
          <w:p>
            <w:pPr>
              <w:pStyle w:val="TableContents"/>
              <w:spacing w:before="0" w:after="283"/>
              <w:jc w:val="right"/>
              <w:rPr/>
            </w:pPr>
            <w:r>
              <w:rPr/>
              <w:t>51</w:t>
            </w:r>
          </w:p>
        </w:tc>
        <w:tc>
          <w:tcPr>
            <w:tcW w:w="75" w:type="dxa"/>
            <w:tcBorders/>
            <w:shd w:fill="auto" w:val="clear"/>
            <w:vAlign w:val="center"/>
          </w:tcPr>
          <w:p>
            <w:pPr>
              <w:pStyle w:val="TableContents"/>
              <w:spacing w:before="0" w:after="283"/>
              <w:rPr/>
            </w:pPr>
            <w:r>
              <w:rPr/>
              <w:t> </w:t>
            </w:r>
          </w:p>
        </w:tc>
      </w:tr>
      <w:tr>
        <w:trPr/>
        <w:tc>
          <w:tcPr>
            <w:tcW w:w="1040" w:type="dxa"/>
            <w:tcBorders/>
            <w:shd w:fill="auto" w:val="clear"/>
            <w:vAlign w:val="center"/>
          </w:tcPr>
          <w:p>
            <w:pPr>
              <w:pStyle w:val="TableContents"/>
              <w:spacing w:before="0" w:after="283"/>
              <w:rPr/>
            </w:pPr>
            <w:r>
              <w:rPr/>
              <w:t>ITEM 8.</w:t>
            </w:r>
          </w:p>
        </w:tc>
        <w:tc>
          <w:tcPr>
            <w:tcW w:w="60" w:type="dxa"/>
            <w:tcBorders/>
            <w:shd w:fill="auto" w:val="clear"/>
            <w:vAlign w:val="center"/>
          </w:tcPr>
          <w:p>
            <w:pPr>
              <w:pStyle w:val="TableContents"/>
              <w:spacing w:before="0" w:after="283"/>
              <w:rPr/>
            </w:pPr>
            <w:r>
              <w:rPr/>
              <w:t> </w:t>
            </w:r>
          </w:p>
        </w:tc>
        <w:tc>
          <w:tcPr>
            <w:tcW w:w="8395" w:type="dxa"/>
            <w:tcBorders/>
            <w:shd w:fill="auto" w:val="clear"/>
            <w:vAlign w:val="center"/>
          </w:tcPr>
          <w:p>
            <w:pPr>
              <w:pStyle w:val="TableContents"/>
              <w:spacing w:before="0" w:after="0"/>
              <w:rPr/>
            </w:pPr>
            <w:hyperlink w:anchor="tx120247_11">
              <w:r>
                <w:rPr>
                  <w:rStyle w:val="InternetLink"/>
                  <w:rFonts w:ascii="Times New Roman" w:hAnsi="Times New Roman"/>
                  <w:spacing w:val="0"/>
                  <w:sz w:val="20"/>
                </w:rPr>
                <w:t>FINANCIAL STATEMENTS AND SUPPLEMENTARY DATA</w:t>
              </w:r>
            </w:hyperlink>
          </w:p>
        </w:tc>
        <w:tc>
          <w:tcPr>
            <w:tcW w:w="120" w:type="dxa"/>
            <w:tcBorders/>
            <w:shd w:fill="auto" w:val="clear"/>
            <w:vAlign w:val="center"/>
          </w:tcPr>
          <w:p>
            <w:pPr>
              <w:pStyle w:val="TableContents"/>
              <w:spacing w:before="0" w:after="283"/>
              <w:rPr/>
            </w:pPr>
            <w:r>
              <w:rPr/>
              <w:t>  </w:t>
            </w:r>
          </w:p>
        </w:tc>
        <w:tc>
          <w:tcPr>
            <w:tcW w:w="96" w:type="dxa"/>
            <w:tcBorders/>
            <w:shd w:fill="auto" w:val="clear"/>
            <w:vAlign w:val="center"/>
          </w:tcPr>
          <w:p>
            <w:pPr>
              <w:pStyle w:val="TableContents"/>
              <w:spacing w:before="0" w:after="283"/>
              <w:rPr/>
            </w:pPr>
            <w:r>
              <w:rPr/>
              <w:t> </w:t>
            </w:r>
          </w:p>
        </w:tc>
        <w:tc>
          <w:tcPr>
            <w:tcW w:w="419" w:type="dxa"/>
            <w:tcBorders/>
            <w:shd w:fill="auto" w:val="clear"/>
            <w:vAlign w:val="center"/>
          </w:tcPr>
          <w:p>
            <w:pPr>
              <w:pStyle w:val="TableContents"/>
              <w:spacing w:before="0" w:after="283"/>
              <w:jc w:val="right"/>
              <w:rPr/>
            </w:pPr>
            <w:r>
              <w:rPr/>
              <w:t>52</w:t>
            </w:r>
          </w:p>
        </w:tc>
        <w:tc>
          <w:tcPr>
            <w:tcW w:w="75" w:type="dxa"/>
            <w:tcBorders/>
            <w:shd w:fill="auto" w:val="clear"/>
            <w:vAlign w:val="center"/>
          </w:tcPr>
          <w:p>
            <w:pPr>
              <w:pStyle w:val="TableContents"/>
              <w:spacing w:before="0" w:after="283"/>
              <w:rPr/>
            </w:pPr>
            <w:r>
              <w:rPr/>
              <w:t> </w:t>
            </w:r>
          </w:p>
        </w:tc>
      </w:tr>
      <w:tr>
        <w:trPr/>
        <w:tc>
          <w:tcPr>
            <w:tcW w:w="1040" w:type="dxa"/>
            <w:tcBorders/>
            <w:shd w:fill="auto" w:val="clear"/>
            <w:vAlign w:val="center"/>
          </w:tcPr>
          <w:p>
            <w:pPr>
              <w:pStyle w:val="TableContents"/>
              <w:spacing w:before="0" w:after="283"/>
              <w:rPr/>
            </w:pPr>
            <w:r>
              <w:rPr/>
              <w:t>ITEM 9.</w:t>
            </w:r>
          </w:p>
        </w:tc>
        <w:tc>
          <w:tcPr>
            <w:tcW w:w="60" w:type="dxa"/>
            <w:tcBorders/>
            <w:shd w:fill="auto" w:val="clear"/>
            <w:vAlign w:val="center"/>
          </w:tcPr>
          <w:p>
            <w:pPr>
              <w:pStyle w:val="TableContents"/>
              <w:spacing w:before="0" w:after="283"/>
              <w:rPr/>
            </w:pPr>
            <w:r>
              <w:rPr/>
              <w:t> </w:t>
            </w:r>
          </w:p>
        </w:tc>
        <w:tc>
          <w:tcPr>
            <w:tcW w:w="8395" w:type="dxa"/>
            <w:tcBorders/>
            <w:shd w:fill="auto" w:val="clear"/>
            <w:vAlign w:val="center"/>
          </w:tcPr>
          <w:p>
            <w:pPr>
              <w:pStyle w:val="TableContents"/>
              <w:spacing w:before="0" w:after="0"/>
              <w:rPr/>
            </w:pPr>
            <w:hyperlink w:anchor="tx120247_12">
              <w:r>
                <w:rPr>
                  <w:rStyle w:val="InternetLink"/>
                  <w:rFonts w:ascii="Times New Roman" w:hAnsi="Times New Roman"/>
                  <w:spacing w:val="0"/>
                  <w:sz w:val="20"/>
                </w:rPr>
                <w:t>CHANGES IN AND DISAGREEMENTS WITH ACCOUNTANTS ON ACCOUNTING AND FINANCIAL DISCLOSURE</w:t>
              </w:r>
            </w:hyperlink>
          </w:p>
        </w:tc>
        <w:tc>
          <w:tcPr>
            <w:tcW w:w="120" w:type="dxa"/>
            <w:tcBorders/>
            <w:shd w:fill="auto" w:val="clear"/>
            <w:vAlign w:val="center"/>
          </w:tcPr>
          <w:p>
            <w:pPr>
              <w:pStyle w:val="TableContents"/>
              <w:spacing w:before="0" w:after="283"/>
              <w:rPr/>
            </w:pPr>
            <w:r>
              <w:rPr/>
              <w:t>  </w:t>
            </w:r>
          </w:p>
        </w:tc>
        <w:tc>
          <w:tcPr>
            <w:tcW w:w="96" w:type="dxa"/>
            <w:tcBorders/>
            <w:shd w:fill="auto" w:val="clear"/>
            <w:vAlign w:val="center"/>
          </w:tcPr>
          <w:p>
            <w:pPr>
              <w:pStyle w:val="TableContents"/>
              <w:spacing w:before="0" w:after="283"/>
              <w:rPr/>
            </w:pPr>
            <w:r>
              <w:rPr/>
              <w:t> </w:t>
            </w:r>
          </w:p>
        </w:tc>
        <w:tc>
          <w:tcPr>
            <w:tcW w:w="419" w:type="dxa"/>
            <w:tcBorders/>
            <w:shd w:fill="auto" w:val="clear"/>
            <w:vAlign w:val="center"/>
          </w:tcPr>
          <w:p>
            <w:pPr>
              <w:pStyle w:val="TableContents"/>
              <w:spacing w:before="0" w:after="283"/>
              <w:jc w:val="right"/>
              <w:rPr/>
            </w:pPr>
            <w:r>
              <w:rPr/>
              <w:t>52</w:t>
            </w:r>
          </w:p>
        </w:tc>
        <w:tc>
          <w:tcPr>
            <w:tcW w:w="75" w:type="dxa"/>
            <w:tcBorders/>
            <w:shd w:fill="auto" w:val="clear"/>
            <w:vAlign w:val="center"/>
          </w:tcPr>
          <w:p>
            <w:pPr>
              <w:pStyle w:val="TableContents"/>
              <w:spacing w:before="0" w:after="283"/>
              <w:rPr/>
            </w:pPr>
            <w:r>
              <w:rPr/>
              <w:t> </w:t>
            </w:r>
          </w:p>
        </w:tc>
      </w:tr>
      <w:tr>
        <w:trPr/>
        <w:tc>
          <w:tcPr>
            <w:tcW w:w="1040" w:type="dxa"/>
            <w:tcBorders/>
            <w:shd w:fill="auto" w:val="clear"/>
            <w:vAlign w:val="center"/>
          </w:tcPr>
          <w:p>
            <w:pPr>
              <w:pStyle w:val="TableContents"/>
              <w:spacing w:before="0" w:after="283"/>
              <w:rPr/>
            </w:pPr>
            <w:r>
              <w:rPr/>
              <w:t>ITEM 9A.</w:t>
            </w:r>
          </w:p>
        </w:tc>
        <w:tc>
          <w:tcPr>
            <w:tcW w:w="60" w:type="dxa"/>
            <w:tcBorders/>
            <w:shd w:fill="auto" w:val="clear"/>
            <w:vAlign w:val="center"/>
          </w:tcPr>
          <w:p>
            <w:pPr>
              <w:pStyle w:val="TableContents"/>
              <w:spacing w:before="0" w:after="283"/>
              <w:rPr/>
            </w:pPr>
            <w:r>
              <w:rPr/>
              <w:t> </w:t>
            </w:r>
          </w:p>
        </w:tc>
        <w:tc>
          <w:tcPr>
            <w:tcW w:w="8395" w:type="dxa"/>
            <w:tcBorders/>
            <w:shd w:fill="auto" w:val="clear"/>
            <w:vAlign w:val="center"/>
          </w:tcPr>
          <w:p>
            <w:pPr>
              <w:pStyle w:val="TableContents"/>
              <w:spacing w:before="0" w:after="0"/>
              <w:rPr/>
            </w:pPr>
            <w:hyperlink w:anchor="tx120247_13">
              <w:r>
                <w:rPr>
                  <w:rStyle w:val="InternetLink"/>
                  <w:rFonts w:ascii="Times New Roman" w:hAnsi="Times New Roman"/>
                  <w:spacing w:val="0"/>
                  <w:sz w:val="20"/>
                </w:rPr>
                <w:t>CONTROLS AND PROCEDURES</w:t>
              </w:r>
            </w:hyperlink>
          </w:p>
        </w:tc>
        <w:tc>
          <w:tcPr>
            <w:tcW w:w="120" w:type="dxa"/>
            <w:tcBorders/>
            <w:shd w:fill="auto" w:val="clear"/>
            <w:vAlign w:val="center"/>
          </w:tcPr>
          <w:p>
            <w:pPr>
              <w:pStyle w:val="TableContents"/>
              <w:spacing w:before="0" w:after="283"/>
              <w:rPr/>
            </w:pPr>
            <w:r>
              <w:rPr/>
              <w:t>  </w:t>
            </w:r>
          </w:p>
        </w:tc>
        <w:tc>
          <w:tcPr>
            <w:tcW w:w="96" w:type="dxa"/>
            <w:tcBorders/>
            <w:shd w:fill="auto" w:val="clear"/>
            <w:vAlign w:val="center"/>
          </w:tcPr>
          <w:p>
            <w:pPr>
              <w:pStyle w:val="TableContents"/>
              <w:spacing w:before="0" w:after="283"/>
              <w:rPr/>
            </w:pPr>
            <w:r>
              <w:rPr/>
              <w:t> </w:t>
            </w:r>
          </w:p>
        </w:tc>
        <w:tc>
          <w:tcPr>
            <w:tcW w:w="419" w:type="dxa"/>
            <w:tcBorders/>
            <w:shd w:fill="auto" w:val="clear"/>
            <w:vAlign w:val="center"/>
          </w:tcPr>
          <w:p>
            <w:pPr>
              <w:pStyle w:val="TableContents"/>
              <w:spacing w:before="0" w:after="283"/>
              <w:jc w:val="right"/>
              <w:rPr/>
            </w:pPr>
            <w:r>
              <w:rPr/>
              <w:t>52</w:t>
            </w:r>
          </w:p>
        </w:tc>
        <w:tc>
          <w:tcPr>
            <w:tcW w:w="75" w:type="dxa"/>
            <w:tcBorders/>
            <w:shd w:fill="auto" w:val="clear"/>
            <w:vAlign w:val="center"/>
          </w:tcPr>
          <w:p>
            <w:pPr>
              <w:pStyle w:val="TableContents"/>
              <w:spacing w:before="0" w:after="283"/>
              <w:rPr/>
            </w:pPr>
            <w:r>
              <w:rPr/>
              <w:t> </w:t>
            </w:r>
          </w:p>
        </w:tc>
      </w:tr>
      <w:tr>
        <w:trPr/>
        <w:tc>
          <w:tcPr>
            <w:tcW w:w="1040" w:type="dxa"/>
            <w:tcBorders/>
            <w:shd w:fill="auto" w:val="clear"/>
            <w:vAlign w:val="center"/>
          </w:tcPr>
          <w:p>
            <w:pPr>
              <w:pStyle w:val="TableContents"/>
              <w:spacing w:before="0" w:after="283"/>
              <w:rPr/>
            </w:pPr>
            <w:r>
              <w:rPr/>
              <w:t>ITEM 9B.</w:t>
            </w:r>
          </w:p>
        </w:tc>
        <w:tc>
          <w:tcPr>
            <w:tcW w:w="60" w:type="dxa"/>
            <w:tcBorders/>
            <w:shd w:fill="auto" w:val="clear"/>
            <w:vAlign w:val="center"/>
          </w:tcPr>
          <w:p>
            <w:pPr>
              <w:pStyle w:val="TableContents"/>
              <w:spacing w:before="0" w:after="283"/>
              <w:rPr/>
            </w:pPr>
            <w:r>
              <w:rPr/>
              <w:t> </w:t>
            </w:r>
          </w:p>
        </w:tc>
        <w:tc>
          <w:tcPr>
            <w:tcW w:w="8395" w:type="dxa"/>
            <w:tcBorders/>
            <w:shd w:fill="auto" w:val="clear"/>
            <w:vAlign w:val="center"/>
          </w:tcPr>
          <w:p>
            <w:pPr>
              <w:pStyle w:val="TableContents"/>
              <w:spacing w:before="0" w:after="0"/>
              <w:rPr/>
            </w:pPr>
            <w:hyperlink w:anchor="tx120247_14">
              <w:r>
                <w:rPr>
                  <w:rStyle w:val="InternetLink"/>
                  <w:rFonts w:ascii="Times New Roman" w:hAnsi="Times New Roman"/>
                  <w:spacing w:val="0"/>
                  <w:sz w:val="20"/>
                </w:rPr>
                <w:t>OTHER INFORMATION</w:t>
              </w:r>
            </w:hyperlink>
          </w:p>
        </w:tc>
        <w:tc>
          <w:tcPr>
            <w:tcW w:w="120" w:type="dxa"/>
            <w:tcBorders/>
            <w:shd w:fill="auto" w:val="clear"/>
            <w:vAlign w:val="center"/>
          </w:tcPr>
          <w:p>
            <w:pPr>
              <w:pStyle w:val="TableContents"/>
              <w:spacing w:before="0" w:after="283"/>
              <w:rPr/>
            </w:pPr>
            <w:r>
              <w:rPr/>
              <w:t>  </w:t>
            </w:r>
          </w:p>
        </w:tc>
        <w:tc>
          <w:tcPr>
            <w:tcW w:w="96" w:type="dxa"/>
            <w:tcBorders/>
            <w:shd w:fill="auto" w:val="clear"/>
            <w:vAlign w:val="center"/>
          </w:tcPr>
          <w:p>
            <w:pPr>
              <w:pStyle w:val="TableContents"/>
              <w:spacing w:before="0" w:after="283"/>
              <w:rPr/>
            </w:pPr>
            <w:r>
              <w:rPr/>
              <w:t> </w:t>
            </w:r>
          </w:p>
        </w:tc>
        <w:tc>
          <w:tcPr>
            <w:tcW w:w="419" w:type="dxa"/>
            <w:tcBorders/>
            <w:shd w:fill="auto" w:val="clear"/>
            <w:vAlign w:val="center"/>
          </w:tcPr>
          <w:p>
            <w:pPr>
              <w:pStyle w:val="TableContents"/>
              <w:spacing w:before="0" w:after="283"/>
              <w:jc w:val="right"/>
              <w:rPr/>
            </w:pPr>
            <w:r>
              <w:rPr/>
              <w:t>52</w:t>
            </w:r>
          </w:p>
        </w:tc>
        <w:tc>
          <w:tcPr>
            <w:tcW w:w="75" w:type="dxa"/>
            <w:tcBorders/>
            <w:shd w:fill="auto" w:val="clear"/>
            <w:vAlign w:val="center"/>
          </w:tcPr>
          <w:p>
            <w:pPr>
              <w:pStyle w:val="TableContents"/>
              <w:spacing w:before="0" w:after="283"/>
              <w:rPr/>
            </w:pPr>
            <w:r>
              <w:rPr/>
              <w:t> </w:t>
            </w:r>
          </w:p>
        </w:tc>
      </w:tr>
      <w:tr>
        <w:trPr/>
        <w:tc>
          <w:tcPr>
            <w:tcW w:w="1040" w:type="dxa"/>
            <w:tcBorders/>
            <w:shd w:fill="auto" w:val="clear"/>
            <w:vAlign w:val="center"/>
          </w:tcPr>
          <w:p>
            <w:pPr>
              <w:pStyle w:val="TableContents"/>
              <w:spacing w:before="0" w:after="283"/>
              <w:rPr/>
            </w:pPr>
            <w:r>
              <w:rPr/>
              <w:t> </w:t>
            </w:r>
          </w:p>
        </w:tc>
        <w:tc>
          <w:tcPr>
            <w:tcW w:w="8455" w:type="dxa"/>
            <w:gridSpan w:val="2"/>
            <w:tcBorders/>
            <w:shd w:fill="auto" w:val="clear"/>
            <w:vAlign w:val="center"/>
          </w:tcPr>
          <w:p>
            <w:pPr>
              <w:pStyle w:val="TableContents"/>
              <w:spacing w:before="0" w:after="283"/>
              <w:rPr/>
            </w:pPr>
            <w:r>
              <w:rPr/>
              <w:t> </w:t>
            </w:r>
          </w:p>
        </w:tc>
        <w:tc>
          <w:tcPr>
            <w:tcW w:w="710" w:type="dxa"/>
            <w:gridSpan w:val="4"/>
            <w:tcBorders/>
            <w:shd w:fill="auto" w:val="clear"/>
            <w:vAlign w:val="center"/>
          </w:tcPr>
          <w:p>
            <w:pPr>
              <w:pStyle w:val="TableContents"/>
              <w:spacing w:before="0" w:after="283"/>
              <w:rPr/>
            </w:pPr>
            <w:r>
              <w:rPr/>
              <w:t> </w:t>
            </w:r>
          </w:p>
        </w:tc>
      </w:tr>
      <w:tr>
        <w:trPr/>
        <w:tc>
          <w:tcPr>
            <w:tcW w:w="104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395" w:type="dxa"/>
            <w:tcBorders/>
            <w:shd w:fill="auto" w:val="clear"/>
            <w:vAlign w:val="center"/>
          </w:tcPr>
          <w:p>
            <w:pPr>
              <w:pStyle w:val="TableContents"/>
              <w:spacing w:before="0" w:after="0"/>
              <w:jc w:val="center"/>
              <w:rPr>
                <w:b/>
                <w:spacing w:val="0"/>
              </w:rPr>
            </w:pPr>
            <w:r>
              <w:rPr>
                <w:b/>
                <w:spacing w:val="0"/>
              </w:rPr>
              <w:t>PART III</w:t>
            </w:r>
          </w:p>
        </w:tc>
        <w:tc>
          <w:tcPr>
            <w:tcW w:w="120" w:type="dxa"/>
            <w:tcBorders/>
            <w:shd w:fill="auto" w:val="clear"/>
            <w:vAlign w:val="center"/>
          </w:tcPr>
          <w:p>
            <w:pPr>
              <w:pStyle w:val="TableContents"/>
              <w:spacing w:before="0" w:after="283"/>
              <w:rPr/>
            </w:pPr>
            <w:r>
              <w:rPr/>
              <w:t>  </w:t>
            </w:r>
          </w:p>
        </w:tc>
        <w:tc>
          <w:tcPr>
            <w:tcW w:w="96" w:type="dxa"/>
            <w:tcBorders/>
            <w:shd w:fill="auto" w:val="clear"/>
            <w:vAlign w:val="center"/>
          </w:tcPr>
          <w:p>
            <w:pPr>
              <w:pStyle w:val="TableContents"/>
              <w:spacing w:before="0" w:after="283"/>
              <w:rPr/>
            </w:pPr>
            <w:r>
              <w:rPr/>
              <w:t> </w:t>
            </w:r>
          </w:p>
        </w:tc>
        <w:tc>
          <w:tcPr>
            <w:tcW w:w="419"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r>
        <w:trPr/>
        <w:tc>
          <w:tcPr>
            <w:tcW w:w="1040" w:type="dxa"/>
            <w:tcBorders/>
            <w:shd w:fill="auto" w:val="clear"/>
            <w:vAlign w:val="center"/>
          </w:tcPr>
          <w:p>
            <w:pPr>
              <w:pStyle w:val="TableContents"/>
              <w:spacing w:before="0" w:after="283"/>
              <w:rPr/>
            </w:pPr>
            <w:r>
              <w:rPr/>
              <w:t> </w:t>
            </w:r>
          </w:p>
        </w:tc>
        <w:tc>
          <w:tcPr>
            <w:tcW w:w="8455" w:type="dxa"/>
            <w:gridSpan w:val="2"/>
            <w:tcBorders/>
            <w:shd w:fill="auto" w:val="clear"/>
            <w:vAlign w:val="center"/>
          </w:tcPr>
          <w:p>
            <w:pPr>
              <w:pStyle w:val="TableContents"/>
              <w:spacing w:before="0" w:after="283"/>
              <w:rPr/>
            </w:pPr>
            <w:r>
              <w:rPr/>
              <w:t> </w:t>
            </w:r>
          </w:p>
        </w:tc>
        <w:tc>
          <w:tcPr>
            <w:tcW w:w="710" w:type="dxa"/>
            <w:gridSpan w:val="4"/>
            <w:tcBorders/>
            <w:shd w:fill="auto" w:val="clear"/>
            <w:vAlign w:val="center"/>
          </w:tcPr>
          <w:p>
            <w:pPr>
              <w:pStyle w:val="TableContents"/>
              <w:spacing w:before="0" w:after="283"/>
              <w:rPr/>
            </w:pPr>
            <w:r>
              <w:rPr/>
              <w:t> </w:t>
            </w:r>
          </w:p>
        </w:tc>
      </w:tr>
      <w:tr>
        <w:trPr/>
        <w:tc>
          <w:tcPr>
            <w:tcW w:w="1040" w:type="dxa"/>
            <w:tcBorders/>
            <w:shd w:fill="auto" w:val="clear"/>
            <w:vAlign w:val="center"/>
          </w:tcPr>
          <w:p>
            <w:pPr>
              <w:pStyle w:val="TableContents"/>
              <w:spacing w:before="0" w:after="283"/>
              <w:rPr/>
            </w:pPr>
            <w:r>
              <w:rPr/>
              <w:t>ITEM 10.</w:t>
            </w:r>
          </w:p>
        </w:tc>
        <w:tc>
          <w:tcPr>
            <w:tcW w:w="60" w:type="dxa"/>
            <w:tcBorders/>
            <w:shd w:fill="auto" w:val="clear"/>
            <w:vAlign w:val="center"/>
          </w:tcPr>
          <w:p>
            <w:pPr>
              <w:pStyle w:val="TableContents"/>
              <w:spacing w:before="0" w:after="283"/>
              <w:rPr/>
            </w:pPr>
            <w:r>
              <w:rPr/>
              <w:t> </w:t>
            </w:r>
          </w:p>
        </w:tc>
        <w:tc>
          <w:tcPr>
            <w:tcW w:w="8395" w:type="dxa"/>
            <w:tcBorders/>
            <w:shd w:fill="auto" w:val="clear"/>
            <w:vAlign w:val="center"/>
          </w:tcPr>
          <w:p>
            <w:pPr>
              <w:pStyle w:val="TableContents"/>
              <w:spacing w:before="0" w:after="0"/>
              <w:rPr/>
            </w:pPr>
            <w:hyperlink w:anchor="tx120247_15">
              <w:r>
                <w:rPr>
                  <w:rStyle w:val="InternetLink"/>
                  <w:rFonts w:ascii="Times New Roman" w:hAnsi="Times New Roman"/>
                  <w:spacing w:val="0"/>
                  <w:sz w:val="20"/>
                </w:rPr>
                <w:t>DIRECTORS, EXECUTIVE OFFICERS AND CORPORATE GOVERNANCE</w:t>
              </w:r>
            </w:hyperlink>
          </w:p>
        </w:tc>
        <w:tc>
          <w:tcPr>
            <w:tcW w:w="120" w:type="dxa"/>
            <w:tcBorders/>
            <w:shd w:fill="auto" w:val="clear"/>
            <w:vAlign w:val="center"/>
          </w:tcPr>
          <w:p>
            <w:pPr>
              <w:pStyle w:val="TableContents"/>
              <w:spacing w:before="0" w:after="283"/>
              <w:rPr/>
            </w:pPr>
            <w:r>
              <w:rPr/>
              <w:t>  </w:t>
            </w:r>
          </w:p>
        </w:tc>
        <w:tc>
          <w:tcPr>
            <w:tcW w:w="96" w:type="dxa"/>
            <w:tcBorders/>
            <w:shd w:fill="auto" w:val="clear"/>
            <w:vAlign w:val="center"/>
          </w:tcPr>
          <w:p>
            <w:pPr>
              <w:pStyle w:val="TableContents"/>
              <w:spacing w:before="0" w:after="283"/>
              <w:rPr/>
            </w:pPr>
            <w:r>
              <w:rPr/>
              <w:t> </w:t>
            </w:r>
          </w:p>
        </w:tc>
        <w:tc>
          <w:tcPr>
            <w:tcW w:w="419" w:type="dxa"/>
            <w:tcBorders/>
            <w:shd w:fill="auto" w:val="clear"/>
            <w:vAlign w:val="center"/>
          </w:tcPr>
          <w:p>
            <w:pPr>
              <w:pStyle w:val="TableContents"/>
              <w:spacing w:before="0" w:after="283"/>
              <w:jc w:val="right"/>
              <w:rPr/>
            </w:pPr>
            <w:r>
              <w:rPr/>
              <w:t>53</w:t>
            </w:r>
          </w:p>
        </w:tc>
        <w:tc>
          <w:tcPr>
            <w:tcW w:w="75" w:type="dxa"/>
            <w:tcBorders/>
            <w:shd w:fill="auto" w:val="clear"/>
            <w:vAlign w:val="center"/>
          </w:tcPr>
          <w:p>
            <w:pPr>
              <w:pStyle w:val="TableContents"/>
              <w:spacing w:before="0" w:after="283"/>
              <w:rPr/>
            </w:pPr>
            <w:r>
              <w:rPr/>
              <w:t> </w:t>
            </w:r>
          </w:p>
        </w:tc>
      </w:tr>
      <w:tr>
        <w:trPr/>
        <w:tc>
          <w:tcPr>
            <w:tcW w:w="1040" w:type="dxa"/>
            <w:tcBorders/>
            <w:shd w:fill="auto" w:val="clear"/>
            <w:vAlign w:val="center"/>
          </w:tcPr>
          <w:p>
            <w:pPr>
              <w:pStyle w:val="TableContents"/>
              <w:spacing w:before="0" w:after="283"/>
              <w:rPr/>
            </w:pPr>
            <w:r>
              <w:rPr/>
              <w:t>ITEM 11.</w:t>
            </w:r>
          </w:p>
        </w:tc>
        <w:tc>
          <w:tcPr>
            <w:tcW w:w="60" w:type="dxa"/>
            <w:tcBorders/>
            <w:shd w:fill="auto" w:val="clear"/>
            <w:vAlign w:val="center"/>
          </w:tcPr>
          <w:p>
            <w:pPr>
              <w:pStyle w:val="TableContents"/>
              <w:spacing w:before="0" w:after="283"/>
              <w:rPr/>
            </w:pPr>
            <w:r>
              <w:rPr/>
              <w:t> </w:t>
            </w:r>
          </w:p>
        </w:tc>
        <w:tc>
          <w:tcPr>
            <w:tcW w:w="8395" w:type="dxa"/>
            <w:tcBorders/>
            <w:shd w:fill="auto" w:val="clear"/>
            <w:vAlign w:val="center"/>
          </w:tcPr>
          <w:p>
            <w:pPr>
              <w:pStyle w:val="TableContents"/>
              <w:spacing w:before="0" w:after="0"/>
              <w:rPr/>
            </w:pPr>
            <w:hyperlink w:anchor="tx120247_16">
              <w:r>
                <w:rPr>
                  <w:rStyle w:val="InternetLink"/>
                  <w:rFonts w:ascii="Times New Roman" w:hAnsi="Times New Roman"/>
                  <w:spacing w:val="0"/>
                  <w:sz w:val="20"/>
                </w:rPr>
                <w:t>EXECUTIVE COMPENSATION</w:t>
              </w:r>
            </w:hyperlink>
          </w:p>
        </w:tc>
        <w:tc>
          <w:tcPr>
            <w:tcW w:w="120" w:type="dxa"/>
            <w:tcBorders/>
            <w:shd w:fill="auto" w:val="clear"/>
            <w:vAlign w:val="center"/>
          </w:tcPr>
          <w:p>
            <w:pPr>
              <w:pStyle w:val="TableContents"/>
              <w:spacing w:before="0" w:after="283"/>
              <w:rPr/>
            </w:pPr>
            <w:r>
              <w:rPr/>
              <w:t>  </w:t>
            </w:r>
          </w:p>
        </w:tc>
        <w:tc>
          <w:tcPr>
            <w:tcW w:w="96" w:type="dxa"/>
            <w:tcBorders/>
            <w:shd w:fill="auto" w:val="clear"/>
            <w:vAlign w:val="center"/>
          </w:tcPr>
          <w:p>
            <w:pPr>
              <w:pStyle w:val="TableContents"/>
              <w:spacing w:before="0" w:after="283"/>
              <w:rPr/>
            </w:pPr>
            <w:r>
              <w:rPr/>
              <w:t> </w:t>
            </w:r>
          </w:p>
        </w:tc>
        <w:tc>
          <w:tcPr>
            <w:tcW w:w="419" w:type="dxa"/>
            <w:tcBorders/>
            <w:shd w:fill="auto" w:val="clear"/>
            <w:vAlign w:val="center"/>
          </w:tcPr>
          <w:p>
            <w:pPr>
              <w:pStyle w:val="TableContents"/>
              <w:spacing w:before="0" w:after="283"/>
              <w:jc w:val="right"/>
              <w:rPr/>
            </w:pPr>
            <w:r>
              <w:rPr/>
              <w:t>53</w:t>
            </w:r>
          </w:p>
        </w:tc>
        <w:tc>
          <w:tcPr>
            <w:tcW w:w="75" w:type="dxa"/>
            <w:tcBorders/>
            <w:shd w:fill="auto" w:val="clear"/>
            <w:vAlign w:val="center"/>
          </w:tcPr>
          <w:p>
            <w:pPr>
              <w:pStyle w:val="TableContents"/>
              <w:spacing w:before="0" w:after="283"/>
              <w:rPr/>
            </w:pPr>
            <w:r>
              <w:rPr/>
              <w:t> </w:t>
            </w:r>
          </w:p>
        </w:tc>
      </w:tr>
      <w:tr>
        <w:trPr/>
        <w:tc>
          <w:tcPr>
            <w:tcW w:w="1040" w:type="dxa"/>
            <w:tcBorders/>
            <w:shd w:fill="auto" w:val="clear"/>
            <w:vAlign w:val="center"/>
          </w:tcPr>
          <w:p>
            <w:pPr>
              <w:pStyle w:val="TableContents"/>
              <w:spacing w:before="0" w:after="283"/>
              <w:rPr/>
            </w:pPr>
            <w:r>
              <w:rPr/>
              <w:t>ITEM 12.</w:t>
            </w:r>
          </w:p>
        </w:tc>
        <w:tc>
          <w:tcPr>
            <w:tcW w:w="60" w:type="dxa"/>
            <w:tcBorders/>
            <w:shd w:fill="auto" w:val="clear"/>
            <w:vAlign w:val="center"/>
          </w:tcPr>
          <w:p>
            <w:pPr>
              <w:pStyle w:val="TableContents"/>
              <w:spacing w:before="0" w:after="283"/>
              <w:rPr/>
            </w:pPr>
            <w:r>
              <w:rPr/>
              <w:t> </w:t>
            </w:r>
          </w:p>
        </w:tc>
        <w:tc>
          <w:tcPr>
            <w:tcW w:w="8395" w:type="dxa"/>
            <w:tcBorders/>
            <w:shd w:fill="auto" w:val="clear"/>
            <w:vAlign w:val="center"/>
          </w:tcPr>
          <w:p>
            <w:pPr>
              <w:pStyle w:val="TableContents"/>
              <w:spacing w:before="0" w:after="0"/>
              <w:rPr/>
            </w:pPr>
            <w:hyperlink w:anchor="tx120247_17">
              <w:r>
                <w:rPr>
                  <w:rStyle w:val="InternetLink"/>
                  <w:rFonts w:ascii="Times New Roman" w:hAnsi="Times New Roman"/>
                  <w:spacing w:val="0"/>
                  <w:sz w:val="20"/>
                </w:rPr>
                <w:t>SECURITY OWNERSHIP OF CERTAIN BENEFICIAL OWNERS AND MANAGEMENT AND RELATED STOCKHOLDER MATTERS</w:t>
              </w:r>
            </w:hyperlink>
          </w:p>
        </w:tc>
        <w:tc>
          <w:tcPr>
            <w:tcW w:w="120" w:type="dxa"/>
            <w:tcBorders/>
            <w:shd w:fill="auto" w:val="clear"/>
            <w:vAlign w:val="center"/>
          </w:tcPr>
          <w:p>
            <w:pPr>
              <w:pStyle w:val="TableContents"/>
              <w:spacing w:before="0" w:after="283"/>
              <w:rPr/>
            </w:pPr>
            <w:r>
              <w:rPr/>
              <w:t>  </w:t>
            </w:r>
          </w:p>
        </w:tc>
        <w:tc>
          <w:tcPr>
            <w:tcW w:w="96" w:type="dxa"/>
            <w:tcBorders/>
            <w:shd w:fill="auto" w:val="clear"/>
            <w:vAlign w:val="center"/>
          </w:tcPr>
          <w:p>
            <w:pPr>
              <w:pStyle w:val="TableContents"/>
              <w:spacing w:before="0" w:after="283"/>
              <w:rPr/>
            </w:pPr>
            <w:r>
              <w:rPr/>
              <w:t> </w:t>
            </w:r>
          </w:p>
        </w:tc>
        <w:tc>
          <w:tcPr>
            <w:tcW w:w="419" w:type="dxa"/>
            <w:tcBorders/>
            <w:shd w:fill="auto" w:val="clear"/>
            <w:vAlign w:val="center"/>
          </w:tcPr>
          <w:p>
            <w:pPr>
              <w:pStyle w:val="TableContents"/>
              <w:spacing w:before="0" w:after="283"/>
              <w:jc w:val="right"/>
              <w:rPr/>
            </w:pPr>
            <w:r>
              <w:rPr/>
              <w:t>53</w:t>
            </w:r>
          </w:p>
        </w:tc>
        <w:tc>
          <w:tcPr>
            <w:tcW w:w="75" w:type="dxa"/>
            <w:tcBorders/>
            <w:shd w:fill="auto" w:val="clear"/>
            <w:vAlign w:val="center"/>
          </w:tcPr>
          <w:p>
            <w:pPr>
              <w:pStyle w:val="TableContents"/>
              <w:spacing w:before="0" w:after="283"/>
              <w:rPr/>
            </w:pPr>
            <w:r>
              <w:rPr/>
              <w:t> </w:t>
            </w:r>
          </w:p>
        </w:tc>
      </w:tr>
      <w:tr>
        <w:trPr/>
        <w:tc>
          <w:tcPr>
            <w:tcW w:w="1040" w:type="dxa"/>
            <w:tcBorders/>
            <w:shd w:fill="auto" w:val="clear"/>
            <w:vAlign w:val="center"/>
          </w:tcPr>
          <w:p>
            <w:pPr>
              <w:pStyle w:val="TableContents"/>
              <w:spacing w:before="0" w:after="283"/>
              <w:rPr/>
            </w:pPr>
            <w:r>
              <w:rPr/>
              <w:t>ITEM 13.</w:t>
            </w:r>
          </w:p>
        </w:tc>
        <w:tc>
          <w:tcPr>
            <w:tcW w:w="60" w:type="dxa"/>
            <w:tcBorders/>
            <w:shd w:fill="auto" w:val="clear"/>
            <w:vAlign w:val="center"/>
          </w:tcPr>
          <w:p>
            <w:pPr>
              <w:pStyle w:val="TableContents"/>
              <w:spacing w:before="0" w:after="283"/>
              <w:rPr/>
            </w:pPr>
            <w:r>
              <w:rPr/>
              <w:t> </w:t>
            </w:r>
          </w:p>
        </w:tc>
        <w:tc>
          <w:tcPr>
            <w:tcW w:w="8395" w:type="dxa"/>
            <w:tcBorders/>
            <w:shd w:fill="auto" w:val="clear"/>
            <w:vAlign w:val="center"/>
          </w:tcPr>
          <w:p>
            <w:pPr>
              <w:pStyle w:val="TableContents"/>
              <w:spacing w:before="0" w:after="0"/>
              <w:rPr/>
            </w:pPr>
            <w:hyperlink w:anchor="tx120247_18">
              <w:r>
                <w:rPr>
                  <w:rStyle w:val="InternetLink"/>
                  <w:rFonts w:ascii="Times New Roman" w:hAnsi="Times New Roman"/>
                  <w:spacing w:val="0"/>
                  <w:sz w:val="20"/>
                </w:rPr>
                <w:t>CERTAIN RELATIONSHIPS AND RELATED TRANSACTIONS, AND DIRECTOR INDEPENDENCE</w:t>
              </w:r>
            </w:hyperlink>
          </w:p>
        </w:tc>
        <w:tc>
          <w:tcPr>
            <w:tcW w:w="120" w:type="dxa"/>
            <w:tcBorders/>
            <w:shd w:fill="auto" w:val="clear"/>
            <w:vAlign w:val="center"/>
          </w:tcPr>
          <w:p>
            <w:pPr>
              <w:pStyle w:val="TableContents"/>
              <w:spacing w:before="0" w:after="283"/>
              <w:rPr/>
            </w:pPr>
            <w:r>
              <w:rPr/>
              <w:t>  </w:t>
            </w:r>
          </w:p>
        </w:tc>
        <w:tc>
          <w:tcPr>
            <w:tcW w:w="96" w:type="dxa"/>
            <w:tcBorders/>
            <w:shd w:fill="auto" w:val="clear"/>
            <w:vAlign w:val="center"/>
          </w:tcPr>
          <w:p>
            <w:pPr>
              <w:pStyle w:val="TableContents"/>
              <w:spacing w:before="0" w:after="283"/>
              <w:rPr/>
            </w:pPr>
            <w:r>
              <w:rPr/>
              <w:t> </w:t>
            </w:r>
          </w:p>
        </w:tc>
        <w:tc>
          <w:tcPr>
            <w:tcW w:w="419" w:type="dxa"/>
            <w:tcBorders/>
            <w:shd w:fill="auto" w:val="clear"/>
            <w:vAlign w:val="center"/>
          </w:tcPr>
          <w:p>
            <w:pPr>
              <w:pStyle w:val="TableContents"/>
              <w:spacing w:before="0" w:after="283"/>
              <w:jc w:val="right"/>
              <w:rPr/>
            </w:pPr>
            <w:r>
              <w:rPr/>
              <w:t>53</w:t>
            </w:r>
          </w:p>
        </w:tc>
        <w:tc>
          <w:tcPr>
            <w:tcW w:w="75" w:type="dxa"/>
            <w:tcBorders/>
            <w:shd w:fill="auto" w:val="clear"/>
            <w:vAlign w:val="center"/>
          </w:tcPr>
          <w:p>
            <w:pPr>
              <w:pStyle w:val="TableContents"/>
              <w:spacing w:before="0" w:after="283"/>
              <w:rPr/>
            </w:pPr>
            <w:r>
              <w:rPr/>
              <w:t> </w:t>
            </w:r>
          </w:p>
        </w:tc>
      </w:tr>
      <w:tr>
        <w:trPr/>
        <w:tc>
          <w:tcPr>
            <w:tcW w:w="1040" w:type="dxa"/>
            <w:tcBorders/>
            <w:shd w:fill="auto" w:val="clear"/>
            <w:vAlign w:val="center"/>
          </w:tcPr>
          <w:p>
            <w:pPr>
              <w:pStyle w:val="TableContents"/>
              <w:spacing w:before="0" w:after="283"/>
              <w:rPr/>
            </w:pPr>
            <w:r>
              <w:rPr/>
              <w:t>ITEM 14.</w:t>
            </w:r>
          </w:p>
        </w:tc>
        <w:tc>
          <w:tcPr>
            <w:tcW w:w="60" w:type="dxa"/>
            <w:tcBorders/>
            <w:shd w:fill="auto" w:val="clear"/>
            <w:vAlign w:val="center"/>
          </w:tcPr>
          <w:p>
            <w:pPr>
              <w:pStyle w:val="TableContents"/>
              <w:spacing w:before="0" w:after="283"/>
              <w:rPr/>
            </w:pPr>
            <w:r>
              <w:rPr/>
              <w:t> </w:t>
            </w:r>
          </w:p>
        </w:tc>
        <w:tc>
          <w:tcPr>
            <w:tcW w:w="8395" w:type="dxa"/>
            <w:tcBorders/>
            <w:shd w:fill="auto" w:val="clear"/>
            <w:vAlign w:val="center"/>
          </w:tcPr>
          <w:p>
            <w:pPr>
              <w:pStyle w:val="TableContents"/>
              <w:spacing w:before="0" w:after="0"/>
              <w:rPr/>
            </w:pPr>
            <w:hyperlink w:anchor="tx120247_19">
              <w:r>
                <w:rPr>
                  <w:rStyle w:val="InternetLink"/>
                  <w:rFonts w:ascii="Times New Roman" w:hAnsi="Times New Roman"/>
                  <w:spacing w:val="0"/>
                  <w:sz w:val="20"/>
                </w:rPr>
                <w:t>PRINCIPAL ACCOUNTANT FEES AND SERVICES</w:t>
              </w:r>
            </w:hyperlink>
          </w:p>
        </w:tc>
        <w:tc>
          <w:tcPr>
            <w:tcW w:w="120" w:type="dxa"/>
            <w:tcBorders/>
            <w:shd w:fill="auto" w:val="clear"/>
            <w:vAlign w:val="center"/>
          </w:tcPr>
          <w:p>
            <w:pPr>
              <w:pStyle w:val="TableContents"/>
              <w:spacing w:before="0" w:after="283"/>
              <w:rPr/>
            </w:pPr>
            <w:r>
              <w:rPr/>
              <w:t>  </w:t>
            </w:r>
          </w:p>
        </w:tc>
        <w:tc>
          <w:tcPr>
            <w:tcW w:w="96" w:type="dxa"/>
            <w:tcBorders/>
            <w:shd w:fill="auto" w:val="clear"/>
            <w:vAlign w:val="center"/>
          </w:tcPr>
          <w:p>
            <w:pPr>
              <w:pStyle w:val="TableContents"/>
              <w:spacing w:before="0" w:after="283"/>
              <w:rPr/>
            </w:pPr>
            <w:r>
              <w:rPr/>
              <w:t> </w:t>
            </w:r>
          </w:p>
        </w:tc>
        <w:tc>
          <w:tcPr>
            <w:tcW w:w="419" w:type="dxa"/>
            <w:tcBorders/>
            <w:shd w:fill="auto" w:val="clear"/>
            <w:vAlign w:val="center"/>
          </w:tcPr>
          <w:p>
            <w:pPr>
              <w:pStyle w:val="TableContents"/>
              <w:spacing w:before="0" w:after="283"/>
              <w:jc w:val="right"/>
              <w:rPr/>
            </w:pPr>
            <w:r>
              <w:rPr/>
              <w:t>53</w:t>
            </w:r>
          </w:p>
        </w:tc>
        <w:tc>
          <w:tcPr>
            <w:tcW w:w="75" w:type="dxa"/>
            <w:tcBorders/>
            <w:shd w:fill="auto" w:val="clear"/>
            <w:vAlign w:val="center"/>
          </w:tcPr>
          <w:p>
            <w:pPr>
              <w:pStyle w:val="TableContents"/>
              <w:spacing w:before="0" w:after="283"/>
              <w:rPr/>
            </w:pPr>
            <w:r>
              <w:rPr/>
              <w:t> </w:t>
            </w:r>
          </w:p>
        </w:tc>
      </w:tr>
      <w:tr>
        <w:trPr/>
        <w:tc>
          <w:tcPr>
            <w:tcW w:w="1040" w:type="dxa"/>
            <w:tcBorders/>
            <w:shd w:fill="auto" w:val="clear"/>
            <w:vAlign w:val="center"/>
          </w:tcPr>
          <w:p>
            <w:pPr>
              <w:pStyle w:val="TableContents"/>
              <w:spacing w:before="0" w:after="283"/>
              <w:rPr/>
            </w:pPr>
            <w:r>
              <w:rPr/>
              <w:t> </w:t>
            </w:r>
          </w:p>
        </w:tc>
        <w:tc>
          <w:tcPr>
            <w:tcW w:w="8455" w:type="dxa"/>
            <w:gridSpan w:val="2"/>
            <w:tcBorders/>
            <w:shd w:fill="auto" w:val="clear"/>
            <w:vAlign w:val="center"/>
          </w:tcPr>
          <w:p>
            <w:pPr>
              <w:pStyle w:val="TableContents"/>
              <w:spacing w:before="0" w:after="283"/>
              <w:rPr/>
            </w:pPr>
            <w:r>
              <w:rPr/>
              <w:t> </w:t>
            </w:r>
          </w:p>
        </w:tc>
        <w:tc>
          <w:tcPr>
            <w:tcW w:w="710" w:type="dxa"/>
            <w:gridSpan w:val="4"/>
            <w:tcBorders/>
            <w:shd w:fill="auto" w:val="clear"/>
            <w:vAlign w:val="center"/>
          </w:tcPr>
          <w:p>
            <w:pPr>
              <w:pStyle w:val="TableContents"/>
              <w:spacing w:before="0" w:after="283"/>
              <w:rPr/>
            </w:pPr>
            <w:r>
              <w:rPr/>
              <w:t> </w:t>
            </w:r>
          </w:p>
        </w:tc>
      </w:tr>
      <w:tr>
        <w:trPr/>
        <w:tc>
          <w:tcPr>
            <w:tcW w:w="104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395" w:type="dxa"/>
            <w:tcBorders/>
            <w:shd w:fill="auto" w:val="clear"/>
            <w:vAlign w:val="center"/>
          </w:tcPr>
          <w:p>
            <w:pPr>
              <w:pStyle w:val="TableContents"/>
              <w:spacing w:before="0" w:after="0"/>
              <w:jc w:val="center"/>
              <w:rPr>
                <w:b/>
                <w:spacing w:val="0"/>
              </w:rPr>
            </w:pPr>
            <w:r>
              <w:rPr>
                <w:b/>
                <w:spacing w:val="0"/>
              </w:rPr>
              <w:t>PART IV</w:t>
            </w:r>
          </w:p>
        </w:tc>
        <w:tc>
          <w:tcPr>
            <w:tcW w:w="120" w:type="dxa"/>
            <w:tcBorders/>
            <w:shd w:fill="auto" w:val="clear"/>
            <w:vAlign w:val="center"/>
          </w:tcPr>
          <w:p>
            <w:pPr>
              <w:pStyle w:val="TableContents"/>
              <w:spacing w:before="0" w:after="283"/>
              <w:rPr/>
            </w:pPr>
            <w:r>
              <w:rPr/>
              <w:t>  </w:t>
            </w:r>
          </w:p>
        </w:tc>
        <w:tc>
          <w:tcPr>
            <w:tcW w:w="96" w:type="dxa"/>
            <w:tcBorders/>
            <w:shd w:fill="auto" w:val="clear"/>
            <w:vAlign w:val="center"/>
          </w:tcPr>
          <w:p>
            <w:pPr>
              <w:pStyle w:val="TableContents"/>
              <w:spacing w:before="0" w:after="283"/>
              <w:rPr/>
            </w:pPr>
            <w:r>
              <w:rPr/>
              <w:t> </w:t>
            </w:r>
          </w:p>
        </w:tc>
        <w:tc>
          <w:tcPr>
            <w:tcW w:w="419"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r>
        <w:trPr/>
        <w:tc>
          <w:tcPr>
            <w:tcW w:w="1040" w:type="dxa"/>
            <w:tcBorders/>
            <w:shd w:fill="auto" w:val="clear"/>
            <w:vAlign w:val="center"/>
          </w:tcPr>
          <w:p>
            <w:pPr>
              <w:pStyle w:val="TableContents"/>
              <w:spacing w:before="0" w:after="283"/>
              <w:rPr/>
            </w:pPr>
            <w:r>
              <w:rPr/>
              <w:t> </w:t>
            </w:r>
          </w:p>
        </w:tc>
        <w:tc>
          <w:tcPr>
            <w:tcW w:w="8455" w:type="dxa"/>
            <w:gridSpan w:val="2"/>
            <w:tcBorders/>
            <w:shd w:fill="auto" w:val="clear"/>
            <w:vAlign w:val="center"/>
          </w:tcPr>
          <w:p>
            <w:pPr>
              <w:pStyle w:val="TableContents"/>
              <w:spacing w:before="0" w:after="283"/>
              <w:rPr/>
            </w:pPr>
            <w:r>
              <w:rPr/>
              <w:t> </w:t>
            </w:r>
          </w:p>
        </w:tc>
        <w:tc>
          <w:tcPr>
            <w:tcW w:w="710" w:type="dxa"/>
            <w:gridSpan w:val="4"/>
            <w:tcBorders/>
            <w:shd w:fill="auto" w:val="clear"/>
            <w:vAlign w:val="center"/>
          </w:tcPr>
          <w:p>
            <w:pPr>
              <w:pStyle w:val="TableContents"/>
              <w:spacing w:before="0" w:after="283"/>
              <w:rPr/>
            </w:pPr>
            <w:r>
              <w:rPr/>
              <w:t> </w:t>
            </w:r>
          </w:p>
        </w:tc>
      </w:tr>
      <w:tr>
        <w:trPr/>
        <w:tc>
          <w:tcPr>
            <w:tcW w:w="1040" w:type="dxa"/>
            <w:tcBorders/>
            <w:shd w:fill="auto" w:val="clear"/>
            <w:vAlign w:val="center"/>
          </w:tcPr>
          <w:p>
            <w:pPr>
              <w:pStyle w:val="TableContents"/>
              <w:spacing w:before="0" w:after="283"/>
              <w:rPr/>
            </w:pPr>
            <w:r>
              <w:rPr/>
              <w:t>ITEM 15.</w:t>
            </w:r>
          </w:p>
        </w:tc>
        <w:tc>
          <w:tcPr>
            <w:tcW w:w="60" w:type="dxa"/>
            <w:tcBorders/>
            <w:shd w:fill="auto" w:val="clear"/>
            <w:vAlign w:val="center"/>
          </w:tcPr>
          <w:p>
            <w:pPr>
              <w:pStyle w:val="TableContents"/>
              <w:spacing w:before="0" w:after="283"/>
              <w:rPr/>
            </w:pPr>
            <w:r>
              <w:rPr/>
              <w:t> </w:t>
            </w:r>
          </w:p>
        </w:tc>
        <w:tc>
          <w:tcPr>
            <w:tcW w:w="8395" w:type="dxa"/>
            <w:tcBorders/>
            <w:shd w:fill="auto" w:val="clear"/>
            <w:vAlign w:val="center"/>
          </w:tcPr>
          <w:p>
            <w:pPr>
              <w:pStyle w:val="TableContents"/>
              <w:spacing w:before="0" w:after="0"/>
              <w:rPr/>
            </w:pPr>
            <w:hyperlink w:anchor="tx120247_20">
              <w:r>
                <w:rPr>
                  <w:rStyle w:val="InternetLink"/>
                  <w:rFonts w:ascii="Times New Roman" w:hAnsi="Times New Roman"/>
                  <w:spacing w:val="0"/>
                  <w:sz w:val="20"/>
                </w:rPr>
                <w:t>EXHIBITS AND FINANCIAL STATEMENT SCHEDULES</w:t>
              </w:r>
            </w:hyperlink>
          </w:p>
        </w:tc>
        <w:tc>
          <w:tcPr>
            <w:tcW w:w="120" w:type="dxa"/>
            <w:tcBorders/>
            <w:shd w:fill="auto" w:val="clear"/>
            <w:vAlign w:val="center"/>
          </w:tcPr>
          <w:p>
            <w:pPr>
              <w:pStyle w:val="TableContents"/>
              <w:spacing w:before="0" w:after="283"/>
              <w:rPr/>
            </w:pPr>
            <w:r>
              <w:rPr/>
              <w:t>  </w:t>
            </w:r>
          </w:p>
        </w:tc>
        <w:tc>
          <w:tcPr>
            <w:tcW w:w="96" w:type="dxa"/>
            <w:tcBorders/>
            <w:shd w:fill="auto" w:val="clear"/>
            <w:vAlign w:val="center"/>
          </w:tcPr>
          <w:p>
            <w:pPr>
              <w:pStyle w:val="TableContents"/>
              <w:spacing w:before="0" w:after="283"/>
              <w:rPr/>
            </w:pPr>
            <w:r>
              <w:rPr/>
              <w:t> </w:t>
            </w:r>
          </w:p>
        </w:tc>
        <w:tc>
          <w:tcPr>
            <w:tcW w:w="419" w:type="dxa"/>
            <w:tcBorders/>
            <w:shd w:fill="auto" w:val="clear"/>
            <w:vAlign w:val="center"/>
          </w:tcPr>
          <w:p>
            <w:pPr>
              <w:pStyle w:val="TableContents"/>
              <w:spacing w:before="0" w:after="283"/>
              <w:jc w:val="right"/>
              <w:rPr/>
            </w:pPr>
            <w:r>
              <w:rPr/>
              <w:t>54</w:t>
            </w:r>
          </w:p>
        </w:tc>
        <w:tc>
          <w:tcPr>
            <w:tcW w:w="75" w:type="dxa"/>
            <w:tcBorders/>
            <w:shd w:fill="auto" w:val="clear"/>
            <w:vAlign w:val="center"/>
          </w:tcPr>
          <w:p>
            <w:pPr>
              <w:pStyle w:val="TableContents"/>
              <w:spacing w:before="0" w:after="283"/>
              <w:rPr/>
            </w:pPr>
            <w:r>
              <w:rPr/>
              <w:t> </w:t>
            </w:r>
          </w:p>
        </w:tc>
      </w:tr>
      <w:tr>
        <w:trPr/>
        <w:tc>
          <w:tcPr>
            <w:tcW w:w="104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395" w:type="dxa"/>
            <w:tcBorders/>
            <w:shd w:fill="auto" w:val="clear"/>
            <w:vAlign w:val="center"/>
          </w:tcPr>
          <w:p>
            <w:pPr>
              <w:pStyle w:val="TableContents"/>
              <w:spacing w:before="0" w:after="0"/>
              <w:rPr/>
            </w:pPr>
            <w:hyperlink w:anchor="tx120247_21">
              <w:r>
                <w:rPr>
                  <w:rStyle w:val="InternetLink"/>
                  <w:rFonts w:ascii="Times New Roman" w:hAnsi="Times New Roman"/>
                  <w:spacing w:val="0"/>
                  <w:sz w:val="20"/>
                </w:rPr>
                <w:t>SIGNATURE PAGE</w:t>
              </w:r>
            </w:hyperlink>
          </w:p>
        </w:tc>
        <w:tc>
          <w:tcPr>
            <w:tcW w:w="120" w:type="dxa"/>
            <w:tcBorders/>
            <w:shd w:fill="auto" w:val="clear"/>
            <w:vAlign w:val="center"/>
          </w:tcPr>
          <w:p>
            <w:pPr>
              <w:pStyle w:val="TableContents"/>
              <w:spacing w:before="0" w:after="283"/>
              <w:rPr/>
            </w:pPr>
            <w:r>
              <w:rPr/>
              <w:t>  </w:t>
            </w:r>
          </w:p>
        </w:tc>
        <w:tc>
          <w:tcPr>
            <w:tcW w:w="96" w:type="dxa"/>
            <w:tcBorders/>
            <w:shd w:fill="auto" w:val="clear"/>
            <w:vAlign w:val="center"/>
          </w:tcPr>
          <w:p>
            <w:pPr>
              <w:pStyle w:val="TableContents"/>
              <w:spacing w:before="0" w:after="283"/>
              <w:rPr/>
            </w:pPr>
            <w:r>
              <w:rPr/>
              <w:t> </w:t>
            </w:r>
          </w:p>
        </w:tc>
        <w:tc>
          <w:tcPr>
            <w:tcW w:w="419" w:type="dxa"/>
            <w:tcBorders/>
            <w:shd w:fill="auto" w:val="clear"/>
            <w:vAlign w:val="center"/>
          </w:tcPr>
          <w:p>
            <w:pPr>
              <w:pStyle w:val="TableContents"/>
              <w:spacing w:before="0" w:after="283"/>
              <w:jc w:val="right"/>
              <w:rPr/>
            </w:pPr>
            <w:r>
              <w:rPr/>
              <w:t>58</w:t>
            </w:r>
          </w:p>
        </w:tc>
        <w:tc>
          <w:tcPr>
            <w:tcW w:w="75" w:type="dxa"/>
            <w:tcBorders/>
            <w:shd w:fill="auto" w:val="clear"/>
            <w:vAlign w:val="center"/>
          </w:tcPr>
          <w:p>
            <w:pPr>
              <w:pStyle w:val="TableContents"/>
              <w:spacing w:before="0" w:after="283"/>
              <w:rPr/>
            </w:pPr>
            <w:r>
              <w:rPr/>
              <w:t> </w:t>
            </w:r>
          </w:p>
        </w:tc>
      </w:tr>
    </w:tbl>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2 </w:t>
      </w:r>
    </w:p>
    <w:p>
      <w:pPr>
        <w:pStyle w:val="HorizontalLine"/>
        <w:rPr/>
      </w:pPr>
      <w:r>
        <w:rPr/>
      </w:r>
    </w:p>
    <w:p>
      <w:pPr>
        <w:pStyle w:val="TextBody"/>
        <w:spacing w:before="0" w:after="0"/>
        <w:rPr/>
      </w:pPr>
      <w:hyperlink w:anchor="toc">
        <w:r>
          <w:rPr>
            <w:rStyle w:val="InternetLink"/>
            <w:b/>
            <w:sz w:val="20"/>
          </w:rPr>
          <w:t>Table of Contents</w:t>
        </w:r>
      </w:hyperlink>
    </w:p>
    <w:p>
      <w:pPr>
        <w:pStyle w:val="TextBody"/>
        <w:spacing w:before="0" w:after="0"/>
        <w:jc w:val="center"/>
        <w:rPr>
          <w:rFonts w:ascii="Times New Roman" w:hAnsi="Times New Roman"/>
          <w:b/>
          <w:spacing w:val="0"/>
          <w:sz w:val="20"/>
        </w:rPr>
      </w:pPr>
      <w:r>
        <w:rPr>
          <w:rFonts w:ascii="Times New Roman" w:hAnsi="Times New Roman"/>
          <w:b/>
          <w:spacing w:val="0"/>
          <w:sz w:val="20"/>
        </w:rPr>
        <w:t xml:space="preserve">FORWARD-LOOKING STATEMENTS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Matters discussed in this report and in other public disclosures, both written and oral, include “forward-looking” statements as defined in the Private Securities Litigation Reform Act of 1995, as codified in Section 27A of the Securities Act of 1933, as amended, and Section 21E of the Securities Act of 1934, as amended (the “Exchange Act”). Forward-looking statements can be identified by the fact that they do not relate strictly to historical or current facts. They often include words such as “believes,” “estimates,” “anticipates,” “expects,” “intends,” “plans,” “seeks,” or words of similar meaning, or future or conditional verbs, such as “may,” “will” “should” “could,” “aims,” “intends,” or “projects,” and similar expressions, whether in the negative or the affirmative. You should not place undue reliance on forward-looking statements, which speak only as of the date of the report. These forward-looking statements are all based on currently available operating, financial and competitive information and are subject to various risks and uncertainties. Our actual future results and trends may differ materially depending on a variety of factors, including, but not limited to, the risk and uncertainties discussed under “Item 1A. Risk Factors” and “Item 7. Management’s Discussion and Analysis of Financial Condition and Results of Operations.” Given these risks and uncertainties, you should not rely on forward-looking statements as a prediction of actual results. Any or all forward-looking statements contained in this report and other public statements made by us, including by our management, may turn out to be incorrect. We are including this cautionary note to make applicable and take advantage of the safe harbor provision the Private Securities Litigation Reform Act of 1995 for forward-looking statements. We expressly disclaim any obligation to update or revise any forward-looking statements, whether as a result of new information, future events, or otherwise. </w:t>
      </w:r>
    </w:p>
    <w:p>
      <w:pPr>
        <w:pStyle w:val="TextBody"/>
        <w:spacing w:before="240" w:after="0"/>
        <w:jc w:val="left"/>
        <w:rPr>
          <w:rFonts w:ascii="Times New Roman" w:hAnsi="Times New Roman"/>
          <w:sz w:val="20"/>
        </w:rPr>
      </w:pPr>
      <w:r>
        <w:rPr>
          <w:rFonts w:ascii="Times New Roman" w:hAnsi="Times New Roman"/>
          <w:sz w:val="20"/>
        </w:rPr>
        <w:t xml:space="preserve">On March 11, 2020, the World Health Organization declared the novel strain of coronavirus </w:t>
      </w:r>
    </w:p>
    <w:p>
      <w:pPr>
        <w:pStyle w:val="TextBody"/>
        <w:spacing w:before="240" w:after="0"/>
        <w:jc w:val="left"/>
        <w:rPr>
          <w:rFonts w:ascii="Times New Roman" w:hAnsi="Times New Roman"/>
          <w:spacing w:val="0"/>
          <w:sz w:val="20"/>
        </w:rPr>
      </w:pPr>
      <w:r>
        <w:rPr>
          <w:rFonts w:ascii="Times New Roman" w:hAnsi="Times New Roman"/>
          <w:spacing w:val="0"/>
          <w:sz w:val="20"/>
        </w:rPr>
        <w:t>(“COVID-19”)</w:t>
      </w:r>
    </w:p>
    <w:p>
      <w:pPr>
        <w:pStyle w:val="TextBody"/>
        <w:spacing w:before="240" w:after="0"/>
        <w:jc w:val="left"/>
        <w:rPr>
          <w:rFonts w:ascii="Times New Roman" w:hAnsi="Times New Roman"/>
          <w:sz w:val="20"/>
        </w:rPr>
      </w:pPr>
      <w:r>
        <w:rPr>
          <w:rFonts w:ascii="Times New Roman" w:hAnsi="Times New Roman"/>
          <w:sz w:val="20"/>
        </w:rPr>
        <w:t xml:space="preserve">outbreak to be a global pandemic and on March 13, 2020, the United States declared a National Public Health Emergency. As a result, several state and local mandates were implemented that encouraged the practice of social distancing, placed restrictions from individuals gathering in groups and, in many areas, placed complete restrictions on </w:t>
      </w:r>
    </w:p>
    <w:p>
      <w:pPr>
        <w:pStyle w:val="TextBody"/>
        <w:spacing w:before="240" w:after="0"/>
        <w:jc w:val="left"/>
        <w:rPr>
          <w:rFonts w:ascii="Times New Roman" w:hAnsi="Times New Roman"/>
          <w:spacing w:val="0"/>
          <w:sz w:val="20"/>
        </w:rPr>
      </w:pPr>
      <w:r>
        <w:rPr>
          <w:rFonts w:ascii="Times New Roman" w:hAnsi="Times New Roman"/>
          <w:spacing w:val="0"/>
          <w:sz w:val="20"/>
        </w:rPr>
        <w:t>non-essential</w:t>
      </w:r>
    </w:p>
    <w:p>
      <w:pPr>
        <w:pStyle w:val="TextBody"/>
        <w:spacing w:before="240" w:after="0"/>
        <w:jc w:val="left"/>
        <w:rPr>
          <w:rFonts w:ascii="Times New Roman" w:hAnsi="Times New Roman"/>
          <w:sz w:val="20"/>
        </w:rPr>
      </w:pPr>
      <w:r>
        <w:rPr>
          <w:rFonts w:ascii="Times New Roman" w:hAnsi="Times New Roman"/>
          <w:sz w:val="20"/>
        </w:rPr>
        <w:t xml:space="preserve">movement outside of the home. Shortly after the national emergency declaration, state and local officials began placing restrictions on businesses, some of which allowed </w:t>
      </w:r>
    </w:p>
    <w:p>
      <w:pPr>
        <w:pStyle w:val="TextBody"/>
        <w:spacing w:before="240" w:after="0"/>
        <w:jc w:val="left"/>
        <w:rPr>
          <w:rFonts w:ascii="Times New Roman" w:hAnsi="Times New Roman"/>
          <w:spacing w:val="0"/>
          <w:sz w:val="20"/>
        </w:rPr>
      </w:pPr>
      <w:r>
        <w:rPr>
          <w:rFonts w:ascii="Times New Roman" w:hAnsi="Times New Roman"/>
          <w:spacing w:val="0"/>
          <w:sz w:val="20"/>
        </w:rPr>
        <w:t>To-Go</w:t>
      </w:r>
    </w:p>
    <w:p>
      <w:pPr>
        <w:pStyle w:val="TextBody"/>
        <w:spacing w:before="240" w:after="0"/>
        <w:jc w:val="left"/>
        <w:rPr>
          <w:rFonts w:ascii="Times New Roman" w:hAnsi="Times New Roman"/>
          <w:sz w:val="20"/>
        </w:rPr>
      </w:pPr>
      <w:r>
        <w:rPr>
          <w:rFonts w:ascii="Times New Roman" w:hAnsi="Times New Roman"/>
          <w:sz w:val="20"/>
        </w:rPr>
        <w:t xml:space="preserve">or curbside service only while others limited capacity in the dining room or midway. By March 20, 2020, all of our 137 operating stores were temporarily closed (including our one new store that opened on March 16, 2020). Beginning April 30, 2020 and continuing through the end of our fiscal year, the Company progressively </w:t>
      </w:r>
    </w:p>
    <w:p>
      <w:pPr>
        <w:pStyle w:val="TextBody"/>
        <w:spacing w:before="240" w:after="0"/>
        <w:jc w:val="left"/>
        <w:rPr>
          <w:rFonts w:ascii="Times New Roman" w:hAnsi="Times New Roman"/>
          <w:spacing w:val="0"/>
          <w:sz w:val="20"/>
        </w:rPr>
      </w:pPr>
      <w:r>
        <w:rPr>
          <w:rFonts w:ascii="Times New Roman" w:hAnsi="Times New Roman"/>
          <w:spacing w:val="0"/>
          <w:sz w:val="20"/>
        </w:rPr>
        <w:t>re-opened</w:t>
      </w:r>
    </w:p>
    <w:p>
      <w:pPr>
        <w:pStyle w:val="TextBody"/>
        <w:spacing w:before="240" w:after="0"/>
        <w:jc w:val="left"/>
        <w:rPr>
          <w:rFonts w:ascii="Times New Roman" w:hAnsi="Times New Roman"/>
          <w:sz w:val="20"/>
        </w:rPr>
      </w:pPr>
      <w:r>
        <w:rPr>
          <w:rFonts w:ascii="Times New Roman" w:hAnsi="Times New Roman"/>
          <w:sz w:val="20"/>
        </w:rPr>
        <w:t xml:space="preserve">107 of our 140 stores with limited operations, including five new stores that opened in the last half of the year. Many of these stores that were </w:t>
      </w:r>
    </w:p>
    <w:p>
      <w:pPr>
        <w:pStyle w:val="TextBody"/>
        <w:spacing w:before="240" w:after="0"/>
        <w:jc w:val="left"/>
        <w:rPr>
          <w:rFonts w:ascii="Times New Roman" w:hAnsi="Times New Roman"/>
          <w:spacing w:val="0"/>
          <w:sz w:val="20"/>
        </w:rPr>
      </w:pPr>
      <w:r>
        <w:rPr>
          <w:rFonts w:ascii="Times New Roman" w:hAnsi="Times New Roman"/>
          <w:spacing w:val="0"/>
          <w:sz w:val="20"/>
        </w:rPr>
        <w:t>re-opened</w:t>
      </w:r>
    </w:p>
    <w:p>
      <w:pPr>
        <w:pStyle w:val="TextBody"/>
        <w:spacing w:before="240" w:after="0"/>
        <w:jc w:val="left"/>
        <w:rPr>
          <w:rFonts w:ascii="Times New Roman" w:hAnsi="Times New Roman"/>
          <w:sz w:val="20"/>
        </w:rPr>
      </w:pPr>
      <w:r>
        <w:rPr>
          <w:rFonts w:ascii="Times New Roman" w:hAnsi="Times New Roman"/>
          <w:sz w:val="20"/>
        </w:rPr>
        <w:t xml:space="preserve">in limited capacity were required to temporarily close again in areas more severely impacted by the </w:t>
      </w:r>
    </w:p>
    <w:p>
      <w:pPr>
        <w:pStyle w:val="TextBody"/>
        <w:spacing w:before="240" w:after="0"/>
        <w:jc w:val="left"/>
        <w:rPr>
          <w:rFonts w:ascii="Times New Roman" w:hAnsi="Times New Roman"/>
          <w:spacing w:val="0"/>
          <w:sz w:val="20"/>
        </w:rPr>
      </w:pPr>
      <w:r>
        <w:rPr>
          <w:rFonts w:ascii="Times New Roman" w:hAnsi="Times New Roman"/>
          <w:spacing w:val="0"/>
          <w:sz w:val="20"/>
        </w:rPr>
        <w:t>COVID-19</w:t>
      </w:r>
    </w:p>
    <w:p>
      <w:pPr>
        <w:pStyle w:val="TextBody"/>
        <w:spacing w:before="240" w:after="0"/>
        <w:jc w:val="left"/>
        <w:rPr>
          <w:rFonts w:ascii="Times New Roman" w:hAnsi="Times New Roman"/>
          <w:sz w:val="20"/>
        </w:rPr>
      </w:pPr>
      <w:r>
        <w:rPr>
          <w:rFonts w:ascii="Times New Roman" w:hAnsi="Times New Roman"/>
          <w:sz w:val="20"/>
        </w:rPr>
        <w:t xml:space="preserve">pandemic, particularly during the fourth quarter holiday season. As of March 28, 2021, fifteen stores continue to remain closed to </w:t>
      </w:r>
    </w:p>
    <w:p>
      <w:pPr>
        <w:pStyle w:val="TextBody"/>
        <w:spacing w:before="240" w:after="0"/>
        <w:jc w:val="left"/>
        <w:rPr>
          <w:rFonts w:ascii="Times New Roman" w:hAnsi="Times New Roman"/>
          <w:spacing w:val="0"/>
          <w:sz w:val="20"/>
        </w:rPr>
      </w:pPr>
      <w:r>
        <w:rPr>
          <w:rFonts w:ascii="Times New Roman" w:hAnsi="Times New Roman"/>
          <w:spacing w:val="0"/>
          <w:sz w:val="20"/>
        </w:rPr>
        <w:t>in-person</w:t>
      </w:r>
    </w:p>
    <w:p>
      <w:pPr>
        <w:pStyle w:val="TextBody"/>
        <w:spacing w:before="240" w:after="0"/>
        <w:jc w:val="left"/>
        <w:rPr>
          <w:rFonts w:ascii="Times New Roman" w:hAnsi="Times New Roman"/>
          <w:sz w:val="20"/>
        </w:rPr>
      </w:pPr>
      <w:r>
        <w:rPr>
          <w:rFonts w:ascii="Times New Roman" w:hAnsi="Times New Roman"/>
          <w:sz w:val="20"/>
        </w:rPr>
        <w:t xml:space="preserve">customers as a result of state and local </w:t>
      </w:r>
    </w:p>
    <w:p>
      <w:pPr>
        <w:pStyle w:val="TextBody"/>
        <w:spacing w:before="240" w:after="0"/>
        <w:jc w:val="left"/>
        <w:rPr>
          <w:rFonts w:ascii="Times New Roman" w:hAnsi="Times New Roman"/>
          <w:spacing w:val="0"/>
          <w:sz w:val="20"/>
        </w:rPr>
      </w:pPr>
      <w:r>
        <w:rPr>
          <w:rFonts w:ascii="Times New Roman" w:hAnsi="Times New Roman"/>
          <w:spacing w:val="0"/>
          <w:sz w:val="20"/>
        </w:rPr>
        <w:t>COVID-19</w:t>
      </w:r>
    </w:p>
    <w:p>
      <w:pPr>
        <w:pStyle w:val="TextBody"/>
        <w:spacing w:before="240" w:after="0"/>
        <w:jc w:val="left"/>
        <w:rPr>
          <w:rFonts w:ascii="Times New Roman" w:hAnsi="Times New Roman"/>
          <w:sz w:val="20"/>
        </w:rPr>
      </w:pPr>
      <w:r>
        <w:rPr>
          <w:rFonts w:ascii="Times New Roman" w:hAnsi="Times New Roman"/>
          <w:sz w:val="20"/>
        </w:rPr>
        <w:t xml:space="preserve">restrictions, and we anticipate the majority of these stores will </w:t>
      </w:r>
    </w:p>
    <w:p>
      <w:pPr>
        <w:pStyle w:val="TextBody"/>
        <w:spacing w:before="240" w:after="0"/>
        <w:jc w:val="left"/>
        <w:rPr>
          <w:rFonts w:ascii="Times New Roman" w:hAnsi="Times New Roman"/>
          <w:spacing w:val="0"/>
          <w:sz w:val="20"/>
        </w:rPr>
      </w:pPr>
      <w:r>
        <w:rPr>
          <w:rFonts w:ascii="Times New Roman" w:hAnsi="Times New Roman"/>
          <w:spacing w:val="0"/>
          <w:sz w:val="20"/>
        </w:rPr>
        <w:t>re-open</w:t>
      </w:r>
    </w:p>
    <w:p>
      <w:pPr>
        <w:pStyle w:val="TextBody"/>
        <w:spacing w:before="240" w:after="0"/>
        <w:jc w:val="left"/>
        <w:rPr>
          <w:rFonts w:ascii="Times New Roman" w:hAnsi="Times New Roman"/>
          <w:sz w:val="20"/>
        </w:rPr>
      </w:pPr>
      <w:r>
        <w:rPr>
          <w:rFonts w:ascii="Times New Roman" w:hAnsi="Times New Roman"/>
          <w:sz w:val="20"/>
        </w:rPr>
        <w:t xml:space="preserve">in some capacity by the end of the our first quarter of fiscal 2021. </w:t>
      </w:r>
    </w:p>
    <w:p>
      <w:pPr>
        <w:pStyle w:val="TextBody"/>
        <w:spacing w:before="240" w:after="0"/>
        <w:jc w:val="left"/>
        <w:rPr>
          <w:rFonts w:ascii="Times New Roman" w:hAnsi="Times New Roman"/>
          <w:sz w:val="20"/>
        </w:rPr>
      </w:pPr>
      <w:r>
        <w:rPr>
          <w:rFonts w:ascii="Times New Roman" w:hAnsi="Times New Roman"/>
          <w:sz w:val="20"/>
        </w:rPr>
        <w:t xml:space="preserve">These developments have had a material adverse impact on the Company’s revenues, results of operations and cash flows for fiscal 2020. The situation is continually changing and additional impacts to the business may arise that we are not aware of currently. We cannot predict whether, when or the manner in which the conditions surrounding </w:t>
      </w:r>
    </w:p>
    <w:p>
      <w:pPr>
        <w:pStyle w:val="TextBody"/>
        <w:spacing w:before="240" w:after="0"/>
        <w:jc w:val="left"/>
        <w:rPr>
          <w:rFonts w:ascii="Times New Roman" w:hAnsi="Times New Roman"/>
          <w:spacing w:val="0"/>
          <w:sz w:val="20"/>
        </w:rPr>
      </w:pPr>
      <w:r>
        <w:rPr>
          <w:rFonts w:ascii="Times New Roman" w:hAnsi="Times New Roman"/>
          <w:spacing w:val="0"/>
          <w:sz w:val="20"/>
        </w:rPr>
        <w:t>COVID-19</w:t>
      </w:r>
    </w:p>
    <w:p>
      <w:pPr>
        <w:pStyle w:val="TextBody"/>
        <w:spacing w:before="240" w:after="0"/>
        <w:jc w:val="left"/>
        <w:rPr>
          <w:rFonts w:ascii="Times New Roman" w:hAnsi="Times New Roman"/>
          <w:sz w:val="20"/>
        </w:rPr>
      </w:pPr>
      <w:r>
        <w:rPr>
          <w:rFonts w:ascii="Times New Roman" w:hAnsi="Times New Roman"/>
          <w:sz w:val="20"/>
        </w:rPr>
        <w:t xml:space="preserve">will change including the timing of lifting any restrictions, when our remaining closed stores will </w:t>
      </w:r>
    </w:p>
    <w:p>
      <w:pPr>
        <w:pStyle w:val="TextBody"/>
        <w:spacing w:before="240" w:after="0"/>
        <w:jc w:val="left"/>
        <w:rPr>
          <w:rFonts w:ascii="Times New Roman" w:hAnsi="Times New Roman"/>
          <w:spacing w:val="0"/>
          <w:sz w:val="20"/>
        </w:rPr>
      </w:pPr>
      <w:r>
        <w:rPr>
          <w:rFonts w:ascii="Times New Roman" w:hAnsi="Times New Roman"/>
          <w:spacing w:val="0"/>
          <w:sz w:val="20"/>
        </w:rPr>
        <w:t>re-open,</w:t>
      </w:r>
    </w:p>
    <w:p>
      <w:pPr>
        <w:pStyle w:val="TextBody"/>
        <w:spacing w:before="240" w:after="0"/>
        <w:jc w:val="left"/>
        <w:rPr>
          <w:rFonts w:ascii="Times New Roman" w:hAnsi="Times New Roman"/>
          <w:sz w:val="20"/>
        </w:rPr>
      </w:pPr>
      <w:r>
        <w:rPr>
          <w:rFonts w:ascii="Times New Roman" w:hAnsi="Times New Roman"/>
          <w:sz w:val="20"/>
        </w:rPr>
        <w:t xml:space="preserve">staffing levels for </w:t>
      </w:r>
    </w:p>
    <w:p>
      <w:pPr>
        <w:pStyle w:val="TextBody"/>
        <w:spacing w:before="240" w:after="0"/>
        <w:jc w:val="left"/>
        <w:rPr>
          <w:rFonts w:ascii="Times New Roman" w:hAnsi="Times New Roman"/>
          <w:spacing w:val="0"/>
          <w:sz w:val="20"/>
        </w:rPr>
      </w:pPr>
      <w:r>
        <w:rPr>
          <w:rFonts w:ascii="Times New Roman" w:hAnsi="Times New Roman"/>
          <w:spacing w:val="0"/>
          <w:sz w:val="20"/>
        </w:rPr>
        <w:t>re-opened</w:t>
      </w:r>
    </w:p>
    <w:p>
      <w:pPr>
        <w:pStyle w:val="TextBody"/>
        <w:spacing w:before="240" w:after="0"/>
        <w:jc w:val="left"/>
        <w:rPr>
          <w:rFonts w:ascii="Times New Roman" w:hAnsi="Times New Roman"/>
          <w:sz w:val="20"/>
        </w:rPr>
      </w:pPr>
      <w:r>
        <w:rPr>
          <w:rFonts w:ascii="Times New Roman" w:hAnsi="Times New Roman"/>
          <w:sz w:val="20"/>
        </w:rPr>
        <w:t xml:space="preserve">stores, customer </w:t>
      </w:r>
    </w:p>
    <w:p>
      <w:pPr>
        <w:pStyle w:val="TextBody"/>
        <w:spacing w:before="240" w:after="0"/>
        <w:jc w:val="left"/>
        <w:rPr>
          <w:rFonts w:ascii="Times New Roman" w:hAnsi="Times New Roman"/>
          <w:spacing w:val="0"/>
          <w:sz w:val="20"/>
        </w:rPr>
      </w:pPr>
      <w:r>
        <w:rPr>
          <w:rFonts w:ascii="Times New Roman" w:hAnsi="Times New Roman"/>
          <w:spacing w:val="0"/>
          <w:sz w:val="20"/>
        </w:rPr>
        <w:t>re-engagement</w:t>
      </w:r>
    </w:p>
    <w:p>
      <w:pPr>
        <w:pStyle w:val="TextBody"/>
        <w:spacing w:before="240" w:after="0"/>
        <w:jc w:val="left"/>
        <w:rPr>
          <w:rFonts w:ascii="Times New Roman" w:hAnsi="Times New Roman"/>
          <w:sz w:val="20"/>
        </w:rPr>
      </w:pPr>
      <w:r>
        <w:rPr>
          <w:rFonts w:ascii="Times New Roman" w:hAnsi="Times New Roman"/>
          <w:sz w:val="20"/>
        </w:rPr>
        <w:t xml:space="preserve">with our brand, or possible </w:t>
      </w:r>
    </w:p>
    <w:p>
      <w:pPr>
        <w:pStyle w:val="TextBody"/>
        <w:spacing w:before="240" w:after="0"/>
        <w:jc w:val="left"/>
        <w:rPr>
          <w:rFonts w:ascii="Times New Roman" w:hAnsi="Times New Roman"/>
          <w:spacing w:val="0"/>
          <w:sz w:val="20"/>
        </w:rPr>
      </w:pPr>
      <w:r>
        <w:rPr>
          <w:rFonts w:ascii="Times New Roman" w:hAnsi="Times New Roman"/>
          <w:spacing w:val="0"/>
          <w:sz w:val="20"/>
        </w:rPr>
        <w:t>re-closures</w:t>
      </w:r>
    </w:p>
    <w:p>
      <w:pPr>
        <w:pStyle w:val="TextBody"/>
        <w:spacing w:before="240" w:after="0"/>
        <w:jc w:val="left"/>
        <w:rPr>
          <w:rFonts w:ascii="Times New Roman" w:hAnsi="Times New Roman"/>
          <w:sz w:val="20"/>
        </w:rPr>
      </w:pPr>
      <w:r>
        <w:rPr>
          <w:rFonts w:ascii="Times New Roman" w:hAnsi="Times New Roman"/>
          <w:sz w:val="20"/>
        </w:rPr>
        <w:t xml:space="preserve">of our currently open stores. </w:t>
      </w:r>
    </w:p>
    <w:p>
      <w:pPr>
        <w:pStyle w:val="TextBody"/>
        <w:spacing w:before="480" w:after="0"/>
        <w:jc w:val="center"/>
        <w:rPr>
          <w:rFonts w:ascii="Times New Roman" w:hAnsi="Times New Roman"/>
          <w:b/>
          <w:spacing w:val="0"/>
          <w:sz w:val="20"/>
        </w:rPr>
      </w:pPr>
      <w:r>
        <w:rPr>
          <w:rFonts w:ascii="Times New Roman" w:hAnsi="Times New Roman"/>
          <w:b/>
          <w:spacing w:val="0"/>
          <w:sz w:val="20"/>
        </w:rPr>
        <w:t xml:space="preserve">PART I </w:t>
      </w:r>
    </w:p>
    <w:p>
      <w:pPr>
        <w:pStyle w:val="TextBody"/>
        <w:spacing w:before="0" w:after="0"/>
        <w:jc w:val="left"/>
        <w:rPr>
          <w:spacing w:val="0"/>
        </w:rPr>
      </w:pPr>
      <w:r>
        <w:rPr>
          <w:spacing w:val="0"/>
        </w:rPr>
        <w:t> </w:t>
      </w:r>
    </w:p>
    <w:tbl>
      <w:tblPr>
        <w:tblW w:w="1720" w:type="dxa"/>
        <w:jc w:val="left"/>
        <w:tblInd w:w="0" w:type="dxa"/>
        <w:tblCellMar>
          <w:top w:w="0" w:type="dxa"/>
          <w:left w:w="0" w:type="dxa"/>
          <w:bottom w:w="0" w:type="dxa"/>
          <w:right w:w="0" w:type="dxa"/>
        </w:tblCellMar>
      </w:tblPr>
      <w:tblGrid>
        <w:gridCol w:w="920"/>
        <w:gridCol w:w="800"/>
      </w:tblGrid>
      <w:tr>
        <w:trPr/>
        <w:tc>
          <w:tcPr>
            <w:tcW w:w="920" w:type="dxa"/>
            <w:tcBorders/>
            <w:shd w:fill="auto" w:val="clear"/>
            <w:vAlign w:val="center"/>
          </w:tcPr>
          <w:p>
            <w:pPr>
              <w:pStyle w:val="TableContents"/>
              <w:spacing w:before="0" w:after="0"/>
              <w:jc w:val="left"/>
              <w:rPr>
                <w:b/>
                <w:spacing w:val="0"/>
              </w:rPr>
            </w:pPr>
            <w:bookmarkStart w:id="2" w:name="tx120247_1"/>
            <w:bookmarkEnd w:id="2"/>
            <w:r>
              <w:rPr>
                <w:b/>
                <w:spacing w:val="0"/>
              </w:rPr>
              <w:t>ITEM 1.</w:t>
            </w:r>
          </w:p>
        </w:tc>
        <w:tc>
          <w:tcPr>
            <w:tcW w:w="800" w:type="dxa"/>
            <w:tcBorders/>
            <w:shd w:fill="auto" w:val="clear"/>
            <w:vAlign w:val="center"/>
          </w:tcPr>
          <w:p>
            <w:pPr>
              <w:pStyle w:val="TableContents"/>
              <w:spacing w:before="0" w:after="0"/>
              <w:jc w:val="left"/>
              <w:rPr>
                <w:rFonts w:ascii="Times New Roman" w:hAnsi="Times New Roman"/>
                <w:b/>
                <w:spacing w:val="0"/>
                <w:sz w:val="20"/>
              </w:rPr>
            </w:pPr>
            <w:r>
              <w:rPr>
                <w:rFonts w:ascii="Times New Roman" w:hAnsi="Times New Roman"/>
                <w:b/>
                <w:spacing w:val="0"/>
                <w:sz w:val="20"/>
              </w:rPr>
              <w:t xml:space="preserve">Business </w:t>
            </w:r>
          </w:p>
        </w:tc>
      </w:tr>
    </w:tbl>
    <w:p>
      <w:pPr>
        <w:pStyle w:val="TextBody"/>
        <w:spacing w:before="120" w:after="0"/>
        <w:jc w:val="left"/>
        <w:rPr>
          <w:rFonts w:ascii="Times New Roman" w:hAnsi="Times New Roman"/>
          <w:spacing w:val="0"/>
          <w:sz w:val="20"/>
        </w:rPr>
      </w:pPr>
      <w:r>
        <w:rPr>
          <w:rFonts w:ascii="Times New Roman" w:hAnsi="Times New Roman"/>
          <w:spacing w:val="0"/>
          <w:sz w:val="20"/>
        </w:rPr>
        <w:t xml:space="preserve">Dave &amp; Buster’s Entertainment, Inc. (“D&amp;B Entertainment”) is a leading owner and operator of high-volume entertainment and dining venues (“stores”) that operate under the name “Dave &amp; Buster’s.” We offer our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3 </w:t>
      </w:r>
    </w:p>
    <w:p>
      <w:pPr>
        <w:pStyle w:val="HorizontalLine"/>
        <w:rPr/>
      </w:pPr>
      <w:r>
        <w:rPr/>
      </w:r>
    </w:p>
    <w:p>
      <w:pPr>
        <w:pStyle w:val="TextBody"/>
        <w:spacing w:before="0" w:after="0"/>
        <w:rPr/>
      </w:pPr>
      <w:hyperlink w:anchor="toc">
        <w:r>
          <w:rPr>
            <w:rStyle w:val="InternetLink"/>
            <w:b/>
            <w:sz w:val="20"/>
          </w:rPr>
          <w:t>Table of Contents</w:t>
        </w:r>
      </w:hyperlink>
    </w:p>
    <w:p>
      <w:pPr>
        <w:pStyle w:val="TextBody"/>
        <w:spacing w:before="0" w:after="0"/>
        <w:jc w:val="left"/>
        <w:rPr>
          <w:rFonts w:ascii="Times New Roman" w:hAnsi="Times New Roman"/>
          <w:spacing w:val="0"/>
          <w:sz w:val="20"/>
        </w:rPr>
      </w:pPr>
      <w:r>
        <w:rPr>
          <w:rFonts w:ascii="Times New Roman" w:hAnsi="Times New Roman"/>
          <w:spacing w:val="0"/>
          <w:sz w:val="20"/>
        </w:rPr>
        <w:t xml:space="preserve">customers the opportunity to “Eat Drink Play and Watch” all in one location. We provide our customers the most social, shareable fun, with high-quality food and beverages as well as interactive entertainment options for adults and families to enjoy together. We opened the first Dave &amp; Buster’s store in Dallas, Texas in 1982, and as of January 31, 2021 (the last day of fiscal 2020), we owned and operated 140 stores located in 40 states, Puerto Rico and one Canadian province. Unless otherwise provided in this report, references to “Dave &amp; Buster’s,” “we,” “us,” “our” or the “Company” refer to D&amp;B Entertainment and its wholly owned subsidiaries and any predecessor entities. </w:t>
      </w:r>
    </w:p>
    <w:p>
      <w:pPr>
        <w:pStyle w:val="TextBody"/>
        <w:spacing w:before="240" w:after="0"/>
        <w:jc w:val="left"/>
        <w:rPr>
          <w:rFonts w:ascii="Times New Roman" w:hAnsi="Times New Roman"/>
          <w:sz w:val="20"/>
        </w:rPr>
      </w:pPr>
      <w:r>
        <w:rPr>
          <w:rFonts w:ascii="Times New Roman" w:hAnsi="Times New Roman"/>
          <w:sz w:val="20"/>
        </w:rPr>
        <w:t xml:space="preserve">Our fiscal year consists of 52 or 53 weeks ending on the Sunday after the Saturday closest to January 31. Each quarterly period has 13 weeks, except in a </w:t>
      </w:r>
    </w:p>
    <w:p>
      <w:pPr>
        <w:pStyle w:val="TextBody"/>
        <w:spacing w:before="240" w:after="0"/>
        <w:jc w:val="left"/>
        <w:rPr>
          <w:rFonts w:ascii="Times New Roman" w:hAnsi="Times New Roman"/>
          <w:spacing w:val="0"/>
          <w:sz w:val="20"/>
        </w:rPr>
      </w:pPr>
      <w:r>
        <w:rPr>
          <w:rFonts w:ascii="Times New Roman" w:hAnsi="Times New Roman"/>
          <w:spacing w:val="0"/>
          <w:sz w:val="20"/>
        </w:rPr>
        <w:t>53-week</w:t>
      </w:r>
    </w:p>
    <w:p>
      <w:pPr>
        <w:pStyle w:val="TextBody"/>
        <w:spacing w:before="240" w:after="0"/>
        <w:jc w:val="left"/>
        <w:rPr>
          <w:rFonts w:ascii="Times New Roman" w:hAnsi="Times New Roman"/>
          <w:sz w:val="20"/>
        </w:rPr>
      </w:pPr>
      <w:r>
        <w:rPr>
          <w:rFonts w:ascii="Times New Roman" w:hAnsi="Times New Roman"/>
          <w:sz w:val="20"/>
        </w:rPr>
        <w:t xml:space="preserve">year when the fourth quarter has 14 weeks. Fiscal 2020, 2019, 2018 and 2016 each contained 52 weeks. Fiscal 2017 contained 53 weeks. We refer to our fiscal years as 2020, 2019, 2018, 2017 and 2016 throughout this report. </w:t>
      </w:r>
    </w:p>
    <w:p>
      <w:pPr>
        <w:pStyle w:val="TextBody"/>
        <w:spacing w:before="360" w:after="0"/>
        <w:jc w:val="left"/>
        <w:rPr>
          <w:rFonts w:ascii="Times New Roman" w:hAnsi="Times New Roman"/>
          <w:b/>
          <w:spacing w:val="0"/>
          <w:sz w:val="20"/>
        </w:rPr>
      </w:pPr>
      <w:r>
        <w:rPr>
          <w:rFonts w:ascii="Times New Roman" w:hAnsi="Times New Roman"/>
          <w:b/>
          <w:spacing w:val="0"/>
          <w:sz w:val="20"/>
        </w:rPr>
        <w:t xml:space="preserve">Eat Drink Play and Watch - All Under One Roof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We have developed a distinctive brand based on our customer value proposition: “Eat Drink Play and Watch.” The interaction between dining, enjoying our full-service bar, playing games, and watching sports and other entertainment is the defining feature of the Dave &amp; Buster’s customer experience. We believe this combination creates an experience at a single location that cannot be easily replicated elsewhere. Our stores are also designed to accommodate premium sports viewing events, private parties, business functions and other corporate-sponsored events. We believe we appeal to a diverse customer base by creating a highly customizable experience in a dynamic and fun setting. </w:t>
      </w:r>
    </w:p>
    <w:p>
      <w:pPr>
        <w:pStyle w:val="TextBody"/>
        <w:spacing w:before="360" w:after="0"/>
        <w:jc w:val="left"/>
        <w:rPr>
          <w:rFonts w:ascii="Times New Roman" w:hAnsi="Times New Roman"/>
          <w:b/>
          <w:spacing w:val="0"/>
          <w:sz w:val="20"/>
        </w:rPr>
      </w:pPr>
      <w:r>
        <w:rPr>
          <w:rFonts w:ascii="Times New Roman" w:hAnsi="Times New Roman"/>
          <w:b/>
          <w:spacing w:val="0"/>
          <w:sz w:val="20"/>
        </w:rPr>
        <w:t xml:space="preserve">Eat </w:t>
      </w:r>
    </w:p>
    <w:p>
      <w:pPr>
        <w:pStyle w:val="TextBody"/>
        <w:spacing w:before="120" w:after="0"/>
        <w:jc w:val="left"/>
        <w:rPr>
          <w:rFonts w:ascii="Times New Roman" w:hAnsi="Times New Roman"/>
          <w:sz w:val="20"/>
        </w:rPr>
      </w:pPr>
      <w:r>
        <w:rPr>
          <w:rFonts w:ascii="Times New Roman" w:hAnsi="Times New Roman"/>
          <w:sz w:val="20"/>
        </w:rPr>
        <w:t xml:space="preserve">We strive to differentiate our food with quality, flavorful offerings guided by an “Inspired American Kitchen” identity. This identity is rooted in enhanced flavors and quality ingredients across a condensed number of menu items that enables our customers to explore new flavors while offering a balanced selection of familiar dishes. Our menu also simplifies execution, and along with recent kitchen enhancements allows us to deliver dishes to customers hotter and faster to drive an improved customer experience. While our menu appeals to a broad spectrum of customers, we continue to evolve it to reflect the changing tastes of our customers, with options for full meals as well as grabbing an appetizer to share with friends. We deliver high-quality offerings, including a wide variety of starters, </w:t>
      </w:r>
    </w:p>
    <w:p>
      <w:pPr>
        <w:pStyle w:val="TextBody"/>
        <w:spacing w:before="120" w:after="0"/>
        <w:jc w:val="left"/>
        <w:rPr>
          <w:rFonts w:ascii="Times New Roman" w:hAnsi="Times New Roman"/>
          <w:spacing w:val="0"/>
          <w:sz w:val="20"/>
        </w:rPr>
      </w:pPr>
      <w:r>
        <w:rPr>
          <w:rFonts w:ascii="Times New Roman" w:hAnsi="Times New Roman"/>
          <w:spacing w:val="0"/>
          <w:sz w:val="20"/>
        </w:rPr>
        <w:t>one-of-a-kind</w:t>
      </w:r>
    </w:p>
    <w:p>
      <w:pPr>
        <w:pStyle w:val="TextBody"/>
        <w:spacing w:before="120" w:after="0"/>
        <w:jc w:val="left"/>
        <w:rPr>
          <w:rFonts w:ascii="Times New Roman" w:hAnsi="Times New Roman"/>
          <w:sz w:val="20"/>
        </w:rPr>
      </w:pPr>
      <w:r>
        <w:rPr>
          <w:rFonts w:ascii="Times New Roman" w:hAnsi="Times New Roman"/>
          <w:sz w:val="20"/>
        </w:rPr>
        <w:t xml:space="preserve">burgers and handhelds, choice-grade steaks, pasta, and low calorie, vegetarian, and gluten friendly options. We believe our broad menu offers something for everyone and is appropriate for many different occasions. To ensure that we stay </w:t>
      </w:r>
    </w:p>
    <w:p>
      <w:pPr>
        <w:pStyle w:val="TextBody"/>
        <w:spacing w:before="120" w:after="0"/>
        <w:jc w:val="left"/>
        <w:rPr>
          <w:rFonts w:ascii="Times New Roman" w:hAnsi="Times New Roman"/>
          <w:spacing w:val="0"/>
          <w:sz w:val="20"/>
        </w:rPr>
      </w:pPr>
      <w:r>
        <w:rPr>
          <w:rFonts w:ascii="Times New Roman" w:hAnsi="Times New Roman"/>
          <w:spacing w:val="0"/>
          <w:sz w:val="20"/>
        </w:rPr>
        <w:t>on-trend,</w:t>
      </w:r>
    </w:p>
    <w:p>
      <w:pPr>
        <w:pStyle w:val="TextBody"/>
        <w:spacing w:before="120" w:after="0"/>
        <w:jc w:val="left"/>
        <w:rPr>
          <w:rFonts w:ascii="Times New Roman" w:hAnsi="Times New Roman"/>
          <w:sz w:val="20"/>
        </w:rPr>
      </w:pPr>
      <w:r>
        <w:rPr>
          <w:rFonts w:ascii="Times New Roman" w:hAnsi="Times New Roman"/>
          <w:sz w:val="20"/>
        </w:rPr>
        <w:t xml:space="preserve">we update our menus regularly with new food items or limited time offers. Our food revenues, which include </w:t>
      </w:r>
    </w:p>
    <w:p>
      <w:pPr>
        <w:pStyle w:val="TextBody"/>
        <w:spacing w:before="120" w:after="0"/>
        <w:jc w:val="left"/>
        <w:rPr>
          <w:rFonts w:ascii="Times New Roman" w:hAnsi="Times New Roman"/>
          <w:spacing w:val="0"/>
          <w:sz w:val="20"/>
        </w:rPr>
      </w:pPr>
      <w:r>
        <w:rPr>
          <w:rFonts w:ascii="Times New Roman" w:hAnsi="Times New Roman"/>
          <w:spacing w:val="0"/>
          <w:sz w:val="20"/>
        </w:rPr>
        <w:t>non-alcoholic</w:t>
      </w:r>
    </w:p>
    <w:p>
      <w:pPr>
        <w:pStyle w:val="TextBody"/>
        <w:spacing w:before="120" w:after="0"/>
        <w:jc w:val="left"/>
        <w:rPr>
          <w:rFonts w:ascii="Times New Roman" w:hAnsi="Times New Roman"/>
          <w:sz w:val="20"/>
        </w:rPr>
      </w:pPr>
      <w:r>
        <w:rPr>
          <w:rFonts w:ascii="Times New Roman" w:hAnsi="Times New Roman"/>
          <w:sz w:val="20"/>
        </w:rPr>
        <w:t xml:space="preserve">beverages, accounted for approximately 66% of our food and beverage revenues and approximately 24.1% of our total revenues during fiscal 2020. </w:t>
      </w:r>
    </w:p>
    <w:p>
      <w:pPr>
        <w:pStyle w:val="TextBody"/>
        <w:spacing w:before="360" w:after="0"/>
        <w:jc w:val="left"/>
        <w:rPr>
          <w:rFonts w:ascii="Times New Roman" w:hAnsi="Times New Roman"/>
          <w:b/>
          <w:spacing w:val="0"/>
          <w:sz w:val="20"/>
        </w:rPr>
      </w:pPr>
      <w:r>
        <w:rPr>
          <w:rFonts w:ascii="Times New Roman" w:hAnsi="Times New Roman"/>
          <w:b/>
          <w:spacing w:val="0"/>
          <w:sz w:val="20"/>
        </w:rPr>
        <w:t xml:space="preserve">Drink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Each of our locations also offers full bar service, including a variety of beers, hand-crafted cocktails, and premium spirits. We are focused on maintaining a streamlined beverage menu for ease of execution, while using quality ingredients including fresh juices, purees and house-made mixers. Beverage service is typically available throughout the entire store, allowing for multiple point of sale opportunities. We believe that our high margin beverage offering is complementary to each of the Eat, Play and Watch aspects of our brand. Our alcoholic beverage revenues accounted for approximately 34% of our total food and beverage revenues and approximately 12.4% of our total revenues during fiscal 2020. </w:t>
      </w:r>
    </w:p>
    <w:p>
      <w:pPr>
        <w:pStyle w:val="TextBody"/>
        <w:spacing w:before="360" w:after="0"/>
        <w:jc w:val="left"/>
        <w:rPr>
          <w:rFonts w:ascii="Times New Roman" w:hAnsi="Times New Roman"/>
          <w:b/>
          <w:spacing w:val="0"/>
          <w:sz w:val="20"/>
        </w:rPr>
      </w:pPr>
      <w:r>
        <w:rPr>
          <w:rFonts w:ascii="Times New Roman" w:hAnsi="Times New Roman"/>
          <w:b/>
          <w:spacing w:val="0"/>
          <w:sz w:val="20"/>
        </w:rPr>
        <w:t xml:space="preserve">Play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The games in our Midway are a key aspect of the Dave &amp; Buster’s entertainment experience, which we believe is the core differentiating feature of our brand. The Midway in each of our stores is an area where we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4 </w:t>
      </w:r>
    </w:p>
    <w:p>
      <w:pPr>
        <w:pStyle w:val="HorizontalLine"/>
        <w:rPr/>
      </w:pPr>
      <w:r>
        <w:rPr/>
      </w:r>
    </w:p>
    <w:p>
      <w:pPr>
        <w:pStyle w:val="TextBody"/>
        <w:spacing w:before="0" w:after="0"/>
        <w:rPr/>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offer a wide array of amusement and entertainment options, some of which are exclusive to Dave &amp; Buster’s on a permanent or temporary basis. Each of our stores typically has approximately 150 redemption and simulation games as well as our proprietary virtual reality platform. Most of our games are activated by game play credits on cards or other RFID devices (collectively, “Power Cards”). A customer purchases a Power Card with game play credits or “chips” at an automated kiosk, through our mobile application, or from one of our team members. Our amusement and other revenues accounted for approximately 63.5% of our total revenues during fiscal 2020. Redemption games, which represented approximately 71% of our amusement and other revenues in fiscal 2020, offer our customers the opportunity to win tickets that are redeemable at a retail-style space in our stores that we have branded WIN!, with prizes ranging from branded novelty items to </w:t>
      </w:r>
    </w:p>
    <w:p>
      <w:pPr>
        <w:pStyle w:val="TextBody"/>
        <w:spacing w:before="0" w:after="0"/>
        <w:jc w:val="left"/>
        <w:rPr>
          <w:rFonts w:ascii="Times New Roman" w:hAnsi="Times New Roman"/>
          <w:spacing w:val="0"/>
          <w:sz w:val="20"/>
        </w:rPr>
      </w:pPr>
      <w:r>
        <w:rPr>
          <w:rFonts w:ascii="Times New Roman" w:hAnsi="Times New Roman"/>
          <w:spacing w:val="0"/>
          <w:sz w:val="20"/>
        </w:rPr>
        <w:t>high-end</w:t>
      </w:r>
    </w:p>
    <w:p>
      <w:pPr>
        <w:pStyle w:val="TextBody"/>
        <w:spacing w:before="0" w:after="0"/>
        <w:jc w:val="left"/>
        <w:rPr>
          <w:rFonts w:ascii="Times New Roman" w:hAnsi="Times New Roman"/>
          <w:sz w:val="20"/>
        </w:rPr>
      </w:pPr>
      <w:r>
        <w:rPr>
          <w:rFonts w:ascii="Times New Roman" w:hAnsi="Times New Roman"/>
          <w:sz w:val="20"/>
        </w:rPr>
        <w:t xml:space="preserve">electronics. We believe this “opportunity to win” creates a fun and highly energized social experience that is an important aspect of the Dave &amp; Buster’s </w:t>
      </w:r>
    </w:p>
    <w:p>
      <w:pPr>
        <w:pStyle w:val="TextBody"/>
        <w:spacing w:before="0" w:after="0"/>
        <w:jc w:val="left"/>
        <w:rPr>
          <w:rFonts w:ascii="Times New Roman" w:hAnsi="Times New Roman"/>
          <w:spacing w:val="0"/>
          <w:sz w:val="20"/>
        </w:rPr>
      </w:pPr>
      <w:r>
        <w:rPr>
          <w:rFonts w:ascii="Times New Roman" w:hAnsi="Times New Roman"/>
          <w:spacing w:val="0"/>
          <w:sz w:val="20"/>
        </w:rPr>
        <w:t>in-store</w:t>
      </w:r>
    </w:p>
    <w:p>
      <w:pPr>
        <w:pStyle w:val="TextBody"/>
        <w:spacing w:before="0" w:after="0"/>
        <w:jc w:val="left"/>
        <w:rPr>
          <w:rFonts w:ascii="Times New Roman" w:hAnsi="Times New Roman"/>
          <w:sz w:val="20"/>
        </w:rPr>
      </w:pPr>
      <w:r>
        <w:rPr>
          <w:rFonts w:ascii="Times New Roman" w:hAnsi="Times New Roman"/>
          <w:sz w:val="20"/>
        </w:rPr>
        <w:t xml:space="preserve">experience and cannot be easily replicated at home. Many of our </w:t>
      </w:r>
    </w:p>
    <w:p>
      <w:pPr>
        <w:pStyle w:val="TextBody"/>
        <w:spacing w:before="0" w:after="0"/>
        <w:jc w:val="left"/>
        <w:rPr>
          <w:rFonts w:ascii="Times New Roman" w:hAnsi="Times New Roman"/>
          <w:spacing w:val="0"/>
          <w:sz w:val="20"/>
        </w:rPr>
      </w:pPr>
      <w:r>
        <w:rPr>
          <w:rFonts w:ascii="Times New Roman" w:hAnsi="Times New Roman"/>
          <w:spacing w:val="0"/>
          <w:sz w:val="20"/>
        </w:rPr>
        <w:t>non-redemption</w:t>
      </w:r>
    </w:p>
    <w:p>
      <w:pPr>
        <w:pStyle w:val="TextBody"/>
        <w:spacing w:before="0" w:after="0"/>
        <w:jc w:val="left"/>
        <w:rPr>
          <w:rFonts w:ascii="Times New Roman" w:hAnsi="Times New Roman"/>
          <w:sz w:val="20"/>
        </w:rPr>
      </w:pPr>
      <w:r>
        <w:rPr>
          <w:rFonts w:ascii="Times New Roman" w:hAnsi="Times New Roman"/>
          <w:sz w:val="20"/>
        </w:rPr>
        <w:t xml:space="preserve">games, which include our virtual reality, video, and simulation offerings, can be played by multiple customers simultaneously and include some of the latest high-tech games that are commercially available. These games represented approximately 27% of our amusement and other revenues in fiscal 2020. Other amusements, such as billiards and bowling, represented the remainder of our amusement revenues in fiscal 2020. </w:t>
      </w:r>
    </w:p>
    <w:p>
      <w:pPr>
        <w:pStyle w:val="TextBody"/>
        <w:spacing w:before="360" w:after="0"/>
        <w:jc w:val="left"/>
        <w:rPr>
          <w:rFonts w:ascii="Times New Roman" w:hAnsi="Times New Roman"/>
          <w:b/>
          <w:spacing w:val="0"/>
          <w:sz w:val="20"/>
        </w:rPr>
      </w:pPr>
      <w:r>
        <w:rPr>
          <w:rFonts w:ascii="Times New Roman" w:hAnsi="Times New Roman"/>
          <w:b/>
          <w:spacing w:val="0"/>
          <w:sz w:val="20"/>
        </w:rPr>
        <w:t xml:space="preserve">Watch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Sports-viewing is another key component of the entertainment experience at Dave &amp; Buster’s. All of our stores have multiple large screen televisions and high-quality audio systems providing customers with a venue for watching live sports and other immersive programming. For 56 of our stores, we have an enhanced Watch experience with huge cutting-edge LED “Wow Walls”, that differentiates Dave &amp; Buster’s by delivering an elevated viewing experience and providing a platform for broader programming and marketing opportunities. Our “D&amp;B Sports” areas offer an immersive viewing environment that provides customers with large, high definition televisions, to watch community-focused sports programming and enjoy our full bar and food menu. We believe that we have created an attractive and comfortable environment that includes a differentiated and interactive viewing experience for customers, and our goal is to build awareness of D&amp;B Sports as “the best place to watch sports” and the “only place to watch the games and play the games.” </w:t>
      </w:r>
    </w:p>
    <w:p>
      <w:pPr>
        <w:pStyle w:val="TextBody"/>
        <w:spacing w:before="360" w:after="0"/>
        <w:jc w:val="left"/>
        <w:rPr>
          <w:rFonts w:ascii="Times New Roman" w:hAnsi="Times New Roman"/>
          <w:b/>
          <w:spacing w:val="0"/>
          <w:sz w:val="20"/>
        </w:rPr>
      </w:pPr>
      <w:r>
        <w:rPr>
          <w:rFonts w:ascii="Times New Roman" w:hAnsi="Times New Roman"/>
          <w:b/>
          <w:spacing w:val="0"/>
          <w:sz w:val="20"/>
        </w:rPr>
        <w:t xml:space="preserve">Competitive Positioning </w:t>
      </w:r>
    </w:p>
    <w:p>
      <w:pPr>
        <w:pStyle w:val="TextBody"/>
        <w:spacing w:before="120" w:after="0"/>
        <w:jc w:val="left"/>
        <w:rPr>
          <w:rFonts w:ascii="Times New Roman" w:hAnsi="Times New Roman"/>
          <w:sz w:val="20"/>
        </w:rPr>
      </w:pPr>
      <w:r>
        <w:rPr>
          <w:rFonts w:ascii="Times New Roman" w:hAnsi="Times New Roman"/>
          <w:sz w:val="20"/>
        </w:rPr>
        <w:t xml:space="preserve">The </w:t>
      </w:r>
    </w:p>
    <w:p>
      <w:pPr>
        <w:pStyle w:val="TextBody"/>
        <w:spacing w:before="120" w:after="0"/>
        <w:jc w:val="left"/>
        <w:rPr>
          <w:rFonts w:ascii="Times New Roman" w:hAnsi="Times New Roman"/>
          <w:spacing w:val="0"/>
          <w:sz w:val="20"/>
        </w:rPr>
      </w:pPr>
      <w:r>
        <w:rPr>
          <w:rFonts w:ascii="Times New Roman" w:hAnsi="Times New Roman"/>
          <w:spacing w:val="0"/>
          <w:sz w:val="20"/>
        </w:rPr>
        <w:t>out-of-home</w:t>
      </w:r>
    </w:p>
    <w:p>
      <w:pPr>
        <w:pStyle w:val="TextBody"/>
        <w:spacing w:before="120" w:after="0"/>
        <w:jc w:val="left"/>
        <w:rPr>
          <w:rFonts w:ascii="Times New Roman" w:hAnsi="Times New Roman"/>
          <w:sz w:val="20"/>
        </w:rPr>
      </w:pPr>
      <w:r>
        <w:rPr>
          <w:rFonts w:ascii="Times New Roman" w:hAnsi="Times New Roman"/>
          <w:sz w:val="20"/>
        </w:rPr>
        <w:t xml:space="preserve">entertainment market is highly competitive. We compete for customers’ discretionary entertainment dollars with providers of </w:t>
      </w:r>
    </w:p>
    <w:p>
      <w:pPr>
        <w:pStyle w:val="TextBody"/>
        <w:spacing w:before="120" w:after="0"/>
        <w:jc w:val="left"/>
        <w:rPr>
          <w:rFonts w:ascii="Times New Roman" w:hAnsi="Times New Roman"/>
          <w:spacing w:val="0"/>
          <w:sz w:val="20"/>
        </w:rPr>
      </w:pPr>
      <w:r>
        <w:rPr>
          <w:rFonts w:ascii="Times New Roman" w:hAnsi="Times New Roman"/>
          <w:spacing w:val="0"/>
          <w:sz w:val="20"/>
        </w:rPr>
        <w:t>out-of-home</w:t>
      </w:r>
    </w:p>
    <w:p>
      <w:pPr>
        <w:pStyle w:val="TextBody"/>
        <w:spacing w:before="120" w:after="0"/>
        <w:jc w:val="left"/>
        <w:rPr>
          <w:rFonts w:ascii="Times New Roman" w:hAnsi="Times New Roman"/>
          <w:sz w:val="20"/>
        </w:rPr>
      </w:pPr>
      <w:r>
        <w:rPr>
          <w:rFonts w:ascii="Times New Roman" w:hAnsi="Times New Roman"/>
          <w:sz w:val="20"/>
        </w:rPr>
        <w:t xml:space="preserve">entertainment, including localized attraction facilities such as movie theaters, sporting events, bowling alleys, sports activity centers, arcades and entertainment centers, night clubs and restaurants as well as theme parks. We also face competition from local, regional, and national establishments that offer similar entertainment experiences and restaurants that are highly competitive with respect to price, quality of service, location, ambience and type and quality of food. Some of these establishments may exist in multiple locations, and we may also face competition on a national basis in the future from other concepts that are similar to our concept. We also face competition from increasingly sophisticated home-based forms of entertainment, such as internet and video gaming and home movie streaming and delivery.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The key elements that drive our total customer experience and help position us from a competitive standpoint include the following: </w:t>
      </w:r>
    </w:p>
    <w:p>
      <w:pPr>
        <w:pStyle w:val="TextBody"/>
        <w:spacing w:before="24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Strong, distinctive brand with broad customer appeal</w:t>
      </w:r>
    </w:p>
    <w:p>
      <w:pPr>
        <w:pStyle w:val="TextBody"/>
        <w:spacing w:before="240" w:after="0"/>
        <w:jc w:val="left"/>
        <w:rPr>
          <w:rFonts w:ascii="Times New Roman" w:hAnsi="Times New Roman"/>
          <w:sz w:val="20"/>
        </w:rPr>
      </w:pPr>
      <w:r>
        <w:rPr>
          <w:rFonts w:ascii="Times New Roman" w:hAnsi="Times New Roman"/>
          <w:sz w:val="20"/>
        </w:rPr>
        <w:t xml:space="preserve">. We believe that the multi-faceted customer experience of “Eat Drink Play and Watch” at Dave &amp; Buster’s, supported by our extensive marketing reach has helped us create a widely recognized brand. We have a high degree of awareness of our brand as a dining and entertainment venue, and a broad customer appeal with an attractive target demographic. Our primary target is adults </w:t>
      </w:r>
    </w:p>
    <w:p>
      <w:pPr>
        <w:pStyle w:val="TextBody"/>
        <w:spacing w:before="240" w:after="0"/>
        <w:jc w:val="left"/>
        <w:rPr>
          <w:rFonts w:ascii="Times New Roman" w:hAnsi="Times New Roman"/>
          <w:spacing w:val="0"/>
          <w:sz w:val="20"/>
        </w:rPr>
      </w:pPr>
      <w:r>
        <w:rPr>
          <w:rFonts w:ascii="Times New Roman" w:hAnsi="Times New Roman"/>
          <w:spacing w:val="0"/>
          <w:sz w:val="20"/>
        </w:rPr>
        <w:t>21-39,</w:t>
      </w:r>
    </w:p>
    <w:p>
      <w:pPr>
        <w:pStyle w:val="TextBody"/>
        <w:spacing w:before="240" w:after="0"/>
        <w:jc w:val="left"/>
        <w:rPr>
          <w:rFonts w:ascii="Times New Roman" w:hAnsi="Times New Roman"/>
          <w:sz w:val="20"/>
        </w:rPr>
      </w:pPr>
      <w:r>
        <w:rPr>
          <w:rFonts w:ascii="Times New Roman" w:hAnsi="Times New Roman"/>
          <w:sz w:val="20"/>
        </w:rPr>
        <w:t xml:space="preserve">but we are also attractive to families, which make up approximately 40% of our mix. </w:t>
      </w:r>
    </w:p>
    <w:p>
      <w:pPr>
        <w:pStyle w:val="TextBody"/>
        <w:spacing w:before="24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Multi-faceted customer experience highlights our value proposition. </w:t>
      </w:r>
    </w:p>
    <w:p>
      <w:pPr>
        <w:pStyle w:val="TextBody"/>
        <w:spacing w:before="240" w:after="0"/>
        <w:jc w:val="left"/>
        <w:rPr>
          <w:rFonts w:ascii="Times New Roman" w:hAnsi="Times New Roman"/>
          <w:sz w:val="20"/>
        </w:rPr>
      </w:pPr>
      <w:r>
        <w:rPr>
          <w:rFonts w:ascii="Times New Roman" w:hAnsi="Times New Roman"/>
          <w:sz w:val="20"/>
        </w:rPr>
        <w:t xml:space="preserve">We believe that our combination of interactive games, attractive television viewing areas, high-quality dining and full-service beverage offerings,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5 </w:t>
      </w:r>
    </w:p>
    <w:p>
      <w:pPr>
        <w:pStyle w:val="HorizontalLine"/>
        <w:rPr/>
      </w:pPr>
      <w:r>
        <w:rPr/>
      </w:r>
    </w:p>
    <w:p>
      <w:pPr>
        <w:pStyle w:val="TextBody"/>
        <w:spacing w:before="0" w:after="0"/>
        <w:rPr/>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delivered in a highly-energized atmosphere, provides a multi-faceted customer experience that cannot be easily replicated at home or elsewhere without having to visit multiple destinations. We aim to offer our customers a value proposition comparable or superior to many of the separately available dining and entertainment options. We are continuously working with game manufacturers and others to create new games and attractions that include content that is exclusively available at Dave &amp; Buster’s on a permanent or temporary basis. Our new games in combination with new food and beverage offerings and focused attention to the customer experience help us to retain and generate customer traffic. Our value proposition is enhanced by marketing initiatives, including free game play that often features the introduction of our new games, Supercharge Power Card offerings (when purchasing or adding value to a Power Card, the customer is given the opportunity to add more chips to the Power Card at a lower price per chip), and Half-Price Game Play (every Wednesday, from open to close, we reduce the price of games in the Midway by </w:t>
      </w:r>
    </w:p>
    <w:p>
      <w:pPr>
        <w:pStyle w:val="TextBody"/>
        <w:spacing w:before="0" w:after="0"/>
        <w:jc w:val="left"/>
        <w:rPr>
          <w:rFonts w:ascii="Times New Roman" w:hAnsi="Times New Roman"/>
          <w:spacing w:val="0"/>
          <w:sz w:val="20"/>
        </w:rPr>
      </w:pPr>
      <w:r>
        <w:rPr>
          <w:rFonts w:ascii="Times New Roman" w:hAnsi="Times New Roman"/>
          <w:spacing w:val="0"/>
          <w:sz w:val="20"/>
        </w:rPr>
        <w:t>one-half).</w:t>
      </w:r>
    </w:p>
    <w:p>
      <w:pPr>
        <w:pStyle w:val="TextBody"/>
        <w:spacing w:before="0" w:after="0"/>
        <w:jc w:val="left"/>
        <w:rPr>
          <w:rFonts w:ascii="Times New Roman" w:hAnsi="Times New Roman"/>
          <w:sz w:val="20"/>
        </w:rPr>
      </w:pPr>
      <w:r>
        <w:rPr>
          <w:rFonts w:ascii="Times New Roman" w:hAnsi="Times New Roman"/>
          <w:sz w:val="20"/>
        </w:rPr>
        <w:t xml:space="preserve">We believe these initiatives encourage customers to participate more fully across our broad range of food, beverage and entertainment offerings. </w:t>
      </w:r>
    </w:p>
    <w:p>
      <w:pPr>
        <w:pStyle w:val="TextBody"/>
        <w:spacing w:before="24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Vibrant, contemporary store design that integrates entertainment and dining.</w:t>
      </w:r>
    </w:p>
    <w:p>
      <w:pPr>
        <w:pStyle w:val="TextBody"/>
        <w:spacing w:before="240" w:after="0"/>
        <w:jc w:val="left"/>
        <w:rPr>
          <w:rFonts w:ascii="Times New Roman" w:hAnsi="Times New Roman"/>
          <w:sz w:val="20"/>
        </w:rPr>
      </w:pPr>
      <w:r>
        <w:rPr>
          <w:rFonts w:ascii="Times New Roman" w:hAnsi="Times New Roman"/>
          <w:sz w:val="20"/>
        </w:rPr>
        <w:t xml:space="preserve">We continue to enhance the Dave &amp; Buster’s brand through our store design, including our D&amp;B Sports concept. Our core store design provides a contemporary, engaging atmosphere for our customers with clearly differentiated spaces designed to convey the components of our customer value proposition: “Eat Drink Play and Watch.” The oversized graphics and images throughout the store are intended to communicate our brand personality by being fun, contemporary, and larger-than-life. The dining room décor includes booth and table seating and colorful artwork, often featuring local landmarks. Our WIN! area provides a retail-like environment where customers can redeem their tickets for prizes. We believe our D&amp;B Sports area provides an attractive opportunity to market our broader platform to new and existing customers through a year-round calendar of programming and promotions tied to popular sporting events and sport-related activities. The large television screens, comfortable seating, a full menu of food and beverages and artwork often featuring images of local sports teams and sports icons help create what we believe to be an exciting environment for watching sports and other programming. </w:t>
      </w:r>
    </w:p>
    <w:p>
      <w:pPr>
        <w:pStyle w:val="TextBody"/>
        <w:spacing w:before="24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Strong history of growth.</w:t>
      </w:r>
    </w:p>
    <w:p>
      <w:pPr>
        <w:pStyle w:val="TextBody"/>
        <w:spacing w:before="240" w:after="0"/>
        <w:jc w:val="left"/>
        <w:rPr>
          <w:rFonts w:ascii="Times New Roman" w:hAnsi="Times New Roman"/>
          <w:sz w:val="20"/>
        </w:rPr>
      </w:pPr>
      <w:r>
        <w:rPr>
          <w:rFonts w:ascii="Times New Roman" w:hAnsi="Times New Roman"/>
          <w:sz w:val="20"/>
        </w:rPr>
        <w:t xml:space="preserve">We have a proven track record of improving operating results and expanding the footprint of our brand. While fiscal 2020 was a very unusual year with the impact of </w:t>
      </w:r>
    </w:p>
    <w:p>
      <w:pPr>
        <w:pStyle w:val="TextBody"/>
        <w:spacing w:before="240" w:after="0"/>
        <w:jc w:val="left"/>
        <w:rPr>
          <w:rFonts w:ascii="Times New Roman" w:hAnsi="Times New Roman"/>
          <w:spacing w:val="0"/>
          <w:sz w:val="20"/>
        </w:rPr>
      </w:pPr>
      <w:r>
        <w:rPr>
          <w:rFonts w:ascii="Times New Roman" w:hAnsi="Times New Roman"/>
          <w:spacing w:val="0"/>
          <w:sz w:val="20"/>
        </w:rPr>
        <w:t>COVID-19,</w:t>
      </w:r>
    </w:p>
    <w:p>
      <w:pPr>
        <w:pStyle w:val="TextBody"/>
        <w:spacing w:before="240" w:after="0"/>
        <w:jc w:val="left"/>
        <w:rPr>
          <w:rFonts w:ascii="Times New Roman" w:hAnsi="Times New Roman"/>
          <w:sz w:val="20"/>
        </w:rPr>
      </w:pPr>
      <w:r>
        <w:rPr>
          <w:rFonts w:ascii="Times New Roman" w:hAnsi="Times New Roman"/>
          <w:sz w:val="20"/>
        </w:rPr>
        <w:t xml:space="preserve">from fiscal 2015 to 2019, net income increased by $92.6 million, EBITDA margins increased by approximately 130 basis points and our Adjusted EBITDA Margins (both defined in Item 7. “Management’s Discussion and Analysis of Financial Condition and Results of </w:t>
      </w:r>
    </w:p>
    <w:p>
      <w:pPr>
        <w:pStyle w:val="TextBody"/>
        <w:spacing w:before="240" w:after="0"/>
        <w:jc w:val="left"/>
        <w:rPr>
          <w:rFonts w:ascii="Times New Roman" w:hAnsi="Times New Roman"/>
          <w:spacing w:val="0"/>
          <w:sz w:val="20"/>
        </w:rPr>
      </w:pPr>
      <w:r>
        <w:rPr>
          <w:rFonts w:ascii="Times New Roman" w:hAnsi="Times New Roman"/>
          <w:spacing w:val="0"/>
          <w:sz w:val="20"/>
        </w:rPr>
        <w:t>Operations—Non-GAAP</w:t>
      </w:r>
    </w:p>
    <w:p>
      <w:pPr>
        <w:pStyle w:val="TextBody"/>
        <w:spacing w:before="240" w:after="0"/>
        <w:jc w:val="left"/>
        <w:rPr>
          <w:rFonts w:ascii="Times New Roman" w:hAnsi="Times New Roman"/>
          <w:sz w:val="20"/>
        </w:rPr>
      </w:pPr>
      <w:r>
        <w:rPr>
          <w:rFonts w:ascii="Times New Roman" w:hAnsi="Times New Roman"/>
          <w:sz w:val="20"/>
        </w:rPr>
        <w:t xml:space="preserve">Financial Measures”) increased by approximately 120 basis points. During times of normal operations, we expect our continued focus on operating performance and leveraging of expenses will positively impact operating margins and will partially offset pressure from wage inflation and occupancy costs, although there is no guarantee that our efforts will be successful. </w:t>
      </w:r>
    </w:p>
    <w:p>
      <w:pPr>
        <w:pStyle w:val="TextBody"/>
        <w:spacing w:before="24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Store model generates favorable store economics and strong returns. </w:t>
      </w:r>
    </w:p>
    <w:p>
      <w:pPr>
        <w:pStyle w:val="TextBody"/>
        <w:spacing w:before="240" w:after="0"/>
        <w:jc w:val="left"/>
        <w:rPr>
          <w:rFonts w:ascii="Times New Roman" w:hAnsi="Times New Roman"/>
          <w:sz w:val="20"/>
        </w:rPr>
      </w:pPr>
      <w:r>
        <w:rPr>
          <w:rFonts w:ascii="Times New Roman" w:hAnsi="Times New Roman"/>
          <w:sz w:val="20"/>
        </w:rPr>
        <w:t xml:space="preserve">We believe our store model offering entertainment, food, and beverage provides certain benefits in comparison to traditional restaurant concepts, which is reflected in our historically higher revenue per store, higher comparable store operating income margins, and higher comparable Store Operating Income Before Depreciation and Amortization Margins (defined in Item 7. “Management’s Discussion and Analysis of Financial Condition and Results of </w:t>
      </w:r>
    </w:p>
    <w:p>
      <w:pPr>
        <w:pStyle w:val="TextBody"/>
        <w:spacing w:before="240" w:after="0"/>
        <w:jc w:val="left"/>
        <w:rPr>
          <w:rFonts w:ascii="Times New Roman" w:hAnsi="Times New Roman"/>
          <w:spacing w:val="0"/>
          <w:sz w:val="20"/>
        </w:rPr>
      </w:pPr>
      <w:r>
        <w:rPr>
          <w:rFonts w:ascii="Times New Roman" w:hAnsi="Times New Roman"/>
          <w:spacing w:val="0"/>
          <w:sz w:val="20"/>
        </w:rPr>
        <w:t>Operations—Non-GAAP</w:t>
      </w:r>
    </w:p>
    <w:p>
      <w:pPr>
        <w:pStyle w:val="TextBody"/>
        <w:spacing w:before="240" w:after="0"/>
        <w:jc w:val="left"/>
        <w:rPr>
          <w:rFonts w:ascii="Times New Roman" w:hAnsi="Times New Roman"/>
          <w:sz w:val="20"/>
        </w:rPr>
      </w:pPr>
      <w:r>
        <w:rPr>
          <w:rFonts w:ascii="Times New Roman" w:hAnsi="Times New Roman"/>
          <w:sz w:val="20"/>
        </w:rPr>
        <w:t xml:space="preserve">Financial Measures”). </w:t>
      </w:r>
    </w:p>
    <w:p>
      <w:pPr>
        <w:pStyle w:val="TextBody"/>
        <w:spacing w:before="240" w:after="0"/>
        <w:jc w:val="left"/>
        <w:rPr>
          <w:rFonts w:ascii="Times New Roman" w:hAnsi="Times New Roman"/>
          <w:sz w:val="20"/>
        </w:rPr>
      </w:pPr>
      <w:r>
        <w:rPr>
          <w:rFonts w:ascii="Times New Roman" w:hAnsi="Times New Roman"/>
          <w:sz w:val="20"/>
        </w:rPr>
        <w:t xml:space="preserve">Our entertainment offerings have low variable costs and produced gross margins of 89.3% for fiscal 2020. With approximately 63.5% of our revenues from entertainment, we have less exposure than traditional restaurant concepts to food costs, which represented approximately 7.0% of our total revenues in fiscal 2020. Our business model generates strong cash flow that we can use to execute our growth strategy. We believe the combination of our operating income margins, our Store Operating Income Before Depreciation and Amortization Margins, our refined new store formats and the fact that our stores typically open with high volumes that drive margins in year one will help us achieve our targeted average year one </w:t>
      </w:r>
    </w:p>
    <w:p>
      <w:pPr>
        <w:pStyle w:val="TextBody"/>
        <w:spacing w:before="240" w:after="0"/>
        <w:jc w:val="left"/>
        <w:rPr>
          <w:rFonts w:ascii="Times New Roman" w:hAnsi="Times New Roman"/>
          <w:spacing w:val="0"/>
          <w:sz w:val="20"/>
        </w:rPr>
      </w:pPr>
      <w:r>
        <w:rPr>
          <w:rFonts w:ascii="Times New Roman" w:hAnsi="Times New Roman"/>
          <w:spacing w:val="0"/>
          <w:sz w:val="20"/>
        </w:rPr>
        <w:t>cash-on-cash</w:t>
      </w:r>
    </w:p>
    <w:p>
      <w:pPr>
        <w:pStyle w:val="TextBody"/>
        <w:spacing w:before="240" w:after="0"/>
        <w:jc w:val="left"/>
        <w:rPr>
          <w:rFonts w:ascii="Times New Roman" w:hAnsi="Times New Roman"/>
          <w:sz w:val="20"/>
        </w:rPr>
      </w:pPr>
      <w:r>
        <w:rPr>
          <w:rFonts w:ascii="Times New Roman" w:hAnsi="Times New Roman"/>
          <w:sz w:val="20"/>
        </w:rPr>
        <w:t xml:space="preserve">returns of approximately 35% and five-year average </w:t>
      </w:r>
    </w:p>
    <w:p>
      <w:pPr>
        <w:pStyle w:val="TextBody"/>
        <w:spacing w:before="240" w:after="0"/>
        <w:jc w:val="left"/>
        <w:rPr>
          <w:rFonts w:ascii="Times New Roman" w:hAnsi="Times New Roman"/>
          <w:spacing w:val="0"/>
          <w:sz w:val="20"/>
        </w:rPr>
      </w:pPr>
      <w:r>
        <w:rPr>
          <w:rFonts w:ascii="Times New Roman" w:hAnsi="Times New Roman"/>
          <w:spacing w:val="0"/>
          <w:sz w:val="20"/>
        </w:rPr>
        <w:t>cash-on-cash</w:t>
      </w:r>
    </w:p>
    <w:p>
      <w:pPr>
        <w:pStyle w:val="TextBody"/>
        <w:spacing w:before="240" w:after="0"/>
        <w:jc w:val="left"/>
        <w:rPr>
          <w:rFonts w:ascii="Times New Roman" w:hAnsi="Times New Roman"/>
          <w:sz w:val="20"/>
        </w:rPr>
      </w:pPr>
      <w:r>
        <w:rPr>
          <w:rFonts w:ascii="Times New Roman" w:hAnsi="Times New Roman"/>
          <w:sz w:val="20"/>
        </w:rPr>
        <w:t xml:space="preserve">returns in excess of 25%. Historical </w:t>
      </w:r>
    </w:p>
    <w:p>
      <w:pPr>
        <w:pStyle w:val="TextBody"/>
        <w:spacing w:before="240" w:after="0"/>
        <w:jc w:val="left"/>
        <w:rPr>
          <w:rFonts w:ascii="Times New Roman" w:hAnsi="Times New Roman"/>
          <w:spacing w:val="0"/>
          <w:sz w:val="20"/>
        </w:rPr>
      </w:pPr>
      <w:r>
        <w:rPr>
          <w:rFonts w:ascii="Times New Roman" w:hAnsi="Times New Roman"/>
          <w:spacing w:val="0"/>
          <w:sz w:val="20"/>
        </w:rPr>
        <w:t>cash-on-cash</w:t>
      </w:r>
    </w:p>
    <w:p>
      <w:pPr>
        <w:pStyle w:val="TextBody"/>
        <w:spacing w:before="240" w:after="0"/>
        <w:jc w:val="left"/>
        <w:rPr>
          <w:rFonts w:ascii="Times New Roman" w:hAnsi="Times New Roman"/>
          <w:sz w:val="20"/>
        </w:rPr>
      </w:pPr>
      <w:r>
        <w:rPr>
          <w:rFonts w:ascii="Times New Roman" w:hAnsi="Times New Roman"/>
          <w:sz w:val="20"/>
        </w:rPr>
        <w:t xml:space="preserve">returns through fiscal 2019 were well above target, although a decline was realized in fiscal 2020 due to impacts from </w:t>
      </w:r>
    </w:p>
    <w:p>
      <w:pPr>
        <w:pStyle w:val="TextBody"/>
        <w:spacing w:before="240" w:after="0"/>
        <w:jc w:val="left"/>
        <w:rPr>
          <w:rFonts w:ascii="Times New Roman" w:hAnsi="Times New Roman"/>
          <w:spacing w:val="0"/>
          <w:sz w:val="20"/>
        </w:rPr>
      </w:pPr>
      <w:r>
        <w:rPr>
          <w:rFonts w:ascii="Times New Roman" w:hAnsi="Times New Roman"/>
          <w:spacing w:val="0"/>
          <w:sz w:val="20"/>
        </w:rPr>
        <w:t>COVID-19.</w:t>
      </w:r>
    </w:p>
    <w:p>
      <w:pPr>
        <w:pStyle w:val="TextBody"/>
        <w:spacing w:before="240" w:after="0"/>
        <w:jc w:val="left"/>
        <w:rPr>
          <w:rFonts w:ascii="Times New Roman" w:hAnsi="Times New Roman"/>
          <w:sz w:val="20"/>
        </w:rPr>
      </w:pPr>
      <w:r>
        <w:rPr>
          <w:rFonts w:ascii="Times New Roman" w:hAnsi="Times New Roman"/>
          <w:sz w:val="20"/>
        </w:rPr>
        <w:t xml:space="preserve">We define and calculate </w:t>
      </w:r>
    </w:p>
    <w:p>
      <w:pPr>
        <w:pStyle w:val="TextBody"/>
        <w:spacing w:before="240" w:after="0"/>
        <w:jc w:val="left"/>
        <w:rPr>
          <w:rFonts w:ascii="Times New Roman" w:hAnsi="Times New Roman"/>
          <w:spacing w:val="0"/>
          <w:sz w:val="20"/>
        </w:rPr>
      </w:pPr>
      <w:r>
        <w:rPr>
          <w:rFonts w:ascii="Times New Roman" w:hAnsi="Times New Roman"/>
          <w:spacing w:val="0"/>
          <w:sz w:val="20"/>
        </w:rPr>
        <w:t>cash-on-cash</w:t>
      </w:r>
    </w:p>
    <w:p>
      <w:pPr>
        <w:pStyle w:val="TextBody"/>
        <w:spacing w:before="240" w:after="0"/>
        <w:jc w:val="left"/>
        <w:rPr>
          <w:rFonts w:ascii="Times New Roman" w:hAnsi="Times New Roman"/>
          <w:sz w:val="20"/>
        </w:rPr>
      </w:pPr>
      <w:r>
        <w:rPr>
          <w:rFonts w:ascii="Times New Roman" w:hAnsi="Times New Roman"/>
          <w:sz w:val="20"/>
        </w:rPr>
        <w:t xml:space="preserve">returns for an individual store as (a) Store Operating Income Before Depreciation and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6 </w:t>
      </w:r>
    </w:p>
    <w:p>
      <w:pPr>
        <w:pStyle w:val="HorizontalLine"/>
        <w:rPr/>
      </w:pPr>
      <w:r>
        <w:rPr/>
      </w:r>
    </w:p>
    <w:p>
      <w:pPr>
        <w:pStyle w:val="TextBody"/>
        <w:spacing w:before="0" w:after="0"/>
        <w:rPr/>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Amortization, excluding </w:t>
      </w:r>
    </w:p>
    <w:p>
      <w:pPr>
        <w:pStyle w:val="TextBody"/>
        <w:spacing w:before="0" w:after="0"/>
        <w:jc w:val="left"/>
        <w:rPr>
          <w:rFonts w:ascii="Times New Roman" w:hAnsi="Times New Roman"/>
          <w:spacing w:val="0"/>
          <w:sz w:val="20"/>
        </w:rPr>
      </w:pPr>
      <w:r>
        <w:rPr>
          <w:rFonts w:ascii="Times New Roman" w:hAnsi="Times New Roman"/>
          <w:spacing w:val="0"/>
          <w:sz w:val="20"/>
        </w:rPr>
        <w:t>pre-opening</w:t>
      </w:r>
    </w:p>
    <w:p>
      <w:pPr>
        <w:pStyle w:val="TextBody"/>
        <w:spacing w:before="0" w:after="0"/>
        <w:jc w:val="left"/>
        <w:rPr>
          <w:rFonts w:ascii="Times New Roman" w:hAnsi="Times New Roman"/>
          <w:sz w:val="20"/>
        </w:rPr>
      </w:pPr>
      <w:r>
        <w:rPr>
          <w:rFonts w:ascii="Times New Roman" w:hAnsi="Times New Roman"/>
          <w:sz w:val="20"/>
        </w:rPr>
        <w:t xml:space="preserve">expenses, national marketing expense allocation, </w:t>
      </w:r>
    </w:p>
    <w:p>
      <w:pPr>
        <w:pStyle w:val="TextBody"/>
        <w:spacing w:before="0" w:after="0"/>
        <w:jc w:val="left"/>
        <w:rPr>
          <w:rFonts w:ascii="Times New Roman" w:hAnsi="Times New Roman"/>
          <w:spacing w:val="0"/>
          <w:sz w:val="20"/>
        </w:rPr>
      </w:pPr>
      <w:r>
        <w:rPr>
          <w:rFonts w:ascii="Times New Roman" w:hAnsi="Times New Roman"/>
          <w:spacing w:val="0"/>
          <w:sz w:val="20"/>
        </w:rPr>
        <w:t>non-cash</w:t>
      </w:r>
    </w:p>
    <w:p>
      <w:pPr>
        <w:pStyle w:val="TextBody"/>
        <w:spacing w:before="0" w:after="0"/>
        <w:jc w:val="left"/>
        <w:rPr>
          <w:rFonts w:ascii="Times New Roman" w:hAnsi="Times New Roman"/>
          <w:sz w:val="20"/>
        </w:rPr>
      </w:pPr>
      <w:r>
        <w:rPr>
          <w:rFonts w:ascii="Times New Roman" w:hAnsi="Times New Roman"/>
          <w:sz w:val="20"/>
        </w:rPr>
        <w:t xml:space="preserve">charges related to asset disposals, currency transactions and changes in </w:t>
      </w:r>
    </w:p>
    <w:p>
      <w:pPr>
        <w:pStyle w:val="TextBody"/>
        <w:spacing w:before="0" w:after="0"/>
        <w:jc w:val="left"/>
        <w:rPr>
          <w:rFonts w:ascii="Times New Roman" w:hAnsi="Times New Roman"/>
          <w:spacing w:val="0"/>
          <w:sz w:val="20"/>
        </w:rPr>
      </w:pPr>
      <w:r>
        <w:rPr>
          <w:rFonts w:ascii="Times New Roman" w:hAnsi="Times New Roman"/>
          <w:spacing w:val="0"/>
          <w:sz w:val="20"/>
        </w:rPr>
        <w:t>non-cash</w:t>
      </w:r>
    </w:p>
    <w:p>
      <w:pPr>
        <w:pStyle w:val="TextBody"/>
        <w:spacing w:before="0" w:after="0"/>
        <w:jc w:val="left"/>
        <w:rPr>
          <w:rFonts w:ascii="Times New Roman" w:hAnsi="Times New Roman"/>
          <w:sz w:val="20"/>
        </w:rPr>
      </w:pPr>
      <w:r>
        <w:rPr>
          <w:rFonts w:ascii="Times New Roman" w:hAnsi="Times New Roman"/>
          <w:sz w:val="20"/>
        </w:rPr>
        <w:t xml:space="preserve">deferred amusement revenue, divided by (b) our net development costs. Net development costs include equipment, building, leaseholds and site costs, net of tenant improvement allowances and other landlord payments, excluding </w:t>
      </w:r>
    </w:p>
    <w:p>
      <w:pPr>
        <w:pStyle w:val="TextBody"/>
        <w:spacing w:before="0" w:after="0"/>
        <w:jc w:val="left"/>
        <w:rPr>
          <w:rFonts w:ascii="Times New Roman" w:hAnsi="Times New Roman"/>
          <w:spacing w:val="0"/>
          <w:sz w:val="20"/>
        </w:rPr>
      </w:pPr>
      <w:r>
        <w:rPr>
          <w:rFonts w:ascii="Times New Roman" w:hAnsi="Times New Roman"/>
          <w:spacing w:val="0"/>
          <w:sz w:val="20"/>
        </w:rPr>
        <w:t>pre-opening</w:t>
      </w:r>
    </w:p>
    <w:p>
      <w:pPr>
        <w:pStyle w:val="TextBody"/>
        <w:spacing w:before="0" w:after="0"/>
        <w:jc w:val="left"/>
        <w:rPr>
          <w:rFonts w:ascii="Times New Roman" w:hAnsi="Times New Roman"/>
          <w:sz w:val="20"/>
        </w:rPr>
      </w:pPr>
      <w:r>
        <w:rPr>
          <w:rFonts w:ascii="Times New Roman" w:hAnsi="Times New Roman"/>
          <w:sz w:val="20"/>
        </w:rPr>
        <w:t xml:space="preserve">costs and capitalized interest. </w:t>
      </w:r>
    </w:p>
    <w:p>
      <w:pPr>
        <w:pStyle w:val="TextBody"/>
        <w:spacing w:before="24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Commitment to customer satisfaction.</w:t>
      </w:r>
    </w:p>
    <w:p>
      <w:pPr>
        <w:pStyle w:val="TextBody"/>
        <w:spacing w:before="240" w:after="0"/>
        <w:jc w:val="left"/>
        <w:rPr>
          <w:rFonts w:ascii="Times New Roman" w:hAnsi="Times New Roman"/>
          <w:sz w:val="20"/>
        </w:rPr>
      </w:pPr>
      <w:r>
        <w:rPr>
          <w:rFonts w:ascii="Times New Roman" w:hAnsi="Times New Roman"/>
          <w:sz w:val="20"/>
        </w:rPr>
        <w:t xml:space="preserve">We aim to enhance our combination of food, beverage, and entertainment offerings through our service philosophy of providing a high quality and consistent customer experience through dedicated training and development of our team members and a corporate culture that encourages employee engagement. Due to the impacts of </w:t>
      </w:r>
    </w:p>
    <w:p>
      <w:pPr>
        <w:pStyle w:val="TextBody"/>
        <w:spacing w:before="240" w:after="0"/>
        <w:jc w:val="left"/>
        <w:rPr>
          <w:rFonts w:ascii="Times New Roman" w:hAnsi="Times New Roman"/>
          <w:spacing w:val="0"/>
          <w:sz w:val="20"/>
        </w:rPr>
      </w:pPr>
      <w:r>
        <w:rPr>
          <w:rFonts w:ascii="Times New Roman" w:hAnsi="Times New Roman"/>
          <w:spacing w:val="0"/>
          <w:sz w:val="20"/>
        </w:rPr>
        <w:t>COVID-19</w:t>
      </w:r>
    </w:p>
    <w:p>
      <w:pPr>
        <w:pStyle w:val="TextBody"/>
        <w:spacing w:before="240" w:after="0"/>
        <w:jc w:val="left"/>
        <w:rPr>
          <w:rFonts w:ascii="Times New Roman" w:hAnsi="Times New Roman"/>
          <w:sz w:val="20"/>
        </w:rPr>
      </w:pPr>
      <w:r>
        <w:rPr>
          <w:rFonts w:ascii="Times New Roman" w:hAnsi="Times New Roman"/>
          <w:sz w:val="20"/>
        </w:rPr>
        <w:t xml:space="preserve">on our business during fiscal 2020, we temporarily paused the use of a national customer survey platform. In 2019, 86.0% of respondents to our Guest Satisfaction Survey rated us “Top Box” (score of 5 out of a possible 5) in “Overall Experience” and 87.2% of respondents rated us “Top Box” in “Intent to Recommend.” Through our loyalty program, we email offers and coupons to members and notify them of new games, food, drinks, and local events. In addition, members can earn game play credits based on the dollar amount of qualifying purchases at our stores. We expect that as our loyalty program grows it will be an important method of maintaining customers’ connection with our brand and further drive customer satisfaction. </w:t>
      </w:r>
    </w:p>
    <w:p>
      <w:pPr>
        <w:pStyle w:val="TextBody"/>
        <w:spacing w:before="360" w:after="0"/>
        <w:jc w:val="left"/>
        <w:rPr>
          <w:rFonts w:ascii="Times New Roman" w:hAnsi="Times New Roman"/>
          <w:b/>
          <w:spacing w:val="0"/>
          <w:sz w:val="20"/>
        </w:rPr>
      </w:pPr>
      <w:r>
        <w:rPr>
          <w:rFonts w:ascii="Times New Roman" w:hAnsi="Times New Roman"/>
          <w:b/>
          <w:spacing w:val="0"/>
          <w:sz w:val="20"/>
        </w:rPr>
        <w:t xml:space="preserve">Strategy </w:t>
      </w:r>
    </w:p>
    <w:p>
      <w:pPr>
        <w:pStyle w:val="TextBody"/>
        <w:spacing w:before="120" w:after="0"/>
        <w:jc w:val="left"/>
        <w:rPr>
          <w:rFonts w:ascii="Times New Roman" w:hAnsi="Times New Roman"/>
          <w:sz w:val="20"/>
        </w:rPr>
      </w:pPr>
      <w:r>
        <w:rPr>
          <w:rFonts w:ascii="Times New Roman" w:hAnsi="Times New Roman"/>
          <w:sz w:val="20"/>
        </w:rPr>
        <w:t xml:space="preserve">During fiscal 2020, we focused on the </w:t>
      </w:r>
    </w:p>
    <w:p>
      <w:pPr>
        <w:pStyle w:val="TextBody"/>
        <w:spacing w:before="120" w:after="0"/>
        <w:jc w:val="left"/>
        <w:rPr>
          <w:rFonts w:ascii="Times New Roman" w:hAnsi="Times New Roman"/>
          <w:spacing w:val="0"/>
          <w:sz w:val="20"/>
        </w:rPr>
      </w:pPr>
      <w:r>
        <w:rPr>
          <w:rFonts w:ascii="Times New Roman" w:hAnsi="Times New Roman"/>
          <w:spacing w:val="0"/>
          <w:sz w:val="20"/>
        </w:rPr>
        <w:t>re-opening</w:t>
      </w:r>
    </w:p>
    <w:p>
      <w:pPr>
        <w:pStyle w:val="TextBody"/>
        <w:spacing w:before="120" w:after="0"/>
        <w:jc w:val="left"/>
        <w:rPr>
          <w:rFonts w:ascii="Times New Roman" w:hAnsi="Times New Roman"/>
          <w:sz w:val="20"/>
        </w:rPr>
      </w:pPr>
      <w:r>
        <w:rPr>
          <w:rFonts w:ascii="Times New Roman" w:hAnsi="Times New Roman"/>
          <w:sz w:val="20"/>
        </w:rPr>
        <w:t xml:space="preserve">of our stores after mandated shutdowns related to </w:t>
      </w:r>
    </w:p>
    <w:p>
      <w:pPr>
        <w:pStyle w:val="TextBody"/>
        <w:spacing w:before="120" w:after="0"/>
        <w:jc w:val="left"/>
        <w:rPr>
          <w:rFonts w:ascii="Times New Roman" w:hAnsi="Times New Roman"/>
          <w:spacing w:val="0"/>
          <w:sz w:val="20"/>
        </w:rPr>
      </w:pPr>
      <w:r>
        <w:rPr>
          <w:rFonts w:ascii="Times New Roman" w:hAnsi="Times New Roman"/>
          <w:spacing w:val="0"/>
          <w:sz w:val="20"/>
        </w:rPr>
        <w:t>COVID-19,</w:t>
      </w:r>
    </w:p>
    <w:p>
      <w:pPr>
        <w:pStyle w:val="TextBody"/>
        <w:spacing w:before="120" w:after="0"/>
        <w:jc w:val="left"/>
        <w:rPr>
          <w:rFonts w:ascii="Times New Roman" w:hAnsi="Times New Roman"/>
          <w:sz w:val="20"/>
        </w:rPr>
      </w:pPr>
      <w:r>
        <w:rPr>
          <w:rFonts w:ascii="Times New Roman" w:hAnsi="Times New Roman"/>
          <w:sz w:val="20"/>
        </w:rPr>
        <w:t xml:space="preserve">but also refreshed our strategy to set us up for the next phase of growth. As part of this initiative, we commissioned external consultants to provide insight and review opportunities to assist in refreshing our strategy built on the following key components: </w:t>
      </w:r>
    </w:p>
    <w:p>
      <w:pPr>
        <w:pStyle w:val="TextBody"/>
        <w:spacing w:before="24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Drive our comparable store sales. </w:t>
      </w:r>
    </w:p>
    <w:p>
      <w:pPr>
        <w:pStyle w:val="TextBody"/>
        <w:spacing w:before="240" w:after="0"/>
        <w:jc w:val="left"/>
        <w:rPr>
          <w:rFonts w:ascii="Times New Roman" w:hAnsi="Times New Roman"/>
          <w:sz w:val="20"/>
        </w:rPr>
      </w:pPr>
      <w:r>
        <w:rPr>
          <w:rFonts w:ascii="Times New Roman" w:hAnsi="Times New Roman"/>
          <w:sz w:val="20"/>
        </w:rPr>
        <w:t xml:space="preserve">We intend to differentiate our brand from other food and entertainment alternatives and drive our comparable sales, in a competitive landscape, through the following strategies: </w:t>
      </w:r>
    </w:p>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Offer novel food</w:t>
            </w:r>
          </w:p>
          <w:p>
            <w:pPr>
              <w:pStyle w:val="TableContents"/>
              <w:spacing w:before="0" w:after="0"/>
              <w:jc w:val="left"/>
              <w:rPr>
                <w:caps w:val="false"/>
                <w:smallCaps w:val="false"/>
                <w:spacing w:val="0"/>
              </w:rPr>
            </w:pPr>
            <w:r>
              <w:rPr>
                <w:caps w:val="false"/>
                <w:smallCaps w:val="false"/>
                <w:spacing w:val="0"/>
              </w:rPr>
              <w:t> </w:t>
            </w:r>
            <w:r>
              <w:rPr>
                <w:rFonts w:ascii="Times New Roman" w:hAnsi="Times New Roman"/>
                <w:i/>
                <w:caps w:val="false"/>
                <w:smallCaps w:val="false"/>
                <w:spacing w:val="0"/>
                <w:sz w:val="20"/>
              </w:rPr>
              <w:t>&amp; drink to bring people together.</w:t>
            </w:r>
          </w:p>
          <w:p>
            <w:pPr>
              <w:pStyle w:val="TableContents"/>
              <w:spacing w:before="0" w:after="0"/>
              <w:jc w:val="left"/>
              <w:rPr>
                <w:rFonts w:ascii="Times New Roman" w:hAnsi="Times New Roman"/>
                <w:sz w:val="20"/>
              </w:rPr>
            </w:pPr>
            <w:r>
              <w:rPr>
                <w:rFonts w:ascii="Times New Roman" w:hAnsi="Times New Roman"/>
                <w:sz w:val="20"/>
              </w:rPr>
              <w:t xml:space="preserve">We rolled out a new menu in March 2021 to provide a differentiated food and beverage offering based on an “Inspired American Kitchen” identity. We aim to improve overall food quality, and to offer a wide variety of items including starters and shareable items, </w:t>
            </w:r>
          </w:p>
          <w:p>
            <w:pPr>
              <w:pStyle w:val="TableContents"/>
              <w:spacing w:before="0" w:after="0"/>
              <w:jc w:val="left"/>
              <w:rPr>
                <w:rFonts w:ascii="Times New Roman" w:hAnsi="Times New Roman"/>
                <w:spacing w:val="0"/>
                <w:sz w:val="20"/>
              </w:rPr>
            </w:pPr>
            <w:r>
              <w:rPr>
                <w:rFonts w:ascii="Times New Roman" w:hAnsi="Times New Roman"/>
                <w:spacing w:val="0"/>
                <w:sz w:val="20"/>
              </w:rPr>
              <w:t>one-of-a-kind</w:t>
            </w:r>
          </w:p>
          <w:p>
            <w:pPr>
              <w:pStyle w:val="TableContents"/>
              <w:spacing w:before="0" w:after="0"/>
              <w:jc w:val="left"/>
              <w:rPr>
                <w:rFonts w:ascii="Times New Roman" w:hAnsi="Times New Roman"/>
                <w:sz w:val="20"/>
              </w:rPr>
            </w:pPr>
            <w:r>
              <w:rPr>
                <w:rFonts w:ascii="Times New Roman" w:hAnsi="Times New Roman"/>
                <w:sz w:val="20"/>
              </w:rPr>
              <w:t xml:space="preserve">burgers and handhelds, choice-grade steaks, pasta, and low calorie, vegetarian, and gluten friendly options. We also plan to improve efficiency by simplifying execution, allowing us to deliver dishes hotter and faster to drive an improved customer experience. For our beverage offering, we plan to update the offering based on customer research, and plan to streamline the selection to improve execution efficiency. For both food and beverage, we aim to periodically introduce new items, and run limited time offers during key periods. </w:t>
            </w:r>
          </w:p>
        </w:tc>
      </w:tr>
    </w:tbl>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Offer the latest entertainment to enjoy together.</w:t>
            </w:r>
          </w:p>
          <w:p>
            <w:pPr>
              <w:pStyle w:val="TableContents"/>
              <w:spacing w:before="0" w:after="0"/>
              <w:jc w:val="left"/>
              <w:rPr>
                <w:rFonts w:ascii="Times New Roman" w:hAnsi="Times New Roman"/>
                <w:sz w:val="20"/>
              </w:rPr>
            </w:pPr>
            <w:r>
              <w:rPr>
                <w:rFonts w:ascii="Times New Roman" w:hAnsi="Times New Roman"/>
                <w:sz w:val="20"/>
              </w:rPr>
              <w:t xml:space="preserve">We believe that our Midway games are the core differentiating feature of the Dave &amp; Buster’s brand, and staying current with the latest offerings promotes trial and provides an exciting environment to enjoy games with friends and family, especially with the latest multiplayer games and challenges. We plan to continually update our games each year through development of innovative and proprietary games and the purchase of new games that will resonate with our customers and drive brand relevance due to a variety of factors, including their large scale, </w:t>
            </w:r>
          </w:p>
          <w:p>
            <w:pPr>
              <w:pStyle w:val="TableContents"/>
              <w:spacing w:before="0" w:after="0"/>
              <w:jc w:val="left"/>
              <w:rPr>
                <w:rFonts w:ascii="Times New Roman" w:hAnsi="Times New Roman"/>
                <w:spacing w:val="0"/>
                <w:sz w:val="20"/>
              </w:rPr>
            </w:pPr>
            <w:r>
              <w:rPr>
                <w:rFonts w:ascii="Times New Roman" w:hAnsi="Times New Roman"/>
                <w:spacing w:val="0"/>
                <w:sz w:val="20"/>
              </w:rPr>
              <w:t>eye-catching</w:t>
            </w:r>
          </w:p>
          <w:p>
            <w:pPr>
              <w:pStyle w:val="TableContents"/>
              <w:spacing w:before="0" w:after="0"/>
              <w:jc w:val="left"/>
              <w:rPr>
                <w:rFonts w:ascii="Times New Roman" w:hAnsi="Times New Roman"/>
                <w:sz w:val="20"/>
              </w:rPr>
            </w:pPr>
            <w:r>
              <w:rPr>
                <w:rFonts w:ascii="Times New Roman" w:hAnsi="Times New Roman"/>
                <w:sz w:val="20"/>
              </w:rPr>
              <w:t xml:space="preserve">appearance, virtual reality features, association with recognizable brands or the fact that they cannot be easily replicated at home. We also intend to extend our programming capabilities by offering more curated content and creating a calendar of ongoing and </w:t>
            </w:r>
          </w:p>
          <w:p>
            <w:pPr>
              <w:pStyle w:val="TableContents"/>
              <w:spacing w:before="0" w:after="0"/>
              <w:jc w:val="left"/>
              <w:rPr>
                <w:rFonts w:ascii="Times New Roman" w:hAnsi="Times New Roman"/>
                <w:spacing w:val="0"/>
                <w:sz w:val="20"/>
              </w:rPr>
            </w:pPr>
            <w:r>
              <w:rPr>
                <w:rFonts w:ascii="Times New Roman" w:hAnsi="Times New Roman"/>
                <w:spacing w:val="0"/>
                <w:sz w:val="20"/>
              </w:rPr>
              <w:t>one-time</w:t>
            </w:r>
          </w:p>
          <w:p>
            <w:pPr>
              <w:pStyle w:val="TableContents"/>
              <w:spacing w:before="0" w:after="0"/>
              <w:jc w:val="left"/>
              <w:rPr>
                <w:rFonts w:ascii="Times New Roman" w:hAnsi="Times New Roman"/>
                <w:sz w:val="20"/>
              </w:rPr>
            </w:pPr>
            <w:r>
              <w:rPr>
                <w:rFonts w:ascii="Times New Roman" w:hAnsi="Times New Roman"/>
                <w:sz w:val="20"/>
              </w:rPr>
              <w:t xml:space="preserve">events leveraging our investments in the best and latest audio-visual technology. </w:t>
            </w:r>
          </w:p>
        </w:tc>
      </w:tr>
    </w:tbl>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Align team and integrated experience.</w:t>
            </w:r>
          </w:p>
          <w:p>
            <w:pPr>
              <w:pStyle w:val="TableContents"/>
              <w:spacing w:before="0" w:after="0"/>
              <w:jc w:val="left"/>
              <w:rPr>
                <w:rFonts w:ascii="Times New Roman" w:hAnsi="Times New Roman"/>
                <w:sz w:val="20"/>
              </w:rPr>
            </w:pPr>
            <w:r>
              <w:rPr>
                <w:rFonts w:ascii="Times New Roman" w:hAnsi="Times New Roman"/>
                <w:sz w:val="20"/>
              </w:rPr>
              <w:t xml:space="preserve">We intend to consistently drive service excellence, including the use of technology to improve speed of service and to give our customers more control over their </w:t>
            </w:r>
          </w:p>
          <w:p>
            <w:pPr>
              <w:pStyle w:val="TableContents"/>
              <w:spacing w:before="0" w:after="0"/>
              <w:jc w:val="left"/>
              <w:rPr>
                <w:rFonts w:ascii="Times New Roman" w:hAnsi="Times New Roman"/>
                <w:spacing w:val="0"/>
                <w:sz w:val="20"/>
              </w:rPr>
            </w:pPr>
            <w:r>
              <w:rPr>
                <w:rFonts w:ascii="Times New Roman" w:hAnsi="Times New Roman"/>
                <w:spacing w:val="0"/>
                <w:sz w:val="20"/>
              </w:rPr>
              <w:t>in-store</w:t>
            </w:r>
          </w:p>
          <w:p>
            <w:pPr>
              <w:pStyle w:val="TableContents"/>
              <w:spacing w:before="0" w:after="0"/>
              <w:jc w:val="left"/>
              <w:rPr>
                <w:rFonts w:ascii="Times New Roman" w:hAnsi="Times New Roman"/>
                <w:sz w:val="20"/>
              </w:rPr>
            </w:pPr>
            <w:r>
              <w:rPr>
                <w:rFonts w:ascii="Times New Roman" w:hAnsi="Times New Roman"/>
                <w:sz w:val="20"/>
              </w:rPr>
              <w:t xml:space="preserve">experience. We will also refresh our commitment to serving customers through an improved hiring, training and service model, and our team will help create fun and bring our new strategies to life. </w:t>
            </w:r>
          </w:p>
        </w:tc>
      </w:tr>
    </w:tbl>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7 </w:t>
      </w:r>
    </w:p>
    <w:p>
      <w:pPr>
        <w:pStyle w:val="HorizontalLine"/>
        <w:rPr/>
      </w:pPr>
      <w:r>
        <w:rPr/>
      </w:r>
    </w:p>
    <w:p>
      <w:pPr>
        <w:pStyle w:val="TextBody"/>
        <w:spacing w:before="0" w:after="0"/>
        <w:rPr/>
      </w:pPr>
      <w:hyperlink w:anchor="toc">
        <w:r>
          <w:rPr>
            <w:rStyle w:val="InternetLink"/>
            <w:b/>
            <w:sz w:val="20"/>
          </w:rPr>
          <w:t>Table of Contents</w:t>
        </w:r>
      </w:hyperlink>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Drive customer engagement.</w:t>
            </w:r>
          </w:p>
          <w:p>
            <w:pPr>
              <w:pStyle w:val="TableContents"/>
              <w:spacing w:before="0" w:after="0"/>
              <w:jc w:val="left"/>
              <w:rPr>
                <w:rFonts w:ascii="Times New Roman" w:hAnsi="Times New Roman"/>
                <w:sz w:val="20"/>
              </w:rPr>
            </w:pPr>
            <w:r>
              <w:rPr>
                <w:rFonts w:ascii="Times New Roman" w:hAnsi="Times New Roman"/>
                <w:sz w:val="20"/>
              </w:rPr>
              <w:t xml:space="preserve">We will focus on delivering personalized messaging that connects with the customer to drive incremental visitation and will focus our advertising on communicating the emotional side of our brand promise. In addition, we will continue to leverage our customer relationship management program and our growing loyalty database by delivering more targeted individualized offers and creative content. </w:t>
            </w:r>
          </w:p>
        </w:tc>
      </w:tr>
    </w:tbl>
    <w:p>
      <w:pPr>
        <w:pStyle w:val="TextBody"/>
        <w:spacing w:before="24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Invest in new stores.</w:t>
      </w:r>
    </w:p>
    <w:p>
      <w:pPr>
        <w:pStyle w:val="TextBody"/>
        <w:spacing w:before="240" w:after="0"/>
        <w:jc w:val="left"/>
        <w:rPr>
          <w:rFonts w:ascii="Times New Roman" w:hAnsi="Times New Roman"/>
          <w:sz w:val="20"/>
        </w:rPr>
      </w:pPr>
      <w:r>
        <w:rPr>
          <w:rFonts w:ascii="Times New Roman" w:hAnsi="Times New Roman"/>
          <w:sz w:val="20"/>
        </w:rPr>
        <w:t xml:space="preserve">We believe that the Dave &amp; Buster’s brand has significant growth opportunities, as internal studies and third-party research suggests a total store potential in the United States and Canada in excess of 230 stores (including our 140 stores as of the end of fiscal 2020). We opened six stores and closed two stores in fiscal 2020. We will maintain a moderate pace of new store openings in fiscal 2021 as our business recovers from the impact of </w:t>
      </w:r>
    </w:p>
    <w:p>
      <w:pPr>
        <w:pStyle w:val="TextBody"/>
        <w:spacing w:before="240" w:after="0"/>
        <w:jc w:val="left"/>
        <w:rPr>
          <w:rFonts w:ascii="Times New Roman" w:hAnsi="Times New Roman"/>
          <w:spacing w:val="0"/>
          <w:sz w:val="20"/>
        </w:rPr>
      </w:pPr>
      <w:r>
        <w:rPr>
          <w:rFonts w:ascii="Times New Roman" w:hAnsi="Times New Roman"/>
          <w:spacing w:val="0"/>
          <w:sz w:val="20"/>
        </w:rPr>
        <w:t>COVID-19</w:t>
      </w:r>
    </w:p>
    <w:p>
      <w:pPr>
        <w:pStyle w:val="TextBody"/>
        <w:spacing w:before="240" w:after="0"/>
        <w:jc w:val="left"/>
        <w:rPr>
          <w:rFonts w:ascii="Times New Roman" w:hAnsi="Times New Roman"/>
          <w:sz w:val="20"/>
        </w:rPr>
      </w:pPr>
      <w:r>
        <w:rPr>
          <w:rFonts w:ascii="Times New Roman" w:hAnsi="Times New Roman"/>
          <w:sz w:val="20"/>
        </w:rPr>
        <w:t xml:space="preserve">and as we focus on the </w:t>
      </w:r>
    </w:p>
    <w:p>
      <w:pPr>
        <w:pStyle w:val="TextBody"/>
        <w:spacing w:before="240" w:after="0"/>
        <w:jc w:val="left"/>
        <w:rPr>
          <w:rFonts w:ascii="Times New Roman" w:hAnsi="Times New Roman"/>
          <w:spacing w:val="0"/>
          <w:sz w:val="20"/>
        </w:rPr>
      </w:pPr>
      <w:r>
        <w:rPr>
          <w:rFonts w:ascii="Times New Roman" w:hAnsi="Times New Roman"/>
          <w:spacing w:val="0"/>
          <w:sz w:val="20"/>
        </w:rPr>
        <w:t>re-opening</w:t>
      </w:r>
    </w:p>
    <w:p>
      <w:pPr>
        <w:pStyle w:val="TextBody"/>
        <w:spacing w:before="240" w:after="0"/>
        <w:jc w:val="left"/>
        <w:rPr>
          <w:rFonts w:ascii="Times New Roman" w:hAnsi="Times New Roman"/>
          <w:sz w:val="20"/>
        </w:rPr>
      </w:pPr>
      <w:r>
        <w:rPr>
          <w:rFonts w:ascii="Times New Roman" w:hAnsi="Times New Roman"/>
          <w:sz w:val="20"/>
        </w:rPr>
        <w:t xml:space="preserve">of our remaining closed stores. Longer term, the number of openings will depend on many factors, including our ability to locate appropriate sites, negotiate acceptable purchase or lease terms, generate sufficient operating cash flows or utilize available cash to finance construction of leasehold improvements and </w:t>
      </w:r>
    </w:p>
    <w:p>
      <w:pPr>
        <w:pStyle w:val="TextBody"/>
        <w:spacing w:before="240" w:after="0"/>
        <w:jc w:val="left"/>
        <w:rPr>
          <w:rFonts w:ascii="Times New Roman" w:hAnsi="Times New Roman"/>
          <w:spacing w:val="0"/>
          <w:sz w:val="20"/>
        </w:rPr>
      </w:pPr>
      <w:r>
        <w:rPr>
          <w:rFonts w:ascii="Times New Roman" w:hAnsi="Times New Roman"/>
          <w:spacing w:val="0"/>
          <w:sz w:val="20"/>
        </w:rPr>
        <w:t>pre-opening</w:t>
      </w:r>
    </w:p>
    <w:p>
      <w:pPr>
        <w:pStyle w:val="TextBody"/>
        <w:spacing w:before="240" w:after="0"/>
        <w:jc w:val="left"/>
        <w:rPr>
          <w:rFonts w:ascii="Times New Roman" w:hAnsi="Times New Roman"/>
          <w:sz w:val="20"/>
        </w:rPr>
      </w:pPr>
      <w:r>
        <w:rPr>
          <w:rFonts w:ascii="Times New Roman" w:hAnsi="Times New Roman"/>
          <w:sz w:val="20"/>
        </w:rPr>
        <w:t xml:space="preserve">costs, obtain necessary local governmental permits, and recruit and train management and hourly personnel.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Regarding our long-term strategy of new store growth, we base new site selection on an analytical evaluation of a set of drivers we believe increase the probability of successful, high-volume stores, including site visibility, accessibility and traffic volume, and trade area demographics The experience and relationships of our current development team has enabled us to focus our attention on the most relevant network of real estate brokers, which has given us access to a larger pool of qualified potential store sites. In addition, we believe the more contemporary look of our stores has been one of the key drivers in attracting new developers and building our new store pipeline.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We currently operate stores varying in size from 16,000 to 70,000 square feet. To optimize sales per square foot and further enhance our store economics we currently utilize three basic formats when designing new stores. The target size of our future large format stores is expected to be between 30,001 and 45,000 square feet, the target size of our future medium format stores is expected to be between 25,001 and 30,000 square feet while our small format stores are below 25,001 square feet. At January 31, 2021, we operated 110 large format stores, 20 medium format stores and 10 small format stores. </w:t>
      </w:r>
    </w:p>
    <w:p>
      <w:pPr>
        <w:pStyle w:val="TextBody"/>
        <w:spacing w:before="240" w:after="0"/>
        <w:jc w:val="left"/>
        <w:rPr>
          <w:rFonts w:ascii="Times New Roman" w:hAnsi="Times New Roman"/>
          <w:sz w:val="20"/>
        </w:rPr>
      </w:pPr>
      <w:r>
        <w:rPr>
          <w:rFonts w:ascii="Times New Roman" w:hAnsi="Times New Roman"/>
          <w:sz w:val="20"/>
        </w:rPr>
        <w:t xml:space="preserve">We believe that the smaller store format allows us to reduce capital investment risk per store. For the smaller format, we have reduced the </w:t>
      </w:r>
    </w:p>
    <w:p>
      <w:pPr>
        <w:pStyle w:val="TextBody"/>
        <w:spacing w:before="240" w:after="0"/>
        <w:jc w:val="left"/>
        <w:rPr>
          <w:rFonts w:ascii="Times New Roman" w:hAnsi="Times New Roman"/>
          <w:spacing w:val="0"/>
          <w:sz w:val="20"/>
        </w:rPr>
      </w:pPr>
      <w:r>
        <w:rPr>
          <w:rFonts w:ascii="Times New Roman" w:hAnsi="Times New Roman"/>
          <w:spacing w:val="0"/>
          <w:sz w:val="20"/>
        </w:rPr>
        <w:t>back-of-house</w:t>
      </w:r>
    </w:p>
    <w:p>
      <w:pPr>
        <w:pStyle w:val="TextBody"/>
        <w:spacing w:before="240" w:after="0"/>
        <w:jc w:val="left"/>
        <w:rPr>
          <w:rFonts w:ascii="Times New Roman" w:hAnsi="Times New Roman"/>
          <w:sz w:val="20"/>
        </w:rPr>
      </w:pPr>
      <w:r>
        <w:rPr>
          <w:rFonts w:ascii="Times New Roman" w:hAnsi="Times New Roman"/>
          <w:sz w:val="20"/>
        </w:rPr>
        <w:t xml:space="preserve">space and optimized the customer facing area dedicated to video and redemption games. We believe that the smaller format maintains the dynamic customer experience that is the foundation of our brand and allows us flexibility in our site selection process. </w:t>
      </w:r>
    </w:p>
    <w:p>
      <w:pPr>
        <w:pStyle w:val="TextBody"/>
        <w:spacing w:before="360" w:after="0"/>
        <w:jc w:val="left"/>
        <w:rPr>
          <w:rFonts w:ascii="Times New Roman" w:hAnsi="Times New Roman"/>
          <w:b/>
          <w:spacing w:val="0"/>
          <w:sz w:val="20"/>
        </w:rPr>
      </w:pPr>
      <w:r>
        <w:rPr>
          <w:rFonts w:ascii="Times New Roman" w:hAnsi="Times New Roman"/>
          <w:b/>
          <w:spacing w:val="0"/>
          <w:sz w:val="20"/>
        </w:rPr>
        <w:t xml:space="preserve">Human Capital Management </w:t>
      </w:r>
    </w:p>
    <w:p>
      <w:pPr>
        <w:pStyle w:val="TextBody"/>
        <w:spacing w:before="120" w:after="0"/>
        <w:jc w:val="left"/>
        <w:rPr>
          <w:rFonts w:ascii="Times New Roman" w:hAnsi="Times New Roman"/>
          <w:sz w:val="20"/>
        </w:rPr>
      </w:pPr>
      <w:r>
        <w:rPr>
          <w:rFonts w:ascii="Times New Roman" w:hAnsi="Times New Roman"/>
          <w:sz w:val="20"/>
        </w:rPr>
        <w:t>Our team members are the heart of our Company, and they help us run the fun in our stores every day. We depend on our team members to provide great service and maintain consistently strong operations. Our ability to attract and retain an engaged and experienced team is critical to successful execution of our business strategies. While we continue to operate in a competitive labor environment, we believe our culture, policies, and labor practices contribute to strong relations with our team members. (See Item 1A. Risk Factors, “</w:t>
      </w:r>
    </w:p>
    <w:p>
      <w:pPr>
        <w:pStyle w:val="TextBody"/>
        <w:spacing w:before="12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Our success depends upon our ability to recruit and retain qualified store management and operating personnel while also controlling our labor costs</w:t>
      </w:r>
    </w:p>
    <w:p>
      <w:pPr>
        <w:pStyle w:val="TextBody"/>
        <w:spacing w:before="120" w:after="0"/>
        <w:jc w:val="left"/>
        <w:rPr>
          <w:rFonts w:ascii="Times New Roman" w:hAnsi="Times New Roman"/>
          <w:sz w:val="20"/>
        </w:rPr>
      </w:pPr>
      <w:r>
        <w:rPr>
          <w:rFonts w:ascii="Times New Roman" w:hAnsi="Times New Roman"/>
          <w:sz w:val="20"/>
        </w:rPr>
        <w:t xml:space="preserve">.”) </w:t>
      </w:r>
    </w:p>
    <w:p>
      <w:pPr>
        <w:pStyle w:val="TextBody"/>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Our Culture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In our stores and at our corporate office, we are committed to being fun creators. Our team members share a deep commitment to four culture pillars, which describe the relationships our team members have with our customers and each other. We are devoted to our “You Got It” service philosophy that calls us to provide exceptional service to our customers and to each other every day. Our “Play Your Heart Out” attitude encourages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8 </w:t>
      </w:r>
    </w:p>
    <w:p>
      <w:pPr>
        <w:pStyle w:val="HorizontalLine"/>
        <w:rPr/>
      </w:pPr>
      <w:r>
        <w:rPr/>
      </w:r>
    </w:p>
    <w:p>
      <w:pPr>
        <w:pStyle w:val="TextBody"/>
        <w:spacing w:before="0" w:after="0"/>
        <w:rPr/>
      </w:pPr>
      <w:hyperlink w:anchor="toc">
        <w:r>
          <w:rPr>
            <w:rStyle w:val="InternetLink"/>
            <w:b/>
            <w:sz w:val="20"/>
          </w:rPr>
          <w:t>Table of Contents</w:t>
        </w:r>
      </w:hyperlink>
    </w:p>
    <w:p>
      <w:pPr>
        <w:pStyle w:val="TextBody"/>
        <w:spacing w:before="0" w:after="0"/>
        <w:jc w:val="left"/>
        <w:rPr>
          <w:rFonts w:ascii="Times New Roman" w:hAnsi="Times New Roman"/>
          <w:spacing w:val="0"/>
          <w:sz w:val="20"/>
        </w:rPr>
      </w:pPr>
      <w:r>
        <w:rPr>
          <w:rFonts w:ascii="Times New Roman" w:hAnsi="Times New Roman"/>
          <w:spacing w:val="0"/>
          <w:sz w:val="20"/>
        </w:rPr>
        <w:t xml:space="preserve">intensity, hard work, and having fun. We firmly believe we are “Better Together,” and through this culture pillar we encourage inclusivity, teamwork, and good judgment. Finally, we encourage all team members to be “Game Changers” committed to innovation, embracing change, and continuous learning and growth. </w:t>
      </w:r>
    </w:p>
    <w:p>
      <w:pPr>
        <w:pStyle w:val="TextBody"/>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Our Team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As of January 31, 2021, we employed 8,547 team members, 208 of whom served at our corporate headquarters, 1,026 of whom served as management personnel and the remainder of whom were hourly personnel. Included in our total team members are 758 store and corporate team members who remain on furlough while the Company continues its recovery, 42% of which are management personnel.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Our Better Together culture pillar binds us to a shared commitment to attract, retain, engage, and develop a team that mirrors the diversity of the customers we serve. We strive to provide inclusive fun for all, and we believe our commitment to diversity, equity and inclusion promotes teamwork to achieve our common goals, helps our team members reach their highest potential at work, enables our team members to make better decisions to serve all of our stakeholders, and fuels innovation. Racial minorities make up over 53% of our U.S. workforce, and we are proud of our diversity, which is summarized below: </w:t>
      </w:r>
    </w:p>
    <w:p>
      <w:pPr>
        <w:pStyle w:val="TextBody"/>
        <w:spacing w:before="0" w:after="0"/>
        <w:jc w:val="left"/>
        <w:rPr>
          <w:spacing w:val="0"/>
        </w:rPr>
      </w:pPr>
      <w:r>
        <w:rPr>
          <w:spacing w:val="0"/>
        </w:rPr>
        <w:t> </w:t>
      </w:r>
    </w:p>
    <w:tbl>
      <w:tblPr>
        <w:tblW w:w="6200" w:type="dxa"/>
        <w:jc w:val="left"/>
        <w:tblInd w:w="0" w:type="dxa"/>
        <w:tblCellMar>
          <w:top w:w="0" w:type="dxa"/>
          <w:left w:w="0" w:type="dxa"/>
          <w:bottom w:w="0" w:type="dxa"/>
          <w:right w:w="0" w:type="dxa"/>
        </w:tblCellMar>
      </w:tblPr>
      <w:tblGrid>
        <w:gridCol w:w="3215"/>
        <w:gridCol w:w="120"/>
        <w:gridCol w:w="63"/>
        <w:gridCol w:w="467"/>
        <w:gridCol w:w="275"/>
        <w:gridCol w:w="60"/>
        <w:gridCol w:w="90"/>
        <w:gridCol w:w="665"/>
        <w:gridCol w:w="275"/>
        <w:gridCol w:w="60"/>
        <w:gridCol w:w="60"/>
        <w:gridCol w:w="560"/>
        <w:gridCol w:w="290"/>
      </w:tblGrid>
      <w:tr>
        <w:trPr/>
        <w:tc>
          <w:tcPr>
            <w:tcW w:w="321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3" w:type="dxa"/>
            <w:tcBorders/>
            <w:shd w:fill="auto" w:val="clear"/>
            <w:vAlign w:val="center"/>
          </w:tcPr>
          <w:p>
            <w:pPr>
              <w:pStyle w:val="TableContents"/>
              <w:spacing w:before="0" w:after="283"/>
              <w:rPr>
                <w:sz w:val="4"/>
                <w:szCs w:val="4"/>
              </w:rPr>
            </w:pPr>
            <w:r>
              <w:rPr>
                <w:sz w:val="4"/>
                <w:szCs w:val="4"/>
              </w:rPr>
            </w:r>
          </w:p>
        </w:tc>
        <w:tc>
          <w:tcPr>
            <w:tcW w:w="467"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665"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560"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r>
      <w:tr>
        <w:trPr/>
        <w:tc>
          <w:tcPr>
            <w:tcW w:w="321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530" w:type="dxa"/>
            <w:gridSpan w:val="2"/>
            <w:tcBorders/>
            <w:shd w:fill="auto" w:val="clear"/>
            <w:vAlign w:val="center"/>
          </w:tcPr>
          <w:p>
            <w:pPr>
              <w:pStyle w:val="TableContents"/>
              <w:spacing w:before="0" w:after="0"/>
              <w:jc w:val="center"/>
              <w:rPr>
                <w:b/>
                <w:spacing w:val="0"/>
              </w:rPr>
            </w:pPr>
            <w:r>
              <w:rPr>
                <w:b/>
                <w:spacing w:val="0"/>
              </w:rPr>
              <w:t>Male</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55" w:type="dxa"/>
            <w:gridSpan w:val="2"/>
            <w:tcBorders/>
            <w:shd w:fill="auto" w:val="clear"/>
            <w:vAlign w:val="center"/>
          </w:tcPr>
          <w:p>
            <w:pPr>
              <w:pStyle w:val="TableContents"/>
              <w:spacing w:before="0" w:after="0"/>
              <w:jc w:val="center"/>
              <w:rPr>
                <w:b/>
                <w:spacing w:val="0"/>
              </w:rPr>
            </w:pPr>
            <w:r>
              <w:rPr>
                <w:b/>
                <w:spacing w:val="0"/>
              </w:rPr>
              <w:t>Female</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20" w:type="dxa"/>
            <w:gridSpan w:val="2"/>
            <w:tcBorders/>
            <w:shd w:fill="auto" w:val="clear"/>
            <w:vAlign w:val="center"/>
          </w:tcPr>
          <w:p>
            <w:pPr>
              <w:pStyle w:val="TableContents"/>
              <w:spacing w:before="0" w:after="0"/>
              <w:jc w:val="center"/>
              <w:rPr>
                <w:b/>
                <w:spacing w:val="0"/>
              </w:rPr>
            </w:pPr>
            <w:r>
              <w:rPr>
                <w:b/>
                <w:spacing w:val="0"/>
              </w:rPr>
              <w:t>Total</w:t>
            </w:r>
          </w:p>
        </w:tc>
        <w:tc>
          <w:tcPr>
            <w:tcW w:w="290" w:type="dxa"/>
            <w:tcBorders/>
            <w:shd w:fill="auto" w:val="clear"/>
            <w:vAlign w:val="center"/>
          </w:tcPr>
          <w:p>
            <w:pPr>
              <w:pStyle w:val="TableContents"/>
              <w:spacing w:before="0" w:after="283"/>
              <w:rPr/>
            </w:pPr>
            <w:r>
              <w:rPr/>
              <w:t> </w:t>
            </w:r>
          </w:p>
        </w:tc>
      </w:tr>
      <w:tr>
        <w:trPr/>
        <w:tc>
          <w:tcPr>
            <w:tcW w:w="321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White</w:t>
            </w:r>
          </w:p>
        </w:tc>
        <w:tc>
          <w:tcPr>
            <w:tcW w:w="120" w:type="dxa"/>
            <w:tcBorders/>
            <w:shd w:fill="CCEEFF" w:val="clear"/>
            <w:vAlign w:val="center"/>
          </w:tcPr>
          <w:p>
            <w:pPr>
              <w:pStyle w:val="TableContents"/>
              <w:spacing w:before="0" w:after="283"/>
              <w:rPr/>
            </w:pPr>
            <w:r>
              <w:rPr/>
              <w:t>  </w:t>
            </w:r>
          </w:p>
        </w:tc>
        <w:tc>
          <w:tcPr>
            <w:tcW w:w="63" w:type="dxa"/>
            <w:tcBorders/>
            <w:shd w:fill="CCEEFF" w:val="clear"/>
            <w:vAlign w:val="center"/>
          </w:tcPr>
          <w:p>
            <w:pPr>
              <w:pStyle w:val="TableContents"/>
              <w:spacing w:before="0" w:after="283"/>
              <w:rPr/>
            </w:pPr>
            <w:r>
              <w:rPr/>
              <w:t> </w:t>
            </w:r>
          </w:p>
        </w:tc>
        <w:tc>
          <w:tcPr>
            <w:tcW w:w="467" w:type="dxa"/>
            <w:tcBorders/>
            <w:shd w:fill="CCEEFF" w:val="clear"/>
            <w:vAlign w:val="center"/>
          </w:tcPr>
          <w:p>
            <w:pPr>
              <w:pStyle w:val="TableContents"/>
              <w:spacing w:before="0" w:after="283"/>
              <w:jc w:val="right"/>
              <w:rPr/>
            </w:pPr>
            <w:r>
              <w:rPr/>
              <w:t>23.9</w:t>
            </w:r>
          </w:p>
        </w:tc>
        <w:tc>
          <w:tcPr>
            <w:tcW w:w="27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90" w:type="dxa"/>
            <w:tcBorders/>
            <w:shd w:fill="CCEEFF" w:val="clear"/>
            <w:vAlign w:val="center"/>
          </w:tcPr>
          <w:p>
            <w:pPr>
              <w:pStyle w:val="TableContents"/>
              <w:spacing w:before="0" w:after="283"/>
              <w:rPr/>
            </w:pPr>
            <w:r>
              <w:rPr/>
              <w:t> </w:t>
            </w:r>
          </w:p>
        </w:tc>
        <w:tc>
          <w:tcPr>
            <w:tcW w:w="665" w:type="dxa"/>
            <w:tcBorders/>
            <w:shd w:fill="CCEEFF" w:val="clear"/>
            <w:vAlign w:val="center"/>
          </w:tcPr>
          <w:p>
            <w:pPr>
              <w:pStyle w:val="TableContents"/>
              <w:spacing w:before="0" w:after="283"/>
              <w:jc w:val="right"/>
              <w:rPr/>
            </w:pPr>
            <w:r>
              <w:rPr/>
              <w:t>22.6</w:t>
            </w:r>
          </w:p>
        </w:tc>
        <w:tc>
          <w:tcPr>
            <w:tcW w:w="27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560" w:type="dxa"/>
            <w:tcBorders/>
            <w:shd w:fill="CCEEFF" w:val="clear"/>
            <w:vAlign w:val="center"/>
          </w:tcPr>
          <w:p>
            <w:pPr>
              <w:pStyle w:val="TableContents"/>
              <w:spacing w:before="0" w:after="283"/>
              <w:jc w:val="right"/>
              <w:rPr/>
            </w:pPr>
            <w:r>
              <w:rPr/>
              <w:t>46.5</w:t>
            </w:r>
          </w:p>
        </w:tc>
        <w:tc>
          <w:tcPr>
            <w:tcW w:w="290" w:type="dxa"/>
            <w:tcBorders/>
            <w:shd w:fill="CCEEFF" w:val="clear"/>
            <w:vAlign w:val="center"/>
          </w:tcPr>
          <w:p>
            <w:pPr>
              <w:pStyle w:val="TableContents"/>
              <w:spacing w:before="0" w:after="283"/>
              <w:rPr/>
            </w:pPr>
            <w:r>
              <w:rPr/>
              <w:t>% </w:t>
            </w:r>
          </w:p>
        </w:tc>
      </w:tr>
      <w:tr>
        <w:trPr/>
        <w:tc>
          <w:tcPr>
            <w:tcW w:w="321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Black or African American</w:t>
            </w:r>
          </w:p>
        </w:tc>
        <w:tc>
          <w:tcPr>
            <w:tcW w:w="120" w:type="dxa"/>
            <w:tcBorders/>
            <w:shd w:fill="auto" w:val="clear"/>
            <w:vAlign w:val="center"/>
          </w:tcPr>
          <w:p>
            <w:pPr>
              <w:pStyle w:val="TableContents"/>
              <w:spacing w:before="0" w:after="283"/>
              <w:rPr/>
            </w:pPr>
            <w:r>
              <w:rPr/>
              <w:t>  </w:t>
            </w:r>
          </w:p>
        </w:tc>
        <w:tc>
          <w:tcPr>
            <w:tcW w:w="63" w:type="dxa"/>
            <w:tcBorders/>
            <w:shd w:fill="auto" w:val="clear"/>
            <w:vAlign w:val="center"/>
          </w:tcPr>
          <w:p>
            <w:pPr>
              <w:pStyle w:val="TableContents"/>
              <w:spacing w:before="0" w:after="283"/>
              <w:rPr/>
            </w:pPr>
            <w:r>
              <w:rPr/>
              <w:t> </w:t>
            </w:r>
          </w:p>
        </w:tc>
        <w:tc>
          <w:tcPr>
            <w:tcW w:w="467" w:type="dxa"/>
            <w:tcBorders/>
            <w:shd w:fill="auto" w:val="clear"/>
            <w:vAlign w:val="center"/>
          </w:tcPr>
          <w:p>
            <w:pPr>
              <w:pStyle w:val="TableContents"/>
              <w:spacing w:before="0" w:after="283"/>
              <w:jc w:val="right"/>
              <w:rPr/>
            </w:pPr>
            <w:r>
              <w:rPr/>
              <w:t>14.4</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0" w:type="dxa"/>
            <w:tcBorders/>
            <w:shd w:fill="auto" w:val="clear"/>
            <w:vAlign w:val="center"/>
          </w:tcPr>
          <w:p>
            <w:pPr>
              <w:pStyle w:val="TableContents"/>
              <w:spacing w:before="0" w:after="283"/>
              <w:rPr/>
            </w:pPr>
            <w:r>
              <w:rPr/>
              <w:t> </w:t>
            </w:r>
          </w:p>
        </w:tc>
        <w:tc>
          <w:tcPr>
            <w:tcW w:w="665" w:type="dxa"/>
            <w:tcBorders/>
            <w:shd w:fill="auto" w:val="clear"/>
            <w:vAlign w:val="center"/>
          </w:tcPr>
          <w:p>
            <w:pPr>
              <w:pStyle w:val="TableContents"/>
              <w:spacing w:before="0" w:after="283"/>
              <w:jc w:val="right"/>
              <w:rPr/>
            </w:pPr>
            <w:r>
              <w:rPr/>
              <w:t>11.7</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60" w:type="dxa"/>
            <w:tcBorders/>
            <w:shd w:fill="auto" w:val="clear"/>
            <w:vAlign w:val="center"/>
          </w:tcPr>
          <w:p>
            <w:pPr>
              <w:pStyle w:val="TableContents"/>
              <w:spacing w:before="0" w:after="283"/>
              <w:jc w:val="right"/>
              <w:rPr/>
            </w:pPr>
            <w:r>
              <w:rPr/>
              <w:t>26.1</w:t>
            </w:r>
          </w:p>
        </w:tc>
        <w:tc>
          <w:tcPr>
            <w:tcW w:w="290" w:type="dxa"/>
            <w:tcBorders/>
            <w:shd w:fill="auto" w:val="clear"/>
            <w:vAlign w:val="center"/>
          </w:tcPr>
          <w:p>
            <w:pPr>
              <w:pStyle w:val="TableContents"/>
              <w:spacing w:before="0" w:after="283"/>
              <w:rPr/>
            </w:pPr>
            <w:r>
              <w:rPr/>
              <w:t>% </w:t>
            </w:r>
          </w:p>
        </w:tc>
      </w:tr>
      <w:tr>
        <w:trPr/>
        <w:tc>
          <w:tcPr>
            <w:tcW w:w="321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Hispanic</w:t>
            </w:r>
          </w:p>
        </w:tc>
        <w:tc>
          <w:tcPr>
            <w:tcW w:w="120" w:type="dxa"/>
            <w:tcBorders/>
            <w:shd w:fill="CCEEFF" w:val="clear"/>
            <w:vAlign w:val="center"/>
          </w:tcPr>
          <w:p>
            <w:pPr>
              <w:pStyle w:val="TableContents"/>
              <w:spacing w:before="0" w:after="283"/>
              <w:rPr/>
            </w:pPr>
            <w:r>
              <w:rPr/>
              <w:t>  </w:t>
            </w:r>
          </w:p>
        </w:tc>
        <w:tc>
          <w:tcPr>
            <w:tcW w:w="63" w:type="dxa"/>
            <w:tcBorders/>
            <w:shd w:fill="CCEEFF" w:val="clear"/>
            <w:vAlign w:val="center"/>
          </w:tcPr>
          <w:p>
            <w:pPr>
              <w:pStyle w:val="TableContents"/>
              <w:spacing w:before="0" w:after="283"/>
              <w:rPr/>
            </w:pPr>
            <w:r>
              <w:rPr/>
              <w:t> </w:t>
            </w:r>
          </w:p>
        </w:tc>
        <w:tc>
          <w:tcPr>
            <w:tcW w:w="467" w:type="dxa"/>
            <w:tcBorders/>
            <w:shd w:fill="CCEEFF" w:val="clear"/>
            <w:vAlign w:val="center"/>
          </w:tcPr>
          <w:p>
            <w:pPr>
              <w:pStyle w:val="TableContents"/>
              <w:spacing w:before="0" w:after="283"/>
              <w:jc w:val="right"/>
              <w:rPr/>
            </w:pPr>
            <w:r>
              <w:rPr/>
              <w:t>12.3</w:t>
            </w:r>
          </w:p>
        </w:tc>
        <w:tc>
          <w:tcPr>
            <w:tcW w:w="27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90" w:type="dxa"/>
            <w:tcBorders/>
            <w:shd w:fill="CCEEFF" w:val="clear"/>
            <w:vAlign w:val="center"/>
          </w:tcPr>
          <w:p>
            <w:pPr>
              <w:pStyle w:val="TableContents"/>
              <w:spacing w:before="0" w:after="283"/>
              <w:rPr/>
            </w:pPr>
            <w:r>
              <w:rPr/>
              <w:t> </w:t>
            </w:r>
          </w:p>
        </w:tc>
        <w:tc>
          <w:tcPr>
            <w:tcW w:w="665" w:type="dxa"/>
            <w:tcBorders/>
            <w:shd w:fill="CCEEFF" w:val="clear"/>
            <w:vAlign w:val="center"/>
          </w:tcPr>
          <w:p>
            <w:pPr>
              <w:pStyle w:val="TableContents"/>
              <w:spacing w:before="0" w:after="283"/>
              <w:jc w:val="right"/>
              <w:rPr/>
            </w:pPr>
            <w:r>
              <w:rPr/>
              <w:t>9.6</w:t>
            </w:r>
          </w:p>
        </w:tc>
        <w:tc>
          <w:tcPr>
            <w:tcW w:w="27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560" w:type="dxa"/>
            <w:tcBorders/>
            <w:shd w:fill="CCEEFF" w:val="clear"/>
            <w:vAlign w:val="center"/>
          </w:tcPr>
          <w:p>
            <w:pPr>
              <w:pStyle w:val="TableContents"/>
              <w:spacing w:before="0" w:after="283"/>
              <w:jc w:val="right"/>
              <w:rPr/>
            </w:pPr>
            <w:r>
              <w:rPr/>
              <w:t>21.9</w:t>
            </w:r>
          </w:p>
        </w:tc>
        <w:tc>
          <w:tcPr>
            <w:tcW w:w="290" w:type="dxa"/>
            <w:tcBorders/>
            <w:shd w:fill="CCEEFF" w:val="clear"/>
            <w:vAlign w:val="center"/>
          </w:tcPr>
          <w:p>
            <w:pPr>
              <w:pStyle w:val="TableContents"/>
              <w:spacing w:before="0" w:after="283"/>
              <w:rPr/>
            </w:pPr>
            <w:r>
              <w:rPr/>
              <w:t>% </w:t>
            </w:r>
          </w:p>
        </w:tc>
      </w:tr>
      <w:tr>
        <w:trPr/>
        <w:tc>
          <w:tcPr>
            <w:tcW w:w="321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Asian/American Indian/Pacific Islander</w:t>
            </w:r>
          </w:p>
        </w:tc>
        <w:tc>
          <w:tcPr>
            <w:tcW w:w="120" w:type="dxa"/>
            <w:tcBorders/>
            <w:shd w:fill="auto" w:val="clear"/>
            <w:vAlign w:val="center"/>
          </w:tcPr>
          <w:p>
            <w:pPr>
              <w:pStyle w:val="TableContents"/>
              <w:spacing w:before="0" w:after="283"/>
              <w:rPr/>
            </w:pPr>
            <w:r>
              <w:rPr/>
              <w:t>  </w:t>
            </w:r>
          </w:p>
        </w:tc>
        <w:tc>
          <w:tcPr>
            <w:tcW w:w="63" w:type="dxa"/>
            <w:tcBorders/>
            <w:shd w:fill="auto" w:val="clear"/>
            <w:vAlign w:val="center"/>
          </w:tcPr>
          <w:p>
            <w:pPr>
              <w:pStyle w:val="TableContents"/>
              <w:spacing w:before="0" w:after="283"/>
              <w:rPr/>
            </w:pPr>
            <w:r>
              <w:rPr/>
              <w:t> </w:t>
            </w:r>
          </w:p>
        </w:tc>
        <w:tc>
          <w:tcPr>
            <w:tcW w:w="467" w:type="dxa"/>
            <w:tcBorders/>
            <w:shd w:fill="auto" w:val="clear"/>
            <w:vAlign w:val="center"/>
          </w:tcPr>
          <w:p>
            <w:pPr>
              <w:pStyle w:val="TableContents"/>
              <w:spacing w:before="0" w:after="283"/>
              <w:jc w:val="right"/>
              <w:rPr/>
            </w:pPr>
            <w:r>
              <w:rPr/>
              <w:t>2.1</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0" w:type="dxa"/>
            <w:tcBorders/>
            <w:shd w:fill="auto" w:val="clear"/>
            <w:vAlign w:val="center"/>
          </w:tcPr>
          <w:p>
            <w:pPr>
              <w:pStyle w:val="TableContents"/>
              <w:spacing w:before="0" w:after="283"/>
              <w:rPr/>
            </w:pPr>
            <w:r>
              <w:rPr/>
              <w:t> </w:t>
            </w:r>
          </w:p>
        </w:tc>
        <w:tc>
          <w:tcPr>
            <w:tcW w:w="665" w:type="dxa"/>
            <w:tcBorders/>
            <w:shd w:fill="auto" w:val="clear"/>
            <w:vAlign w:val="center"/>
          </w:tcPr>
          <w:p>
            <w:pPr>
              <w:pStyle w:val="TableContents"/>
              <w:spacing w:before="0" w:after="283"/>
              <w:jc w:val="right"/>
              <w:rPr/>
            </w:pPr>
            <w:r>
              <w:rPr/>
              <w:t>1.4</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60" w:type="dxa"/>
            <w:tcBorders/>
            <w:shd w:fill="auto" w:val="clear"/>
            <w:vAlign w:val="center"/>
          </w:tcPr>
          <w:p>
            <w:pPr>
              <w:pStyle w:val="TableContents"/>
              <w:spacing w:before="0" w:after="283"/>
              <w:jc w:val="right"/>
              <w:rPr/>
            </w:pPr>
            <w:r>
              <w:rPr/>
              <w:t>3.5</w:t>
            </w:r>
          </w:p>
        </w:tc>
        <w:tc>
          <w:tcPr>
            <w:tcW w:w="290" w:type="dxa"/>
            <w:tcBorders/>
            <w:shd w:fill="auto" w:val="clear"/>
            <w:vAlign w:val="center"/>
          </w:tcPr>
          <w:p>
            <w:pPr>
              <w:pStyle w:val="TableContents"/>
              <w:spacing w:before="0" w:after="283"/>
              <w:rPr/>
            </w:pPr>
            <w:r>
              <w:rPr/>
              <w:t>% </w:t>
            </w:r>
          </w:p>
        </w:tc>
      </w:tr>
      <w:tr>
        <w:trPr/>
        <w:tc>
          <w:tcPr>
            <w:tcW w:w="321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Two or more races</w:t>
            </w:r>
          </w:p>
        </w:tc>
        <w:tc>
          <w:tcPr>
            <w:tcW w:w="120" w:type="dxa"/>
            <w:tcBorders/>
            <w:shd w:fill="CCEEFF" w:val="clear"/>
            <w:vAlign w:val="center"/>
          </w:tcPr>
          <w:p>
            <w:pPr>
              <w:pStyle w:val="TableContents"/>
              <w:spacing w:before="0" w:after="283"/>
              <w:rPr/>
            </w:pPr>
            <w:r>
              <w:rPr/>
              <w:t>  </w:t>
            </w:r>
          </w:p>
        </w:tc>
        <w:tc>
          <w:tcPr>
            <w:tcW w:w="63" w:type="dxa"/>
            <w:tcBorders/>
            <w:shd w:fill="CCEEFF" w:val="clear"/>
            <w:vAlign w:val="center"/>
          </w:tcPr>
          <w:p>
            <w:pPr>
              <w:pStyle w:val="TableContents"/>
              <w:spacing w:before="0" w:after="283"/>
              <w:rPr/>
            </w:pPr>
            <w:r>
              <w:rPr/>
              <w:t> </w:t>
            </w:r>
          </w:p>
        </w:tc>
        <w:tc>
          <w:tcPr>
            <w:tcW w:w="467" w:type="dxa"/>
            <w:tcBorders/>
            <w:shd w:fill="CCEEFF" w:val="clear"/>
            <w:vAlign w:val="center"/>
          </w:tcPr>
          <w:p>
            <w:pPr>
              <w:pStyle w:val="TableContents"/>
              <w:spacing w:before="0" w:after="283"/>
              <w:jc w:val="right"/>
              <w:rPr/>
            </w:pPr>
            <w:r>
              <w:rPr/>
              <w:t>1.2</w:t>
            </w:r>
          </w:p>
        </w:tc>
        <w:tc>
          <w:tcPr>
            <w:tcW w:w="27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90" w:type="dxa"/>
            <w:tcBorders/>
            <w:shd w:fill="CCEEFF" w:val="clear"/>
            <w:vAlign w:val="center"/>
          </w:tcPr>
          <w:p>
            <w:pPr>
              <w:pStyle w:val="TableContents"/>
              <w:spacing w:before="0" w:after="283"/>
              <w:rPr/>
            </w:pPr>
            <w:r>
              <w:rPr/>
              <w:t> </w:t>
            </w:r>
          </w:p>
        </w:tc>
        <w:tc>
          <w:tcPr>
            <w:tcW w:w="665" w:type="dxa"/>
            <w:tcBorders/>
            <w:shd w:fill="CCEEFF" w:val="clear"/>
            <w:vAlign w:val="center"/>
          </w:tcPr>
          <w:p>
            <w:pPr>
              <w:pStyle w:val="TableContents"/>
              <w:spacing w:before="0" w:after="283"/>
              <w:jc w:val="right"/>
              <w:rPr/>
            </w:pPr>
            <w:r>
              <w:rPr/>
              <w:t>0.8</w:t>
            </w:r>
          </w:p>
        </w:tc>
        <w:tc>
          <w:tcPr>
            <w:tcW w:w="27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560" w:type="dxa"/>
            <w:tcBorders/>
            <w:shd w:fill="CCEEFF" w:val="clear"/>
            <w:vAlign w:val="center"/>
          </w:tcPr>
          <w:p>
            <w:pPr>
              <w:pStyle w:val="TableContents"/>
              <w:spacing w:before="0" w:after="283"/>
              <w:jc w:val="right"/>
              <w:rPr/>
            </w:pPr>
            <w:r>
              <w:rPr/>
              <w:t>2.0</w:t>
            </w:r>
          </w:p>
        </w:tc>
        <w:tc>
          <w:tcPr>
            <w:tcW w:w="290" w:type="dxa"/>
            <w:tcBorders/>
            <w:shd w:fill="CCEEFF" w:val="clear"/>
            <w:vAlign w:val="center"/>
          </w:tcPr>
          <w:p>
            <w:pPr>
              <w:pStyle w:val="TableContents"/>
              <w:spacing w:before="0" w:after="283"/>
              <w:rPr/>
            </w:pPr>
            <w:r>
              <w:rPr/>
              <w:t>% </w:t>
            </w:r>
          </w:p>
        </w:tc>
      </w:tr>
      <w:tr>
        <w:trPr/>
        <w:tc>
          <w:tcPr>
            <w:tcW w:w="321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63" w:type="dxa"/>
            <w:tcBorders/>
            <w:shd w:fill="auto" w:val="clear"/>
            <w:vAlign w:val="center"/>
          </w:tcPr>
          <w:p>
            <w:pPr>
              <w:pStyle w:val="TableContents"/>
              <w:spacing w:before="0" w:after="0"/>
              <w:rPr>
                <w:bdr w:val="single" w:sz="2" w:space="1" w:color="000000"/>
              </w:rPr>
            </w:pPr>
            <w:r>
              <w:rPr>
                <w:bdr w:val="single" w:sz="2" w:space="1" w:color="000000"/>
              </w:rPr>
              <w:t> </w:t>
            </w:r>
          </w:p>
        </w:tc>
        <w:tc>
          <w:tcPr>
            <w:tcW w:w="467" w:type="dxa"/>
            <w:tcBorders/>
            <w:shd w:fill="auto" w:val="clear"/>
            <w:vAlign w:val="center"/>
          </w:tcPr>
          <w:p>
            <w:pPr>
              <w:pStyle w:val="TableContents"/>
              <w:spacing w:before="0" w:after="0"/>
              <w:rPr>
                <w:bdr w:val="single" w:sz="2" w:space="1" w:color="000000"/>
              </w:rPr>
            </w:pPr>
            <w:r>
              <w:rPr>
                <w:bdr w:val="single" w:sz="2" w:space="1" w:color="000000"/>
              </w:rPr>
              <w:t> </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0" w:type="dxa"/>
            <w:tcBorders/>
            <w:shd w:fill="auto" w:val="clear"/>
            <w:vAlign w:val="center"/>
          </w:tcPr>
          <w:p>
            <w:pPr>
              <w:pStyle w:val="TableContents"/>
              <w:spacing w:before="0" w:after="0"/>
              <w:rPr>
                <w:bdr w:val="single" w:sz="2" w:space="1" w:color="000000"/>
              </w:rPr>
            </w:pPr>
            <w:r>
              <w:rPr>
                <w:bdr w:val="single" w:sz="2" w:space="1" w:color="000000"/>
              </w:rPr>
              <w:t> </w:t>
            </w:r>
          </w:p>
        </w:tc>
        <w:tc>
          <w:tcPr>
            <w:tcW w:w="665" w:type="dxa"/>
            <w:tcBorders/>
            <w:shd w:fill="auto" w:val="clear"/>
            <w:vAlign w:val="center"/>
          </w:tcPr>
          <w:p>
            <w:pPr>
              <w:pStyle w:val="TableContents"/>
              <w:spacing w:before="0" w:after="0"/>
              <w:rPr>
                <w:bdr w:val="single" w:sz="2" w:space="1" w:color="000000"/>
              </w:rPr>
            </w:pPr>
            <w:r>
              <w:rPr>
                <w:bdr w:val="single" w:sz="2" w:space="1" w:color="000000"/>
              </w:rPr>
              <w:t> </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560" w:type="dxa"/>
            <w:tcBorders/>
            <w:shd w:fill="auto" w:val="clear"/>
            <w:vAlign w:val="center"/>
          </w:tcPr>
          <w:p>
            <w:pPr>
              <w:pStyle w:val="TableContents"/>
              <w:spacing w:before="0" w:after="0"/>
              <w:rPr>
                <w:bdr w:val="single" w:sz="2" w:space="1" w:color="000000"/>
              </w:rPr>
            </w:pPr>
            <w:r>
              <w:rPr>
                <w:bdr w:val="single" w:sz="2" w:space="1" w:color="000000"/>
              </w:rPr>
              <w:t> </w:t>
            </w:r>
          </w:p>
        </w:tc>
        <w:tc>
          <w:tcPr>
            <w:tcW w:w="290" w:type="dxa"/>
            <w:tcBorders/>
            <w:shd w:fill="auto" w:val="clear"/>
            <w:vAlign w:val="center"/>
          </w:tcPr>
          <w:p>
            <w:pPr>
              <w:pStyle w:val="TableContents"/>
              <w:spacing w:before="0" w:after="283"/>
              <w:rPr/>
            </w:pPr>
            <w:r>
              <w:rPr/>
              <w:t> </w:t>
            </w:r>
          </w:p>
        </w:tc>
      </w:tr>
      <w:tr>
        <w:trPr/>
        <w:tc>
          <w:tcPr>
            <w:tcW w:w="321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Total</w:t>
            </w:r>
          </w:p>
        </w:tc>
        <w:tc>
          <w:tcPr>
            <w:tcW w:w="120" w:type="dxa"/>
            <w:tcBorders/>
            <w:shd w:fill="auto" w:val="clear"/>
            <w:vAlign w:val="center"/>
          </w:tcPr>
          <w:p>
            <w:pPr>
              <w:pStyle w:val="TableContents"/>
              <w:spacing w:before="0" w:after="283"/>
              <w:rPr/>
            </w:pPr>
            <w:r>
              <w:rPr/>
              <w:t>  </w:t>
            </w:r>
          </w:p>
        </w:tc>
        <w:tc>
          <w:tcPr>
            <w:tcW w:w="63" w:type="dxa"/>
            <w:tcBorders/>
            <w:shd w:fill="auto" w:val="clear"/>
            <w:vAlign w:val="center"/>
          </w:tcPr>
          <w:p>
            <w:pPr>
              <w:pStyle w:val="TableContents"/>
              <w:spacing w:before="0" w:after="283"/>
              <w:rPr/>
            </w:pPr>
            <w:r>
              <w:rPr/>
              <w:t> </w:t>
            </w:r>
          </w:p>
        </w:tc>
        <w:tc>
          <w:tcPr>
            <w:tcW w:w="467" w:type="dxa"/>
            <w:tcBorders/>
            <w:shd w:fill="auto" w:val="clear"/>
            <w:vAlign w:val="center"/>
          </w:tcPr>
          <w:p>
            <w:pPr>
              <w:pStyle w:val="TableContents"/>
              <w:spacing w:before="0" w:after="283"/>
              <w:jc w:val="right"/>
              <w:rPr/>
            </w:pPr>
            <w:r>
              <w:rPr/>
              <w:t>53.9</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0" w:type="dxa"/>
            <w:tcBorders/>
            <w:shd w:fill="auto" w:val="clear"/>
            <w:vAlign w:val="center"/>
          </w:tcPr>
          <w:p>
            <w:pPr>
              <w:pStyle w:val="TableContents"/>
              <w:spacing w:before="0" w:after="283"/>
              <w:rPr/>
            </w:pPr>
            <w:r>
              <w:rPr/>
              <w:t> </w:t>
            </w:r>
          </w:p>
        </w:tc>
        <w:tc>
          <w:tcPr>
            <w:tcW w:w="665" w:type="dxa"/>
            <w:tcBorders/>
            <w:shd w:fill="auto" w:val="clear"/>
            <w:vAlign w:val="center"/>
          </w:tcPr>
          <w:p>
            <w:pPr>
              <w:pStyle w:val="TableContents"/>
              <w:spacing w:before="0" w:after="283"/>
              <w:jc w:val="right"/>
              <w:rPr/>
            </w:pPr>
            <w:r>
              <w:rPr/>
              <w:t>46.1</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60" w:type="dxa"/>
            <w:tcBorders/>
            <w:shd w:fill="auto" w:val="clear"/>
            <w:vAlign w:val="center"/>
          </w:tcPr>
          <w:p>
            <w:pPr>
              <w:pStyle w:val="TableContents"/>
              <w:spacing w:before="0" w:after="283"/>
              <w:jc w:val="right"/>
              <w:rPr/>
            </w:pPr>
            <w:r>
              <w:rPr/>
              <w:t>100.0</w:t>
            </w:r>
          </w:p>
        </w:tc>
        <w:tc>
          <w:tcPr>
            <w:tcW w:w="290" w:type="dxa"/>
            <w:tcBorders/>
            <w:shd w:fill="auto" w:val="clear"/>
            <w:vAlign w:val="center"/>
          </w:tcPr>
          <w:p>
            <w:pPr>
              <w:pStyle w:val="TableContents"/>
              <w:spacing w:before="0" w:after="283"/>
              <w:rPr/>
            </w:pPr>
            <w:r>
              <w:rPr/>
              <w:t>% </w:t>
            </w:r>
          </w:p>
        </w:tc>
      </w:tr>
      <w:tr>
        <w:trPr/>
        <w:tc>
          <w:tcPr>
            <w:tcW w:w="321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63" w:type="dxa"/>
            <w:tcBorders/>
            <w:shd w:fill="auto" w:val="clear"/>
            <w:vAlign w:val="center"/>
          </w:tcPr>
          <w:p>
            <w:pPr>
              <w:pStyle w:val="TableContents"/>
              <w:spacing w:before="0" w:after="0"/>
              <w:rPr>
                <w:bdr w:val="double" w:sz="6" w:space="1" w:color="000000"/>
              </w:rPr>
            </w:pPr>
            <w:r>
              <w:rPr>
                <w:bdr w:val="double" w:sz="6" w:space="1" w:color="000000"/>
              </w:rPr>
              <w:t> </w:t>
            </w:r>
          </w:p>
        </w:tc>
        <w:tc>
          <w:tcPr>
            <w:tcW w:w="467" w:type="dxa"/>
            <w:tcBorders/>
            <w:shd w:fill="auto" w:val="clear"/>
            <w:vAlign w:val="center"/>
          </w:tcPr>
          <w:p>
            <w:pPr>
              <w:pStyle w:val="TableContents"/>
              <w:spacing w:before="0" w:after="0"/>
              <w:rPr>
                <w:bdr w:val="double" w:sz="6" w:space="1" w:color="000000"/>
              </w:rPr>
            </w:pPr>
            <w:r>
              <w:rPr>
                <w:bdr w:val="double" w:sz="6" w:space="1" w:color="000000"/>
              </w:rPr>
              <w:t> </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0" w:type="dxa"/>
            <w:tcBorders/>
            <w:shd w:fill="auto" w:val="clear"/>
            <w:vAlign w:val="center"/>
          </w:tcPr>
          <w:p>
            <w:pPr>
              <w:pStyle w:val="TableContents"/>
              <w:spacing w:before="0" w:after="0"/>
              <w:rPr>
                <w:bdr w:val="double" w:sz="6" w:space="1" w:color="000000"/>
              </w:rPr>
            </w:pPr>
            <w:r>
              <w:rPr>
                <w:bdr w:val="double" w:sz="6" w:space="1" w:color="000000"/>
              </w:rPr>
              <w:t> </w:t>
            </w:r>
          </w:p>
        </w:tc>
        <w:tc>
          <w:tcPr>
            <w:tcW w:w="665" w:type="dxa"/>
            <w:tcBorders/>
            <w:shd w:fill="auto" w:val="clear"/>
            <w:vAlign w:val="center"/>
          </w:tcPr>
          <w:p>
            <w:pPr>
              <w:pStyle w:val="TableContents"/>
              <w:spacing w:before="0" w:after="0"/>
              <w:rPr>
                <w:bdr w:val="double" w:sz="6" w:space="1" w:color="000000"/>
              </w:rPr>
            </w:pPr>
            <w:r>
              <w:rPr>
                <w:bdr w:val="double" w:sz="6" w:space="1" w:color="000000"/>
              </w:rPr>
              <w:t> </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double" w:sz="6" w:space="1" w:color="000000"/>
              </w:rPr>
            </w:pPr>
            <w:r>
              <w:rPr>
                <w:bdr w:val="double" w:sz="6" w:space="1" w:color="000000"/>
              </w:rPr>
              <w:t> </w:t>
            </w:r>
          </w:p>
        </w:tc>
        <w:tc>
          <w:tcPr>
            <w:tcW w:w="560" w:type="dxa"/>
            <w:tcBorders/>
            <w:shd w:fill="auto" w:val="clear"/>
            <w:vAlign w:val="center"/>
          </w:tcPr>
          <w:p>
            <w:pPr>
              <w:pStyle w:val="TableContents"/>
              <w:spacing w:before="0" w:after="0"/>
              <w:rPr>
                <w:bdr w:val="double" w:sz="6" w:space="1" w:color="000000"/>
              </w:rPr>
            </w:pPr>
            <w:r>
              <w:rPr>
                <w:bdr w:val="double" w:sz="6" w:space="1" w:color="000000"/>
              </w:rPr>
              <w:t> </w:t>
            </w:r>
          </w:p>
        </w:tc>
        <w:tc>
          <w:tcPr>
            <w:tcW w:w="290" w:type="dxa"/>
            <w:tcBorders/>
            <w:shd w:fill="auto" w:val="clear"/>
            <w:vAlign w:val="center"/>
          </w:tcPr>
          <w:p>
            <w:pPr>
              <w:pStyle w:val="TableContents"/>
              <w:spacing w:before="0" w:after="283"/>
              <w:rPr/>
            </w:pPr>
            <w:r>
              <w:rPr/>
              <w:t> </w:t>
            </w:r>
          </w:p>
        </w:tc>
      </w:tr>
    </w:tbl>
    <w:p>
      <w:pPr>
        <w:pStyle w:val="TextBody"/>
        <w:spacing w:before="240" w:after="0"/>
        <w:jc w:val="left"/>
        <w:rPr>
          <w:rFonts w:ascii="Times New Roman" w:hAnsi="Times New Roman"/>
          <w:spacing w:val="0"/>
          <w:sz w:val="20"/>
        </w:rPr>
      </w:pPr>
      <w:r>
        <w:rPr>
          <w:rFonts w:ascii="Times New Roman" w:hAnsi="Times New Roman"/>
          <w:spacing w:val="0"/>
          <w:sz w:val="20"/>
        </w:rPr>
        <w:t xml:space="preserve">In fiscal 2020, we strengthened our commitment to diversity, equity, and inclusion. Among other key accomplishments, we: </w:t>
      </w:r>
    </w:p>
    <w:p>
      <w:pPr>
        <w:pStyle w:val="TextBody"/>
        <w:spacing w:before="0" w:after="0"/>
        <w:jc w:val="left"/>
        <w:rPr>
          <w:spacing w:val="0"/>
        </w:rPr>
      </w:pPr>
      <w:r>
        <w:rPr>
          <w:spacing w:val="0"/>
        </w:rPr>
        <w:t> </w:t>
      </w:r>
    </w:p>
    <w:tbl>
      <w:tblPr>
        <w:tblW w:w="7720" w:type="dxa"/>
        <w:jc w:val="left"/>
        <w:tblInd w:w="0" w:type="dxa"/>
        <w:tblCellMar>
          <w:top w:w="0" w:type="dxa"/>
          <w:left w:w="0" w:type="dxa"/>
          <w:bottom w:w="0" w:type="dxa"/>
          <w:right w:w="0" w:type="dxa"/>
        </w:tblCellMar>
      </w:tblPr>
      <w:tblGrid>
        <w:gridCol w:w="75"/>
        <w:gridCol w:w="110"/>
        <w:gridCol w:w="60"/>
        <w:gridCol w:w="747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7475"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adopted an enterprise Human Rights policy, which may be found on our Company website; </w:t>
            </w:r>
          </w:p>
        </w:tc>
      </w:tr>
    </w:tbl>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formed a Human Resources Steering Committee comprised of leaders from different levels and departments in our organization that is specifically charged with stewardship of, and ensuring accountability to, our diversity, equity and inclusion strategy and goals; </w:t>
            </w:r>
          </w:p>
        </w:tc>
      </w:tr>
    </w:tbl>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set goals for improving representation of women and team members who are black, indigenous, or people of color in our corporate and field leadership, and began providing quarterly updates to our Board of Directors on our progress in meeting our goals; and </w:t>
            </w:r>
          </w:p>
        </w:tc>
      </w:tr>
    </w:tbl>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improved representation of women in our internal governance committees by more than 50%, and increased representation of team members who are black, indigenous, or people of color on these same committees by nearly 100%. </w:t>
            </w:r>
          </w:p>
        </w:tc>
      </w:tr>
    </w:tbl>
    <w:p>
      <w:pPr>
        <w:pStyle w:val="TextBody"/>
        <w:spacing w:before="240" w:after="0"/>
        <w:jc w:val="left"/>
        <w:rPr>
          <w:rFonts w:ascii="Times New Roman" w:hAnsi="Times New Roman"/>
          <w:sz w:val="20"/>
        </w:rPr>
      </w:pPr>
      <w:r>
        <w:rPr>
          <w:rFonts w:ascii="Times New Roman" w:hAnsi="Times New Roman"/>
          <w:sz w:val="20"/>
        </w:rPr>
        <w:t xml:space="preserve">In addition to our focus on improving diversity, equity, and inclusion, fiscal 2020 also demanded additional focus on the health and safety for our team members and our customers. Health and safety have always been a top priority for our Company, but in response to the pandemic, we implemented several changes for the protection of our team members and our customers. Our cross-functional </w:t>
      </w:r>
    </w:p>
    <w:p>
      <w:pPr>
        <w:pStyle w:val="TextBody"/>
        <w:spacing w:before="240" w:after="0"/>
        <w:jc w:val="left"/>
        <w:rPr>
          <w:rFonts w:ascii="Times New Roman" w:hAnsi="Times New Roman"/>
          <w:spacing w:val="0"/>
          <w:sz w:val="20"/>
        </w:rPr>
      </w:pPr>
      <w:r>
        <w:rPr>
          <w:rFonts w:ascii="Times New Roman" w:hAnsi="Times New Roman"/>
          <w:spacing w:val="0"/>
          <w:sz w:val="20"/>
        </w:rPr>
        <w:t>COVID-19</w:t>
      </w:r>
    </w:p>
    <w:p>
      <w:pPr>
        <w:pStyle w:val="TextBody"/>
        <w:spacing w:before="240" w:after="0"/>
        <w:jc w:val="left"/>
        <w:rPr>
          <w:rFonts w:ascii="Times New Roman" w:hAnsi="Times New Roman"/>
          <w:sz w:val="20"/>
        </w:rPr>
      </w:pPr>
      <w:r>
        <w:rPr>
          <w:rFonts w:ascii="Times New Roman" w:hAnsi="Times New Roman"/>
          <w:sz w:val="20"/>
        </w:rPr>
        <w:t xml:space="preserve">response team met frequently throughout the pandemic to review the latest guidance from health agencies, update our safety protocols and ensure team members across our Company had the opportunity to collaborate and share in our collective commitment to health and safety. Among other actions, we: </w:t>
      </w:r>
    </w:p>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worked together to adhere to all local, state and federal health guidelines and requirements in setting capacity limits, hours of operation, determining what service and product offerings we were able to provide, establishing testing and close contact tracing protocols, and setting other operational policies; </w:t>
            </w:r>
          </w:p>
        </w:tc>
      </w:tr>
    </w:tbl>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9 </w:t>
      </w:r>
    </w:p>
    <w:p>
      <w:pPr>
        <w:pStyle w:val="HorizontalLine"/>
        <w:rPr/>
      </w:pPr>
      <w:r>
        <w:rPr/>
      </w:r>
    </w:p>
    <w:p>
      <w:pPr>
        <w:pStyle w:val="TextBody"/>
        <w:spacing w:before="0" w:after="0"/>
        <w:rPr/>
      </w:pPr>
      <w:hyperlink w:anchor="toc">
        <w:r>
          <w:rPr>
            <w:rStyle w:val="InternetLink"/>
            <w:b/>
            <w:sz w:val="20"/>
          </w:rPr>
          <w:t>Table of Contents</w:t>
        </w:r>
      </w:hyperlink>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implemented health and temperature checks before each shift and required team members to wear protective masks and gloves; </w:t>
            </w:r>
          </w:p>
        </w:tc>
      </w:tr>
    </w:tbl>
    <w:p>
      <w:pPr>
        <w:pStyle w:val="TextBody"/>
        <w:spacing w:before="0" w:after="0"/>
        <w:jc w:val="left"/>
        <w:rPr>
          <w:spacing w:val="0"/>
        </w:rPr>
      </w:pPr>
      <w:r>
        <w:rPr>
          <w:spacing w:val="0"/>
        </w:rPr>
        <w:t> </w:t>
      </w:r>
    </w:p>
    <w:tbl>
      <w:tblPr>
        <w:tblW w:w="9820" w:type="dxa"/>
        <w:jc w:val="left"/>
        <w:tblInd w:w="0" w:type="dxa"/>
        <w:tblCellMar>
          <w:top w:w="0" w:type="dxa"/>
          <w:left w:w="0" w:type="dxa"/>
          <w:bottom w:w="0" w:type="dxa"/>
          <w:right w:w="0" w:type="dxa"/>
        </w:tblCellMar>
      </w:tblPr>
      <w:tblGrid>
        <w:gridCol w:w="75"/>
        <w:gridCol w:w="110"/>
        <w:gridCol w:w="60"/>
        <w:gridCol w:w="957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575"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were among the first casual dining brands to require all customers to wear masks following the onset of the pandemic; </w:t>
            </w:r>
          </w:p>
        </w:tc>
      </w:tr>
    </w:tbl>
    <w:p>
      <w:pPr>
        <w:pStyle w:val="TextBody"/>
        <w:spacing w:before="0" w:after="0"/>
        <w:jc w:val="left"/>
        <w:rPr>
          <w:spacing w:val="0"/>
        </w:rPr>
      </w:pPr>
      <w:r>
        <w:rPr>
          <w:spacing w:val="0"/>
        </w:rPr>
        <w:t> </w:t>
      </w:r>
    </w:p>
    <w:tbl>
      <w:tblPr>
        <w:tblW w:w="8185" w:type="dxa"/>
        <w:jc w:val="left"/>
        <w:tblInd w:w="0" w:type="dxa"/>
        <w:tblCellMar>
          <w:top w:w="0" w:type="dxa"/>
          <w:left w:w="0" w:type="dxa"/>
          <w:bottom w:w="0" w:type="dxa"/>
          <w:right w:w="0" w:type="dxa"/>
        </w:tblCellMar>
      </w:tblPr>
      <w:tblGrid>
        <w:gridCol w:w="75"/>
        <w:gridCol w:w="110"/>
        <w:gridCol w:w="60"/>
        <w:gridCol w:w="794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794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assigned team members to cleaning and sanitizing our stores full-time during all operating hours; </w:t>
            </w:r>
          </w:p>
        </w:tc>
      </w:tr>
    </w:tbl>
    <w:p>
      <w:pPr>
        <w:pStyle w:val="TextBody"/>
        <w:spacing w:before="0" w:after="0"/>
        <w:jc w:val="left"/>
        <w:rPr>
          <w:spacing w:val="0"/>
        </w:rPr>
      </w:pPr>
      <w:r>
        <w:rPr>
          <w:spacing w:val="0"/>
        </w:rPr>
        <w:t> </w:t>
      </w:r>
    </w:p>
    <w:tbl>
      <w:tblPr>
        <w:tblW w:w="8740" w:type="dxa"/>
        <w:jc w:val="left"/>
        <w:tblInd w:w="0" w:type="dxa"/>
        <w:tblCellMar>
          <w:top w:w="0" w:type="dxa"/>
          <w:left w:w="0" w:type="dxa"/>
          <w:bottom w:w="0" w:type="dxa"/>
          <w:right w:w="0" w:type="dxa"/>
        </w:tblCellMar>
      </w:tblPr>
      <w:tblGrid>
        <w:gridCol w:w="75"/>
        <w:gridCol w:w="110"/>
        <w:gridCol w:w="60"/>
        <w:gridCol w:w="849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8495"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added hand sanitizer stations at each store and socially distanced all tables, games, and line queues; and </w:t>
            </w:r>
          </w:p>
        </w:tc>
      </w:tr>
    </w:tbl>
    <w:p>
      <w:pPr>
        <w:pStyle w:val="TextBody"/>
        <w:spacing w:before="0" w:after="0"/>
        <w:jc w:val="left"/>
        <w:rPr>
          <w:spacing w:val="0"/>
        </w:rPr>
      </w:pPr>
      <w:r>
        <w:rPr>
          <w:spacing w:val="0"/>
        </w:rPr>
        <w:t> </w:t>
      </w:r>
    </w:p>
    <w:tbl>
      <w:tblPr>
        <w:tblW w:w="7210" w:type="dxa"/>
        <w:jc w:val="left"/>
        <w:tblInd w:w="0" w:type="dxa"/>
        <w:tblCellMar>
          <w:top w:w="0" w:type="dxa"/>
          <w:left w:w="0" w:type="dxa"/>
          <w:bottom w:w="0" w:type="dxa"/>
          <w:right w:w="0" w:type="dxa"/>
        </w:tblCellMar>
      </w:tblPr>
      <w:tblGrid>
        <w:gridCol w:w="75"/>
        <w:gridCol w:w="110"/>
        <w:gridCol w:w="60"/>
        <w:gridCol w:w="696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6965"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for most of fiscal 2020, the majority of our corporate team members worked remotely. </w:t>
            </w:r>
          </w:p>
        </w:tc>
      </w:tr>
    </w:tbl>
    <w:p>
      <w:pPr>
        <w:pStyle w:val="TextBody"/>
        <w:spacing w:before="240" w:after="0"/>
        <w:jc w:val="left"/>
        <w:rPr>
          <w:rFonts w:ascii="Times New Roman" w:hAnsi="Times New Roman"/>
          <w:spacing w:val="0"/>
          <w:sz w:val="20"/>
        </w:rPr>
      </w:pPr>
      <w:r>
        <w:rPr>
          <w:rFonts w:ascii="Times New Roman" w:hAnsi="Times New Roman"/>
          <w:spacing w:val="0"/>
          <w:sz w:val="20"/>
        </w:rPr>
        <w:t xml:space="preserve">In fiscal 2020, our leaders worked to continue to maintain strong communications and relationships with our team members throughout the year. We believe our culture, policies, and labor practices contribute to strong relations with our team member. None of our team members are covered by collective bargaining agreements and we have never experienced an organized work stoppage, strike, or labor dispute. </w:t>
      </w:r>
    </w:p>
    <w:p>
      <w:pPr>
        <w:pStyle w:val="TextBody"/>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Our Leadership Team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We are led by a strong senior management team averaging over 20 years of experience with national brands spanning casual dining, entertainment, and other consumer-centric industries. We believe that our management team’s prior experience, combined with its experience at Dave &amp; Buster’s provides us with insights into our customer base and enables us to create the dynamic environment that is core to our brand. </w:t>
      </w:r>
    </w:p>
    <w:p>
      <w:pPr>
        <w:pStyle w:val="TextBody"/>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Our Store Teams </w:t>
      </w:r>
    </w:p>
    <w:p>
      <w:pPr>
        <w:pStyle w:val="TextBody"/>
        <w:spacing w:before="120" w:after="0"/>
        <w:jc w:val="left"/>
        <w:rPr>
          <w:rFonts w:ascii="Times New Roman" w:hAnsi="Times New Roman"/>
          <w:sz w:val="20"/>
        </w:rPr>
      </w:pPr>
      <w:r>
        <w:rPr>
          <w:rFonts w:ascii="Times New Roman" w:hAnsi="Times New Roman"/>
          <w:sz w:val="20"/>
        </w:rPr>
        <w:t xml:space="preserve">Historically, our typical store team consisted of a General Manager supported by an average of eight additional management positions. During the </w:t>
      </w:r>
    </w:p>
    <w:p>
      <w:pPr>
        <w:pStyle w:val="TextBody"/>
        <w:spacing w:before="120" w:after="0"/>
        <w:jc w:val="left"/>
        <w:rPr>
          <w:rFonts w:ascii="Times New Roman" w:hAnsi="Times New Roman"/>
          <w:spacing w:val="0"/>
          <w:sz w:val="20"/>
        </w:rPr>
      </w:pPr>
      <w:r>
        <w:rPr>
          <w:rFonts w:ascii="Times New Roman" w:hAnsi="Times New Roman"/>
          <w:spacing w:val="0"/>
          <w:sz w:val="20"/>
        </w:rPr>
        <w:t>COVID-19</w:t>
      </w:r>
    </w:p>
    <w:p>
      <w:pPr>
        <w:pStyle w:val="TextBody"/>
        <w:spacing w:before="120" w:after="0"/>
        <w:jc w:val="left"/>
        <w:rPr>
          <w:rFonts w:ascii="Times New Roman" w:hAnsi="Times New Roman"/>
          <w:sz w:val="20"/>
        </w:rPr>
      </w:pPr>
      <w:r>
        <w:rPr>
          <w:rFonts w:ascii="Times New Roman" w:hAnsi="Times New Roman"/>
          <w:sz w:val="20"/>
        </w:rPr>
        <w:t xml:space="preserve">recovery period, we significantly changed our management model, reducing the average additional management positions to approximately four, which was largely due to much lower store volumes upon </w:t>
      </w:r>
    </w:p>
    <w:p>
      <w:pPr>
        <w:pStyle w:val="TextBody"/>
        <w:spacing w:before="120" w:after="0"/>
        <w:jc w:val="left"/>
        <w:rPr>
          <w:rFonts w:ascii="Times New Roman" w:hAnsi="Times New Roman"/>
          <w:spacing w:val="0"/>
          <w:sz w:val="20"/>
        </w:rPr>
      </w:pPr>
      <w:r>
        <w:rPr>
          <w:rFonts w:ascii="Times New Roman" w:hAnsi="Times New Roman"/>
          <w:spacing w:val="0"/>
          <w:sz w:val="20"/>
        </w:rPr>
        <w:t>re-opening.</w:t>
      </w:r>
    </w:p>
    <w:p>
      <w:pPr>
        <w:pStyle w:val="TextBody"/>
        <w:spacing w:before="120" w:after="0"/>
        <w:jc w:val="left"/>
        <w:rPr>
          <w:rFonts w:ascii="Times New Roman" w:hAnsi="Times New Roman"/>
          <w:sz w:val="20"/>
        </w:rPr>
      </w:pPr>
      <w:r>
        <w:rPr>
          <w:rFonts w:ascii="Times New Roman" w:hAnsi="Times New Roman"/>
          <w:sz w:val="20"/>
        </w:rPr>
        <w:t xml:space="preserve">Management team members handle various departments within the store including responsibility for hourly team members. Historically, a typical store employed approximately 110 hourly team members, most of whom worked part-time. During the </w:t>
      </w:r>
    </w:p>
    <w:p>
      <w:pPr>
        <w:pStyle w:val="TextBody"/>
        <w:spacing w:before="120" w:after="0"/>
        <w:jc w:val="left"/>
        <w:rPr>
          <w:rFonts w:ascii="Times New Roman" w:hAnsi="Times New Roman"/>
          <w:spacing w:val="0"/>
          <w:sz w:val="20"/>
        </w:rPr>
      </w:pPr>
      <w:r>
        <w:rPr>
          <w:rFonts w:ascii="Times New Roman" w:hAnsi="Times New Roman"/>
          <w:spacing w:val="0"/>
          <w:sz w:val="20"/>
        </w:rPr>
        <w:t>COVID-19</w:t>
      </w:r>
    </w:p>
    <w:p>
      <w:pPr>
        <w:pStyle w:val="TextBody"/>
        <w:spacing w:before="120" w:after="0"/>
        <w:jc w:val="left"/>
        <w:rPr>
          <w:rFonts w:ascii="Times New Roman" w:hAnsi="Times New Roman"/>
          <w:sz w:val="20"/>
        </w:rPr>
      </w:pPr>
      <w:r>
        <w:rPr>
          <w:rFonts w:ascii="Times New Roman" w:hAnsi="Times New Roman"/>
          <w:sz w:val="20"/>
        </w:rPr>
        <w:t xml:space="preserve">recovery period, the Company changed the hourly labor model, reducing the average to approximately 65 hourly team members. In the future, post-recovery, we intend to deploy a new labor model and leverage our technology investments, potentially requiring fewer management and/or hourly positions than historical levels. </w:t>
      </w:r>
    </w:p>
    <w:p>
      <w:pPr>
        <w:pStyle w:val="TextBody"/>
        <w:spacing w:before="240" w:after="0"/>
        <w:jc w:val="left"/>
        <w:rPr>
          <w:rFonts w:ascii="Times New Roman" w:hAnsi="Times New Roman"/>
          <w:sz w:val="20"/>
        </w:rPr>
      </w:pPr>
      <w:r>
        <w:rPr>
          <w:rFonts w:ascii="Times New Roman" w:hAnsi="Times New Roman"/>
          <w:sz w:val="20"/>
        </w:rPr>
        <w:t xml:space="preserve">The General Manager and the management team are responsible for the </w:t>
      </w:r>
    </w:p>
    <w:p>
      <w:pPr>
        <w:pStyle w:val="TextBody"/>
        <w:spacing w:before="240" w:after="0"/>
        <w:jc w:val="left"/>
        <w:rPr>
          <w:rFonts w:ascii="Times New Roman" w:hAnsi="Times New Roman"/>
          <w:spacing w:val="0"/>
          <w:sz w:val="20"/>
        </w:rPr>
      </w:pPr>
      <w:r>
        <w:rPr>
          <w:rFonts w:ascii="Times New Roman" w:hAnsi="Times New Roman"/>
          <w:spacing w:val="0"/>
          <w:sz w:val="20"/>
        </w:rPr>
        <w:t>day-to-day</w:t>
      </w:r>
    </w:p>
    <w:p>
      <w:pPr>
        <w:pStyle w:val="TextBody"/>
        <w:spacing w:before="240" w:after="0"/>
        <w:jc w:val="left"/>
        <w:rPr>
          <w:rFonts w:ascii="Times New Roman" w:hAnsi="Times New Roman"/>
          <w:sz w:val="20"/>
        </w:rPr>
      </w:pPr>
      <w:r>
        <w:rPr>
          <w:rFonts w:ascii="Times New Roman" w:hAnsi="Times New Roman"/>
          <w:sz w:val="20"/>
        </w:rPr>
        <w:t xml:space="preserve">operation of the store, including the hiring, training, and development of team members, as well as financial and operational performance. There is a defined structure of development and progression of job responsibilities within the supporting management positions to ensure that an adequate succession plan exists within each store. Each store is overseen by a Regional Operations Manager, Regional Operations Director or Vice President of Operations (collectively, “Regional Management”) who directly or indirectly report to our Chief Operating Officer. We are proud of the experience of our store leadership teams and carefully monitor store management team retention rates, which for us has consistently tracked in the top quartile of the upscale casual dining industry. </w:t>
      </w:r>
    </w:p>
    <w:p>
      <w:pPr>
        <w:pStyle w:val="TextBody"/>
        <w:spacing w:before="240" w:after="0"/>
        <w:jc w:val="left"/>
        <w:rPr>
          <w:rFonts w:ascii="Times New Roman" w:hAnsi="Times New Roman"/>
          <w:sz w:val="20"/>
        </w:rPr>
      </w:pPr>
      <w:r>
        <w:rPr>
          <w:rFonts w:ascii="Times New Roman" w:hAnsi="Times New Roman"/>
          <w:sz w:val="20"/>
        </w:rPr>
        <w:t xml:space="preserve">Prior to the </w:t>
      </w:r>
    </w:p>
    <w:p>
      <w:pPr>
        <w:pStyle w:val="TextBody"/>
        <w:spacing w:before="240" w:after="0"/>
        <w:jc w:val="left"/>
        <w:rPr>
          <w:rFonts w:ascii="Times New Roman" w:hAnsi="Times New Roman"/>
          <w:spacing w:val="0"/>
          <w:sz w:val="20"/>
        </w:rPr>
      </w:pPr>
      <w:r>
        <w:rPr>
          <w:rFonts w:ascii="Times New Roman" w:hAnsi="Times New Roman"/>
          <w:spacing w:val="0"/>
          <w:sz w:val="20"/>
        </w:rPr>
        <w:t>COVID-19</w:t>
      </w:r>
    </w:p>
    <w:p>
      <w:pPr>
        <w:pStyle w:val="TextBody"/>
        <w:spacing w:before="240" w:after="0"/>
        <w:jc w:val="left"/>
        <w:rPr>
          <w:rFonts w:ascii="Times New Roman" w:hAnsi="Times New Roman"/>
          <w:sz w:val="20"/>
        </w:rPr>
      </w:pPr>
      <w:r>
        <w:rPr>
          <w:rFonts w:ascii="Times New Roman" w:hAnsi="Times New Roman"/>
          <w:sz w:val="20"/>
        </w:rPr>
        <w:t xml:space="preserve">pandemic, our stores were generally open seven days a week, from 11:30 a.m. to midnight on Sunday through Thursday and 11:30 a.m. to 2:00 a.m. on Friday and Saturday. During the recovery, to comply with various federal, state and local guidelines and in response to changing guest levels, our stores have reduced the hours of operation and in some cases, the number of days operating in a week. </w:t>
      </w:r>
    </w:p>
    <w:p>
      <w:pPr>
        <w:pStyle w:val="TextBody"/>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Attracting Talent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We seek to hire experienced leaders and team members and offer competitive wage and benefit programs. We offer performance-based compensation programs to our store management and corporate employees. In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10 </w:t>
      </w:r>
    </w:p>
    <w:p>
      <w:pPr>
        <w:pStyle w:val="HorizontalLine"/>
        <w:rPr/>
      </w:pPr>
      <w:r>
        <w:rPr/>
      </w:r>
    </w:p>
    <w:p>
      <w:pPr>
        <w:pStyle w:val="TextBody"/>
        <w:spacing w:before="0" w:after="0"/>
        <w:rPr/>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addition to salaries, these programs (which vary by employee level) include, among other items, bonuses, stock awards, and various employee assistance programs. In addition, our salaried and hourly team members are also eligible to participate in a 401(k) plan, medical/dental/vision insurance plans and receive vacation/paid time off based on tenure. While certain of our team members were on furlough due to the impacts of the </w:t>
      </w:r>
    </w:p>
    <w:p>
      <w:pPr>
        <w:pStyle w:val="TextBody"/>
        <w:spacing w:before="0" w:after="0"/>
        <w:jc w:val="left"/>
        <w:rPr>
          <w:rFonts w:ascii="Times New Roman" w:hAnsi="Times New Roman"/>
          <w:spacing w:val="0"/>
          <w:sz w:val="20"/>
        </w:rPr>
      </w:pPr>
      <w:r>
        <w:rPr>
          <w:rFonts w:ascii="Times New Roman" w:hAnsi="Times New Roman"/>
          <w:spacing w:val="0"/>
          <w:sz w:val="20"/>
        </w:rPr>
        <w:t>COVID-19</w:t>
      </w:r>
    </w:p>
    <w:p>
      <w:pPr>
        <w:pStyle w:val="TextBody"/>
        <w:spacing w:before="0" w:after="0"/>
        <w:jc w:val="left"/>
        <w:rPr>
          <w:rFonts w:ascii="Times New Roman" w:hAnsi="Times New Roman"/>
          <w:sz w:val="20"/>
        </w:rPr>
      </w:pPr>
      <w:r>
        <w:rPr>
          <w:rFonts w:ascii="Times New Roman" w:hAnsi="Times New Roman"/>
          <w:sz w:val="20"/>
        </w:rPr>
        <w:t xml:space="preserve">pandemic, we offered continued benefit coverage. </w:t>
      </w:r>
    </w:p>
    <w:p>
      <w:pPr>
        <w:pStyle w:val="TextBody"/>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Developing Talent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We motivate and develop our team members by providing them with opportunities for increased responsibilities and advancement. Throughout the year, we provide numerous training opportunities for our team members, with a focus on continuous learning and development. With hundreds of leadership positions across our stores, we provide a pathway and training for individuals across the organization to advance from entry-level jobs into management roles. In addition, our geographic footprint often allows us to offer our store team members relocation options. </w:t>
      </w:r>
    </w:p>
    <w:p>
      <w:pPr>
        <w:pStyle w:val="TextBody"/>
        <w:spacing w:before="240" w:after="0"/>
        <w:jc w:val="left"/>
        <w:rPr>
          <w:rFonts w:ascii="Times New Roman" w:hAnsi="Times New Roman"/>
          <w:sz w:val="20"/>
        </w:rPr>
      </w:pPr>
      <w:r>
        <w:rPr>
          <w:rFonts w:ascii="Times New Roman" w:hAnsi="Times New Roman"/>
          <w:sz w:val="20"/>
        </w:rPr>
        <w:t xml:space="preserve">We strive to maintain quality and consistency in each of our stores through the careful training and supervision of our team members and the establishment of, and adherence to, high standards relating to personnel performance, food and beverage preparation, safety protocols, game playability and maintenance of our stores. We provide all new team members with comprehensive orientation and </w:t>
      </w:r>
    </w:p>
    <w:p>
      <w:pPr>
        <w:pStyle w:val="TextBody"/>
        <w:spacing w:before="240" w:after="0"/>
        <w:jc w:val="left"/>
        <w:rPr>
          <w:rFonts w:ascii="Times New Roman" w:hAnsi="Times New Roman"/>
          <w:spacing w:val="0"/>
          <w:sz w:val="20"/>
        </w:rPr>
      </w:pPr>
      <w:r>
        <w:rPr>
          <w:rFonts w:ascii="Times New Roman" w:hAnsi="Times New Roman"/>
          <w:spacing w:val="0"/>
          <w:sz w:val="20"/>
        </w:rPr>
        <w:t>one-on-one</w:t>
      </w:r>
    </w:p>
    <w:p>
      <w:pPr>
        <w:pStyle w:val="TextBody"/>
        <w:spacing w:before="240" w:after="0"/>
        <w:jc w:val="left"/>
        <w:rPr>
          <w:rFonts w:ascii="Times New Roman" w:hAnsi="Times New Roman"/>
          <w:sz w:val="20"/>
        </w:rPr>
      </w:pPr>
      <w:r>
        <w:rPr>
          <w:rFonts w:ascii="Times New Roman" w:hAnsi="Times New Roman"/>
          <w:sz w:val="20"/>
        </w:rPr>
        <w:t xml:space="preserve">training for their positions to help ensure they meet our high standards. All new team members are trained by partnering with a trainer to assure that the training and information they receive is complete and accurate. Team members are certified for their positions by passing a series of tests, including alcohol awareness and responsibility training for service team members. </w:t>
      </w:r>
    </w:p>
    <w:p>
      <w:pPr>
        <w:pStyle w:val="TextBody"/>
        <w:spacing w:before="240" w:after="0"/>
        <w:jc w:val="left"/>
        <w:rPr>
          <w:rFonts w:ascii="Times New Roman" w:hAnsi="Times New Roman"/>
          <w:sz w:val="20"/>
        </w:rPr>
      </w:pPr>
      <w:r>
        <w:rPr>
          <w:rFonts w:ascii="Times New Roman" w:hAnsi="Times New Roman"/>
          <w:sz w:val="20"/>
        </w:rPr>
        <w:t xml:space="preserve">We require our new store managers to complete an eight-week training program that includes </w:t>
      </w:r>
    </w:p>
    <w:p>
      <w:pPr>
        <w:pStyle w:val="TextBody"/>
        <w:spacing w:before="240" w:after="0"/>
        <w:jc w:val="left"/>
        <w:rPr>
          <w:rFonts w:ascii="Times New Roman" w:hAnsi="Times New Roman"/>
          <w:spacing w:val="0"/>
          <w:sz w:val="20"/>
        </w:rPr>
      </w:pPr>
      <w:r>
        <w:rPr>
          <w:rFonts w:ascii="Times New Roman" w:hAnsi="Times New Roman"/>
          <w:spacing w:val="0"/>
          <w:sz w:val="20"/>
        </w:rPr>
        <w:t>front-of-house</w:t>
      </w:r>
    </w:p>
    <w:p>
      <w:pPr>
        <w:pStyle w:val="TextBody"/>
        <w:spacing w:before="240" w:after="0"/>
        <w:jc w:val="left"/>
        <w:rPr>
          <w:rFonts w:ascii="Times New Roman" w:hAnsi="Times New Roman"/>
          <w:sz w:val="20"/>
        </w:rPr>
      </w:pPr>
      <w:r>
        <w:rPr>
          <w:rFonts w:ascii="Times New Roman" w:hAnsi="Times New Roman"/>
          <w:sz w:val="20"/>
        </w:rPr>
        <w:t xml:space="preserve">service, kitchen, amusements, and management responsibilities. Newly trained managers are then assigned to their home store, where they receive additional training with their General Manager. Their last two weeks of training include a comprehensive validation of new skills. We place a high priority on our continuing management development programs to ensure that qualified managers are available for our future openings. We conduct regular evaluations with each manager to discuss prior performance and future performance goals. We hold an annual General Manager conference in which our General Managers share best practices and receive an update on our business strategies.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When we open a new store, we provide varying levels of training to team members in each position to ensure the smooth and efficient operation of the store from the first day it opens to the public. Prior to opening a new store, our dedicated training and opening team travels to the store to deliver an intensive training program for all team members. We believe this additional investment in our new stores is important because it helps us provide our customers with a quality experience from day one. After a store has been opened and is operating smoothly, the store managers supervise the training of new team members. </w:t>
      </w:r>
    </w:p>
    <w:p>
      <w:pPr>
        <w:pStyle w:val="TextBody"/>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Corporate Responsibility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Our core value of “Better Together” calls each of our team members to care for each other, our customers, and the communities we serve. We will not do business with organizations that employ or condone unfair labor practices anywhere in the world. We partner with suppliers who share our commitment to ethical business conduct, fair labor practices, proven environmental, health, and safety practices, and environmental sustainability. We also specifically condemn human trafficking and abuse of child labor. We understand that supporting our communities includes being good environmental stewards and striving to conduct business in a sustainable and environmentally responsible manner. </w:t>
      </w:r>
    </w:p>
    <w:p>
      <w:pPr>
        <w:pStyle w:val="TextBody"/>
        <w:spacing w:before="240" w:after="0"/>
        <w:jc w:val="left"/>
        <w:rPr>
          <w:rFonts w:ascii="Times New Roman" w:hAnsi="Times New Roman"/>
          <w:sz w:val="20"/>
        </w:rPr>
      </w:pPr>
      <w:r>
        <w:rPr>
          <w:rFonts w:ascii="Times New Roman" w:hAnsi="Times New Roman"/>
          <w:sz w:val="20"/>
        </w:rPr>
        <w:t xml:space="preserve">In addition, we strongly encourage team members to give back to the communities we serve. Although our Company invests time and resources in many charitable causes, we have two main causes we focus our efforts to support. The first is our long-standing partnership with </w:t>
      </w:r>
    </w:p>
    <w:p>
      <w:pPr>
        <w:pStyle w:val="TextBody"/>
        <w:spacing w:before="240" w:after="0"/>
        <w:jc w:val="left"/>
        <w:rPr>
          <w:rFonts w:ascii="Times New Roman" w:hAnsi="Times New Roman"/>
          <w:spacing w:val="0"/>
          <w:sz w:val="20"/>
        </w:rPr>
      </w:pPr>
      <w:r>
        <w:rPr>
          <w:rFonts w:ascii="Times New Roman" w:hAnsi="Times New Roman"/>
          <w:spacing w:val="0"/>
          <w:sz w:val="20"/>
        </w:rPr>
        <w:t>Make-A-Wish.</w:t>
      </w:r>
    </w:p>
    <w:p>
      <w:pPr>
        <w:pStyle w:val="TextBody"/>
        <w:spacing w:before="240" w:after="0"/>
        <w:jc w:val="left"/>
        <w:rPr>
          <w:rFonts w:ascii="Times New Roman" w:hAnsi="Times New Roman"/>
          <w:sz w:val="20"/>
        </w:rPr>
      </w:pPr>
      <w:r>
        <w:rPr>
          <w:rFonts w:ascii="Times New Roman" w:hAnsi="Times New Roman"/>
          <w:sz w:val="20"/>
        </w:rPr>
        <w:t xml:space="preserve">We have proudly supported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11 </w:t>
      </w:r>
    </w:p>
    <w:p>
      <w:pPr>
        <w:pStyle w:val="HorizontalLine"/>
        <w:rPr/>
      </w:pPr>
      <w:r>
        <w:rPr/>
      </w:r>
    </w:p>
    <w:p>
      <w:pPr>
        <w:pStyle w:val="TextBody"/>
        <w:spacing w:before="0" w:after="0"/>
        <w:rPr/>
      </w:pPr>
      <w:hyperlink w:anchor="toc">
        <w:r>
          <w:rPr>
            <w:rStyle w:val="InternetLink"/>
            <w:b/>
            <w:sz w:val="20"/>
          </w:rPr>
          <w:t>Table of Contents</w:t>
        </w:r>
      </w:hyperlink>
    </w:p>
    <w:p>
      <w:pPr>
        <w:pStyle w:val="TextBody"/>
        <w:spacing w:before="0" w:after="0"/>
        <w:jc w:val="left"/>
        <w:rPr>
          <w:rFonts w:ascii="Times New Roman" w:hAnsi="Times New Roman"/>
          <w:spacing w:val="0"/>
          <w:sz w:val="20"/>
        </w:rPr>
      </w:pPr>
      <w:r>
        <w:rPr>
          <w:rFonts w:ascii="Times New Roman" w:hAnsi="Times New Roman"/>
          <w:spacing w:val="0"/>
          <w:sz w:val="20"/>
        </w:rPr>
        <w:t>Make-A-Wish</w:t>
      </w:r>
    </w:p>
    <w:p>
      <w:pPr>
        <w:pStyle w:val="TextBody"/>
        <w:spacing w:before="0" w:after="0"/>
        <w:jc w:val="left"/>
        <w:rPr>
          <w:rFonts w:ascii="Times New Roman" w:hAnsi="Times New Roman"/>
          <w:sz w:val="20"/>
        </w:rPr>
      </w:pPr>
      <w:r>
        <w:rPr>
          <w:rFonts w:ascii="Times New Roman" w:hAnsi="Times New Roman"/>
          <w:sz w:val="20"/>
        </w:rPr>
        <w:t xml:space="preserve">since 2012. To date, we have given over $12.0 million to this worthy cause, and we participate in several events throughout the year both in our stores and at our corporate headquarters to raise money for </w:t>
      </w:r>
    </w:p>
    <w:p>
      <w:pPr>
        <w:pStyle w:val="TextBody"/>
        <w:spacing w:before="0" w:after="0"/>
        <w:jc w:val="left"/>
        <w:rPr>
          <w:rFonts w:ascii="Times New Roman" w:hAnsi="Times New Roman"/>
          <w:spacing w:val="0"/>
          <w:sz w:val="20"/>
        </w:rPr>
      </w:pPr>
      <w:r>
        <w:rPr>
          <w:rFonts w:ascii="Times New Roman" w:hAnsi="Times New Roman"/>
          <w:spacing w:val="0"/>
          <w:sz w:val="20"/>
        </w:rPr>
        <w:t>Make-A-Wish.</w:t>
      </w:r>
    </w:p>
    <w:p>
      <w:pPr>
        <w:pStyle w:val="TextBody"/>
        <w:spacing w:before="0" w:after="0"/>
        <w:jc w:val="left"/>
        <w:rPr>
          <w:rFonts w:ascii="Times New Roman" w:hAnsi="Times New Roman"/>
          <w:sz w:val="20"/>
        </w:rPr>
      </w:pPr>
      <w:r>
        <w:rPr>
          <w:rFonts w:ascii="Times New Roman" w:hAnsi="Times New Roman"/>
          <w:sz w:val="20"/>
        </w:rPr>
        <w:t xml:space="preserve">We also volunteer our time and talents to help. </w:t>
      </w:r>
    </w:p>
    <w:p>
      <w:pPr>
        <w:pStyle w:val="TextBody"/>
        <w:spacing w:before="240" w:after="0"/>
        <w:jc w:val="left"/>
        <w:rPr>
          <w:rFonts w:ascii="Times New Roman" w:hAnsi="Times New Roman"/>
          <w:sz w:val="20"/>
        </w:rPr>
      </w:pPr>
      <w:r>
        <w:rPr>
          <w:rFonts w:ascii="Times New Roman" w:hAnsi="Times New Roman"/>
          <w:sz w:val="20"/>
        </w:rPr>
        <w:t xml:space="preserve">In addition, we invest in helping our own team members during their times of greatest need. The D&amp;B H.E.A.R.T. (Helping Employees at Rough Times) Fund is an independent </w:t>
      </w:r>
    </w:p>
    <w:p>
      <w:pPr>
        <w:pStyle w:val="TextBody"/>
        <w:spacing w:before="240" w:after="0"/>
        <w:jc w:val="left"/>
        <w:rPr>
          <w:rFonts w:ascii="Times New Roman" w:hAnsi="Times New Roman"/>
          <w:spacing w:val="0"/>
          <w:sz w:val="20"/>
        </w:rPr>
      </w:pPr>
      <w:r>
        <w:rPr>
          <w:rFonts w:ascii="Times New Roman" w:hAnsi="Times New Roman"/>
          <w:spacing w:val="0"/>
          <w:sz w:val="20"/>
        </w:rPr>
        <w:t>non-profit</w:t>
      </w:r>
    </w:p>
    <w:p>
      <w:pPr>
        <w:pStyle w:val="TextBody"/>
        <w:spacing w:before="240" w:after="0"/>
        <w:jc w:val="left"/>
        <w:rPr>
          <w:rFonts w:ascii="Times New Roman" w:hAnsi="Times New Roman"/>
          <w:sz w:val="20"/>
        </w:rPr>
      </w:pPr>
      <w:r>
        <w:rPr>
          <w:rFonts w:ascii="Times New Roman" w:hAnsi="Times New Roman"/>
          <w:sz w:val="20"/>
        </w:rPr>
        <w:t xml:space="preserve">established to create an employee assistance fund for the benefit of team members who suffer catastrophic events resulting in severe economic hardship. The D&amp;B H.E.A.R.T. Fund is financed by contributions from our employees, customers, and business partners. During the pandemic, many of our team members were furloughed and experienced financial and personal hardships, and the D&amp;B H.E.A.R.T. Fund provided financial assistance to several team members facing exceptionally tough challenges. </w:t>
      </w:r>
    </w:p>
    <w:p>
      <w:pPr>
        <w:pStyle w:val="TextBody"/>
        <w:spacing w:before="360" w:after="0"/>
        <w:jc w:val="left"/>
        <w:rPr>
          <w:rFonts w:ascii="Times New Roman" w:hAnsi="Times New Roman"/>
          <w:b/>
          <w:spacing w:val="0"/>
          <w:sz w:val="20"/>
        </w:rPr>
      </w:pPr>
      <w:r>
        <w:rPr>
          <w:rFonts w:ascii="Times New Roman" w:hAnsi="Times New Roman"/>
          <w:b/>
          <w:spacing w:val="0"/>
          <w:sz w:val="20"/>
        </w:rPr>
        <w:t xml:space="preserve">Advertising and Marketing </w:t>
      </w:r>
    </w:p>
    <w:p>
      <w:pPr>
        <w:pStyle w:val="TextBody"/>
        <w:spacing w:before="120" w:after="0"/>
        <w:jc w:val="left"/>
        <w:rPr>
          <w:rFonts w:ascii="Times New Roman" w:hAnsi="Times New Roman"/>
          <w:sz w:val="20"/>
        </w:rPr>
      </w:pPr>
      <w:r>
        <w:rPr>
          <w:rFonts w:ascii="Times New Roman" w:hAnsi="Times New Roman"/>
          <w:sz w:val="20"/>
        </w:rPr>
        <w:t xml:space="preserve">We use advertising and marketing to build awareness and strengthen our brand relevance. We spent approximately $21.1 million in marketing efforts in fiscal 2020, $44.8 million in fiscal 2019, and $40.8 million in fiscal 2018. During fiscal 2020, as a result of the closures, capacity restrictions and other operating limitations imposed as a result of the </w:t>
      </w:r>
    </w:p>
    <w:p>
      <w:pPr>
        <w:pStyle w:val="TextBody"/>
        <w:spacing w:before="120" w:after="0"/>
        <w:jc w:val="left"/>
        <w:rPr>
          <w:rFonts w:ascii="Times New Roman" w:hAnsi="Times New Roman"/>
          <w:spacing w:val="0"/>
          <w:sz w:val="20"/>
        </w:rPr>
      </w:pPr>
      <w:r>
        <w:rPr>
          <w:rFonts w:ascii="Times New Roman" w:hAnsi="Times New Roman"/>
          <w:spacing w:val="0"/>
          <w:sz w:val="20"/>
        </w:rPr>
        <w:t>COVID-19</w:t>
      </w:r>
    </w:p>
    <w:p>
      <w:pPr>
        <w:pStyle w:val="TextBody"/>
        <w:spacing w:before="120" w:after="0"/>
        <w:jc w:val="left"/>
        <w:rPr>
          <w:rFonts w:ascii="Times New Roman" w:hAnsi="Times New Roman"/>
          <w:sz w:val="20"/>
        </w:rPr>
      </w:pPr>
      <w:r>
        <w:rPr>
          <w:rFonts w:ascii="Times New Roman" w:hAnsi="Times New Roman"/>
          <w:sz w:val="20"/>
        </w:rPr>
        <w:t xml:space="preserve">pandemic, we substantially curtailed    national cable television media, which continues to be the largest portion of our advertising and marketing spend. In the future, we plan to shift some funding to other forms of media, including investments in social and digital video, and test new types of programmatic display and digital audio. To enhance our marketing efforts, we also conduct digital initiatives including search engine marketing and optimization, mobile campaigns, and website improvements. We also execute periodic promotions, create </w:t>
      </w:r>
    </w:p>
    <w:p>
      <w:pPr>
        <w:pStyle w:val="TextBody"/>
        <w:spacing w:before="120" w:after="0"/>
        <w:jc w:val="left"/>
        <w:rPr>
          <w:rFonts w:ascii="Times New Roman" w:hAnsi="Times New Roman"/>
          <w:spacing w:val="0"/>
          <w:sz w:val="20"/>
        </w:rPr>
      </w:pPr>
      <w:r>
        <w:rPr>
          <w:rFonts w:ascii="Times New Roman" w:hAnsi="Times New Roman"/>
          <w:spacing w:val="0"/>
          <w:sz w:val="20"/>
        </w:rPr>
        <w:t>in-store</w:t>
      </w:r>
    </w:p>
    <w:p>
      <w:pPr>
        <w:pStyle w:val="TextBody"/>
        <w:spacing w:before="120" w:after="0"/>
        <w:jc w:val="left"/>
        <w:rPr>
          <w:rFonts w:ascii="Times New Roman" w:hAnsi="Times New Roman"/>
          <w:spacing w:val="0"/>
          <w:sz w:val="20"/>
        </w:rPr>
      </w:pPr>
      <w:r>
        <w:rPr>
          <w:rFonts w:ascii="Times New Roman" w:hAnsi="Times New Roman"/>
          <w:spacing w:val="0"/>
          <w:sz w:val="20"/>
        </w:rPr>
        <w:t>point-of-purchase</w:t>
      </w:r>
    </w:p>
    <w:p>
      <w:pPr>
        <w:pStyle w:val="TextBody"/>
        <w:spacing w:before="120" w:after="0"/>
        <w:jc w:val="left"/>
        <w:rPr>
          <w:rFonts w:ascii="Times New Roman" w:hAnsi="Times New Roman"/>
          <w:sz w:val="20"/>
        </w:rPr>
      </w:pPr>
      <w:r>
        <w:rPr>
          <w:rFonts w:ascii="Times New Roman" w:hAnsi="Times New Roman"/>
          <w:sz w:val="20"/>
        </w:rPr>
        <w:t xml:space="preserve">materials and execute local marketing plans to address specific objectives in individual stores or markets. We work with external advertising, digital, media and design agencies in the development and execution of these programs. </w:t>
      </w:r>
    </w:p>
    <w:p>
      <w:pPr>
        <w:pStyle w:val="TextBody"/>
        <w:spacing w:before="240" w:after="0"/>
        <w:jc w:val="left"/>
        <w:rPr>
          <w:rFonts w:ascii="Times New Roman" w:hAnsi="Times New Roman"/>
          <w:sz w:val="20"/>
        </w:rPr>
      </w:pPr>
      <w:r>
        <w:rPr>
          <w:rFonts w:ascii="Times New Roman" w:hAnsi="Times New Roman"/>
          <w:sz w:val="20"/>
        </w:rPr>
        <w:t xml:space="preserve">During fiscal 2019, we invested in developing and implementing new technology platforms that will allow us to digitally engage with our customers and team members and strengthen our marketing and analytics capabilities in an increasingly connected society. Our investment efforts were significantly curtailed during fiscal 2020 as a result of the </w:t>
      </w:r>
    </w:p>
    <w:p>
      <w:pPr>
        <w:pStyle w:val="TextBody"/>
        <w:spacing w:before="240" w:after="0"/>
        <w:jc w:val="left"/>
        <w:rPr>
          <w:rFonts w:ascii="Times New Roman" w:hAnsi="Times New Roman"/>
          <w:spacing w:val="0"/>
          <w:sz w:val="20"/>
        </w:rPr>
      </w:pPr>
      <w:r>
        <w:rPr>
          <w:rFonts w:ascii="Times New Roman" w:hAnsi="Times New Roman"/>
          <w:spacing w:val="0"/>
          <w:sz w:val="20"/>
        </w:rPr>
        <w:t>COVID-19</w:t>
      </w:r>
    </w:p>
    <w:p>
      <w:pPr>
        <w:pStyle w:val="TextBody"/>
        <w:spacing w:before="240" w:after="0"/>
        <w:jc w:val="left"/>
        <w:rPr>
          <w:rFonts w:ascii="Times New Roman" w:hAnsi="Times New Roman"/>
          <w:sz w:val="20"/>
        </w:rPr>
      </w:pPr>
      <w:r>
        <w:rPr>
          <w:rFonts w:ascii="Times New Roman" w:hAnsi="Times New Roman"/>
          <w:sz w:val="20"/>
        </w:rPr>
        <w:t xml:space="preserve">pandemic, but we plan to continue to invest in fiscal 2021. Central to this effort is continued investment in our mobile application platform, which is used to enhance existing customer satisfaction and attract new customers by providing periodic exclusive offers and discounts and providing a convenient way to purchase Power Cards. We also intend to launch a new loyalty program in fiscal 2021, which will be integrated into the mobile application to provide further functionality and accessibility for our customers.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We utilize a number of other initiatives to continually improve our market effectiveness, including refining our marketing strategy to better reach both young adults and families, creating new advertising campaigns, investing in menu research and development to differentiate our food offerings from our competition and improve key product attributes (quality, consistency, value and overall customer satisfaction) and execution, developing product/promotional strategies to attract new customers and increase spending/length of stay, and reflecting a consistent brand identity that represents our positioning and commitment to quality.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Our special event marketing programs are managed by our sales department, which provides direction, training, and support to our special events team consisting of district sales managers and sales managers. Our special events programs are supported by targeted print and online media plans, as well as promotional incentives at appropriate times during the year. In addition, we have online booking for social parties to provide additional convenience in booking events for our customers. </w:t>
      </w:r>
    </w:p>
    <w:p>
      <w:pPr>
        <w:pStyle w:val="TextBody"/>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Information Technology and Cyber Security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We utilize several proprietary and third-party management information systems. These systems are designed to enable our games’ functionality, improve operating efficiencies, provide us with timely access to financial and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12 </w:t>
      </w:r>
    </w:p>
    <w:p>
      <w:pPr>
        <w:pStyle w:val="HorizontalLine"/>
        <w:rPr/>
      </w:pPr>
      <w:r>
        <w:rPr/>
      </w:r>
    </w:p>
    <w:p>
      <w:pPr>
        <w:pStyle w:val="TextBody"/>
        <w:spacing w:before="0" w:after="0"/>
        <w:rPr/>
      </w:pPr>
      <w:hyperlink w:anchor="toc">
        <w:r>
          <w:rPr>
            <w:rStyle w:val="InternetLink"/>
            <w:b/>
            <w:sz w:val="20"/>
          </w:rPr>
          <w:t>Table of Contents</w:t>
        </w:r>
      </w:hyperlink>
    </w:p>
    <w:p>
      <w:pPr>
        <w:pStyle w:val="TextBody"/>
        <w:spacing w:before="0" w:after="0"/>
        <w:jc w:val="left"/>
        <w:rPr>
          <w:rFonts w:ascii="Times New Roman" w:hAnsi="Times New Roman"/>
          <w:spacing w:val="0"/>
          <w:sz w:val="20"/>
        </w:rPr>
      </w:pPr>
      <w:r>
        <w:rPr>
          <w:rFonts w:ascii="Times New Roman" w:hAnsi="Times New Roman"/>
          <w:spacing w:val="0"/>
          <w:sz w:val="20"/>
        </w:rPr>
        <w:t xml:space="preserve">marketing data and reduce store and corporate administrative time and expense. We believe our management information systems are sufficient to support our business plans. Information systems projects are prioritized based upon strategic, financial, regulatory and other business advantage criteria. </w:t>
      </w:r>
    </w:p>
    <w:p>
      <w:pPr>
        <w:pStyle w:val="TextBody"/>
        <w:spacing w:before="240" w:after="0"/>
        <w:jc w:val="left"/>
        <w:rPr>
          <w:rFonts w:ascii="Times New Roman" w:hAnsi="Times New Roman"/>
          <w:sz w:val="20"/>
        </w:rPr>
      </w:pPr>
      <w:r>
        <w:rPr>
          <w:rFonts w:ascii="Times New Roman" w:hAnsi="Times New Roman"/>
          <w:sz w:val="20"/>
        </w:rPr>
        <w:t xml:space="preserve">Our managers have daily routines focused on driving consistent execution in food, beverage, and amusements. While fiscal 2020 was a very unusual year with the impact of </w:t>
      </w:r>
    </w:p>
    <w:p>
      <w:pPr>
        <w:pStyle w:val="TextBody"/>
        <w:spacing w:before="240" w:after="0"/>
        <w:jc w:val="left"/>
        <w:rPr>
          <w:rFonts w:ascii="Times New Roman" w:hAnsi="Times New Roman"/>
          <w:spacing w:val="0"/>
          <w:sz w:val="20"/>
        </w:rPr>
      </w:pPr>
      <w:r>
        <w:rPr>
          <w:rFonts w:ascii="Times New Roman" w:hAnsi="Times New Roman"/>
          <w:spacing w:val="0"/>
          <w:sz w:val="20"/>
        </w:rPr>
        <w:t>COVID-19,</w:t>
      </w:r>
    </w:p>
    <w:p>
      <w:pPr>
        <w:pStyle w:val="TextBody"/>
        <w:spacing w:before="240" w:after="0"/>
        <w:jc w:val="left"/>
        <w:rPr>
          <w:rFonts w:ascii="Times New Roman" w:hAnsi="Times New Roman"/>
          <w:sz w:val="20"/>
        </w:rPr>
      </w:pPr>
      <w:r>
        <w:rPr>
          <w:rFonts w:ascii="Times New Roman" w:hAnsi="Times New Roman"/>
          <w:sz w:val="20"/>
        </w:rPr>
        <w:t xml:space="preserve">we historically utilized a customized food and beverage analysis program that determines the theoretical food and beverage costs for each store and provides additional tools and reports to help us identify opportunities, including waste management. In addition to our own routines, we leverage a third-party vendor to help ensure quality beverage operations, responsible alcohol service and loss prevention. Our workforce management platform also allows management to quickly add or reduce labor based on real-time business needs and historically assisted our managers in optimizing hourly labor based on anticipated sales volumes. Our amusement team uses a proprietary system that is supported by a mobile application that identifies amusement issues and needed repairs to help ensure our games are operational and meeting our ideal playing standard. Complementing this program is our routine preventative maintenance program, designed to prevent game failure and extend the functionality of our midway games. Consolidated reporting tools for the key drivers of our business are provided to our Regional Management to identify and troubleshoot any systemic issues. </w:t>
      </w:r>
    </w:p>
    <w:p>
      <w:pPr>
        <w:pStyle w:val="TextBody"/>
        <w:spacing w:before="240" w:after="0"/>
        <w:jc w:val="left"/>
        <w:rPr>
          <w:rFonts w:ascii="Times New Roman" w:hAnsi="Times New Roman"/>
          <w:sz w:val="20"/>
        </w:rPr>
      </w:pPr>
      <w:r>
        <w:rPr>
          <w:rFonts w:ascii="Times New Roman" w:hAnsi="Times New Roman"/>
          <w:sz w:val="20"/>
        </w:rPr>
        <w:t xml:space="preserve">During 2019, we invested in connectivity and data infrastructure to modernize and upgrade the capacity of our store systems, continued work on new, customer facing digital experiences, such as the launch of our new mobile application that supports </w:t>
      </w:r>
    </w:p>
    <w:p>
      <w:pPr>
        <w:pStyle w:val="TextBody"/>
        <w:spacing w:before="240" w:after="0"/>
        <w:jc w:val="left"/>
        <w:rPr>
          <w:rFonts w:ascii="Times New Roman" w:hAnsi="Times New Roman"/>
          <w:spacing w:val="0"/>
          <w:sz w:val="20"/>
        </w:rPr>
      </w:pPr>
      <w:r>
        <w:rPr>
          <w:rFonts w:ascii="Times New Roman" w:hAnsi="Times New Roman"/>
          <w:spacing w:val="0"/>
          <w:sz w:val="20"/>
        </w:rPr>
        <w:t>in-store</w:t>
      </w:r>
    </w:p>
    <w:p>
      <w:pPr>
        <w:pStyle w:val="TextBody"/>
        <w:spacing w:before="240" w:after="0"/>
        <w:jc w:val="left"/>
        <w:rPr>
          <w:rFonts w:ascii="Times New Roman" w:hAnsi="Times New Roman"/>
          <w:sz w:val="20"/>
        </w:rPr>
      </w:pPr>
      <w:r>
        <w:rPr>
          <w:rFonts w:ascii="Times New Roman" w:hAnsi="Times New Roman"/>
          <w:sz w:val="20"/>
        </w:rPr>
        <w:t xml:space="preserve">and </w:t>
      </w:r>
    </w:p>
    <w:p>
      <w:pPr>
        <w:pStyle w:val="TextBody"/>
        <w:spacing w:before="240" w:after="0"/>
        <w:jc w:val="left"/>
        <w:rPr>
          <w:rFonts w:ascii="Times New Roman" w:hAnsi="Times New Roman"/>
          <w:spacing w:val="0"/>
          <w:sz w:val="20"/>
        </w:rPr>
      </w:pPr>
      <w:r>
        <w:rPr>
          <w:rFonts w:ascii="Times New Roman" w:hAnsi="Times New Roman"/>
          <w:spacing w:val="0"/>
          <w:sz w:val="20"/>
        </w:rPr>
        <w:t>off-premise</w:t>
      </w:r>
    </w:p>
    <w:p>
      <w:pPr>
        <w:pStyle w:val="TextBody"/>
        <w:spacing w:before="240" w:after="0"/>
        <w:jc w:val="left"/>
        <w:rPr>
          <w:rFonts w:ascii="Times New Roman" w:hAnsi="Times New Roman"/>
          <w:sz w:val="20"/>
        </w:rPr>
      </w:pPr>
      <w:r>
        <w:rPr>
          <w:rFonts w:ascii="Times New Roman" w:hAnsi="Times New Roman"/>
          <w:sz w:val="20"/>
        </w:rPr>
        <w:t xml:space="preserve">amusement entertainment, and deployed hand-held </w:t>
      </w:r>
    </w:p>
    <w:p>
      <w:pPr>
        <w:pStyle w:val="TextBody"/>
        <w:spacing w:before="240" w:after="0"/>
        <w:jc w:val="left"/>
        <w:rPr>
          <w:rFonts w:ascii="Times New Roman" w:hAnsi="Times New Roman"/>
          <w:spacing w:val="0"/>
          <w:sz w:val="20"/>
        </w:rPr>
      </w:pPr>
      <w:r>
        <w:rPr>
          <w:rFonts w:ascii="Times New Roman" w:hAnsi="Times New Roman"/>
          <w:spacing w:val="0"/>
          <w:sz w:val="20"/>
        </w:rPr>
        <w:t>point-of-sale</w:t>
      </w:r>
    </w:p>
    <w:p>
      <w:pPr>
        <w:pStyle w:val="TextBody"/>
        <w:spacing w:before="240" w:after="0"/>
        <w:jc w:val="left"/>
        <w:rPr>
          <w:rFonts w:ascii="Times New Roman" w:hAnsi="Times New Roman"/>
          <w:sz w:val="20"/>
        </w:rPr>
      </w:pPr>
      <w:r>
        <w:rPr>
          <w:rFonts w:ascii="Times New Roman" w:hAnsi="Times New Roman"/>
          <w:sz w:val="20"/>
        </w:rPr>
        <w:t xml:space="preserve">devices to a limited group of stores. Our investment efforts were significantly curtailed during fiscal 2020 due to the impacts of the </w:t>
      </w:r>
    </w:p>
    <w:p>
      <w:pPr>
        <w:pStyle w:val="TextBody"/>
        <w:spacing w:before="240" w:after="0"/>
        <w:jc w:val="left"/>
        <w:rPr>
          <w:rFonts w:ascii="Times New Roman" w:hAnsi="Times New Roman"/>
          <w:spacing w:val="0"/>
          <w:sz w:val="20"/>
        </w:rPr>
      </w:pPr>
      <w:r>
        <w:rPr>
          <w:rFonts w:ascii="Times New Roman" w:hAnsi="Times New Roman"/>
          <w:spacing w:val="0"/>
          <w:sz w:val="20"/>
        </w:rPr>
        <w:t>COVID-19</w:t>
      </w:r>
    </w:p>
    <w:p>
      <w:pPr>
        <w:pStyle w:val="TextBody"/>
        <w:spacing w:before="240" w:after="0"/>
        <w:jc w:val="left"/>
        <w:rPr>
          <w:rFonts w:ascii="Times New Roman" w:hAnsi="Times New Roman"/>
          <w:sz w:val="20"/>
        </w:rPr>
      </w:pPr>
      <w:r>
        <w:rPr>
          <w:rFonts w:ascii="Times New Roman" w:hAnsi="Times New Roman"/>
          <w:sz w:val="20"/>
        </w:rPr>
        <w:t xml:space="preserve">pandemic, but we plan to continue to invest in fiscal 2021.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We accept electronic payment cards from our customers for payment in our stores. We also receive and maintain certain personal information about our customers and team members. We have systems and processes in place that focus on the protection of our customers’ credit card information and other private information we are required to protect, such as our employees’ personal information. Our existing cyber security policy includes cyber security techniques, tactics and procedures, including continuous monitoring and detection programs, network protections, employee training and awareness and incident response preparedness. In addition, we periodically scan our environment for any vulnerability, perform penetration testing and engage third parties to assess effectiveness of our data security practices. We utilize a voluntary tool to help manage privacy risk by independently benchmarking our cyber security program to the NIST Cybersecurity Framework, using an independent third party, and we share the results of our annual audit with our Audit Committee. </w:t>
      </w:r>
    </w:p>
    <w:p>
      <w:pPr>
        <w:pStyle w:val="TextBody"/>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Food Preparation, Quality Control and Purchasing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We strive to maintain high food quality standards. To ensure our quality standards are met, we negotiate directly with independent producers of food products. We provide detailed quality and yield specifications to suppliers for our purchases. Our systems are designed to protect the safety and quality of our food supply throughout the procurement and preparation process. Within each store, the Kitchen Manager is primarily responsible for ensuring the timely and correct preparation of food products per the recipes we specify. We provide each of our stores with various tools and training to facilitate these activities. </w:t>
      </w:r>
    </w:p>
    <w:p>
      <w:pPr>
        <w:pStyle w:val="TextBody"/>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Foreign Operations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We own and operate two stores outside of the United States in the Canadian province of Ontario. These stores generated revenues of approximately $2.9 million, $18.6 million, and $18.8 million in fiscal 2020, 2019, and 2018, respectively, representing approximately 0.7%, 1.4%, and 1.5%, respectively, of our consolidated revenues. As of January 31, 2021, less than 2.0% of our long-lived assets were located outside of the United States.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The foreign activities of these stores are subject to various risks of doing business in a foreign country, including currency fluctuations, changes in laws and regulations and economic and political stability. We do not believe there is any material risk associated with the Canadian operations or any dependence by the domestic business upon the Canadian operations.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13 </w:t>
      </w:r>
    </w:p>
    <w:p>
      <w:pPr>
        <w:pStyle w:val="HorizontalLine"/>
        <w:rPr/>
      </w:pPr>
      <w:r>
        <w:rPr/>
      </w:r>
    </w:p>
    <w:p>
      <w:pPr>
        <w:pStyle w:val="TextBody"/>
        <w:spacing w:before="0" w:after="0"/>
        <w:rPr/>
      </w:pPr>
      <w:hyperlink w:anchor="toc">
        <w:r>
          <w:rPr>
            <w:rStyle w:val="InternetLink"/>
            <w:b/>
            <w:sz w:val="20"/>
          </w:rPr>
          <w:t>Table of Contents</w:t>
        </w:r>
      </w:hyperlink>
    </w:p>
    <w:p>
      <w:pPr>
        <w:pStyle w:val="TextBody"/>
        <w:spacing w:before="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Store-Level Quarterly Fluctuations and Seasonality </w:t>
      </w:r>
    </w:p>
    <w:p>
      <w:pPr>
        <w:pStyle w:val="TextBody"/>
        <w:spacing w:before="120" w:after="0"/>
        <w:jc w:val="left"/>
        <w:rPr>
          <w:rFonts w:ascii="Times New Roman" w:hAnsi="Times New Roman"/>
          <w:sz w:val="20"/>
        </w:rPr>
      </w:pPr>
      <w:r>
        <w:rPr>
          <w:rFonts w:ascii="Times New Roman" w:hAnsi="Times New Roman"/>
          <w:sz w:val="20"/>
        </w:rPr>
        <w:t xml:space="preserve">Our revenues are influenced by seasonal shifts in consumer spending. Typically, we have higher revenues associated with the spring and </w:t>
      </w:r>
    </w:p>
    <w:p>
      <w:pPr>
        <w:pStyle w:val="TextBody"/>
        <w:spacing w:before="120" w:after="0"/>
        <w:jc w:val="left"/>
        <w:rPr>
          <w:rFonts w:ascii="Times New Roman" w:hAnsi="Times New Roman"/>
          <w:spacing w:val="0"/>
          <w:sz w:val="20"/>
        </w:rPr>
      </w:pPr>
      <w:r>
        <w:rPr>
          <w:rFonts w:ascii="Times New Roman" w:hAnsi="Times New Roman"/>
          <w:spacing w:val="0"/>
          <w:sz w:val="20"/>
        </w:rPr>
        <w:t>year-end</w:t>
      </w:r>
    </w:p>
    <w:p>
      <w:pPr>
        <w:pStyle w:val="TextBody"/>
        <w:spacing w:before="120" w:after="0"/>
        <w:jc w:val="left"/>
        <w:rPr>
          <w:rFonts w:ascii="Times New Roman" w:hAnsi="Times New Roman"/>
          <w:sz w:val="20"/>
        </w:rPr>
      </w:pPr>
      <w:r>
        <w:rPr>
          <w:rFonts w:ascii="Times New Roman" w:hAnsi="Times New Roman"/>
          <w:sz w:val="20"/>
        </w:rPr>
        <w:t xml:space="preserve">holidays, which will continue to be susceptible to the impact of severe or unseasonably mild weather on customer traffic and sales during that period. Our third quarter, which encompasses the </w:t>
      </w:r>
    </w:p>
    <w:p>
      <w:pPr>
        <w:pStyle w:val="TextBody"/>
        <w:spacing w:before="120" w:after="0"/>
        <w:jc w:val="left"/>
        <w:rPr>
          <w:rFonts w:ascii="Times New Roman" w:hAnsi="Times New Roman"/>
          <w:spacing w:val="0"/>
          <w:sz w:val="20"/>
        </w:rPr>
      </w:pPr>
      <w:r>
        <w:rPr>
          <w:rFonts w:ascii="Times New Roman" w:hAnsi="Times New Roman"/>
          <w:spacing w:val="0"/>
          <w:sz w:val="20"/>
        </w:rPr>
        <w:t>back-to-school</w:t>
      </w:r>
    </w:p>
    <w:p>
      <w:pPr>
        <w:pStyle w:val="TextBody"/>
        <w:spacing w:before="120" w:after="0"/>
        <w:jc w:val="left"/>
        <w:rPr>
          <w:rFonts w:ascii="Times New Roman" w:hAnsi="Times New Roman"/>
          <w:sz w:val="20"/>
        </w:rPr>
      </w:pPr>
      <w:r>
        <w:rPr>
          <w:rFonts w:ascii="Times New Roman" w:hAnsi="Times New Roman"/>
          <w:sz w:val="20"/>
        </w:rPr>
        <w:t xml:space="preserve">fall season, has historically had lower revenues as compared to other quarters. During fiscal 2020, results also fluctuated due to the timing and frequency of temporary closures and operating restrictions as a result of state and local guidelines imposed due to the </w:t>
      </w:r>
    </w:p>
    <w:p>
      <w:pPr>
        <w:pStyle w:val="TextBody"/>
        <w:spacing w:before="120" w:after="0"/>
        <w:jc w:val="left"/>
        <w:rPr>
          <w:rFonts w:ascii="Times New Roman" w:hAnsi="Times New Roman"/>
          <w:spacing w:val="0"/>
          <w:sz w:val="20"/>
        </w:rPr>
      </w:pPr>
      <w:r>
        <w:rPr>
          <w:rFonts w:ascii="Times New Roman" w:hAnsi="Times New Roman"/>
          <w:spacing w:val="0"/>
          <w:sz w:val="20"/>
        </w:rPr>
        <w:t>COVID-19</w:t>
      </w:r>
    </w:p>
    <w:p>
      <w:pPr>
        <w:pStyle w:val="TextBody"/>
        <w:spacing w:before="120" w:after="0"/>
        <w:jc w:val="left"/>
        <w:rPr>
          <w:rFonts w:ascii="Times New Roman" w:hAnsi="Times New Roman"/>
          <w:sz w:val="20"/>
        </w:rPr>
      </w:pPr>
      <w:r>
        <w:rPr>
          <w:rFonts w:ascii="Times New Roman" w:hAnsi="Times New Roman"/>
          <w:sz w:val="20"/>
        </w:rPr>
        <w:t xml:space="preserve">pandemic. </w:t>
      </w:r>
    </w:p>
    <w:p>
      <w:pPr>
        <w:pStyle w:val="TextBody"/>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Suppliers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The principal goods used by us are redemption game prizes and food and beverage products, which are available from a number of suppliers. We currently purchase a significant amount of our amusement merchandise through a direct import program, a program in which we purchase WIN! merchandise and certain glassware, plate ware and furniture directly from offshore manufacturers. We are a large buyer of traditional and amusement games and as a result believe we receive discounted pricing arrangements. Federal and state health care mandates and mandated increases in the minimum wage and other macro-economic pressures could have the repercussion of increasing expenses, as suppliers may be adversely impacted and seek to pass on higher costs to us. </w:t>
      </w:r>
    </w:p>
    <w:p>
      <w:pPr>
        <w:pStyle w:val="TextBody"/>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Intellectual Property </w:t>
      </w:r>
    </w:p>
    <w:p>
      <w:pPr>
        <w:pStyle w:val="TextBody"/>
        <w:spacing w:before="120" w:after="0"/>
        <w:jc w:val="left"/>
        <w:rPr>
          <w:rFonts w:ascii="Times New Roman" w:hAnsi="Times New Roman"/>
          <w:spacing w:val="0"/>
          <w:sz w:val="20"/>
        </w:rPr>
      </w:pPr>
      <w:r>
        <w:rPr>
          <w:rFonts w:ascii="Times New Roman" w:hAnsi="Times New Roman"/>
          <w:spacing w:val="0"/>
          <w:sz w:val="20"/>
        </w:rPr>
        <w:t>We have registered the trademarks Dave &amp; Buster’s</w:t>
      </w:r>
    </w:p>
    <w:p>
      <w:pPr>
        <w:pStyle w:val="TextBody"/>
        <w:spacing w:before="120" w:after="0"/>
        <w:jc w:val="left"/>
        <w:rPr>
          <w:rFonts w:ascii="Times New Roman" w:hAnsi="Times New Roman"/>
          <w:spacing w:val="0"/>
          <w:sz w:val="14"/>
        </w:rPr>
      </w:pPr>
      <w:r>
        <w:rPr>
          <w:rFonts w:ascii="Times New Roman" w:hAnsi="Times New Roman"/>
          <w:spacing w:val="0"/>
          <w:sz w:val="14"/>
        </w:rPr>
        <w:t>®</w:t>
      </w:r>
    </w:p>
    <w:p>
      <w:pPr>
        <w:pStyle w:val="TextBody"/>
        <w:spacing w:before="120" w:after="0"/>
        <w:jc w:val="left"/>
        <w:rPr>
          <w:rFonts w:ascii="Times New Roman" w:hAnsi="Times New Roman"/>
          <w:spacing w:val="0"/>
          <w:sz w:val="20"/>
        </w:rPr>
      </w:pPr>
      <w:r>
        <w:rPr>
          <w:rFonts w:ascii="Times New Roman" w:hAnsi="Times New Roman"/>
          <w:spacing w:val="0"/>
          <w:sz w:val="20"/>
        </w:rPr>
        <w:t>, Power Card</w:t>
      </w:r>
    </w:p>
    <w:p>
      <w:pPr>
        <w:pStyle w:val="TextBody"/>
        <w:spacing w:before="120" w:after="0"/>
        <w:jc w:val="left"/>
        <w:rPr>
          <w:rFonts w:ascii="Times New Roman" w:hAnsi="Times New Roman"/>
          <w:spacing w:val="0"/>
          <w:sz w:val="14"/>
        </w:rPr>
      </w:pPr>
      <w:r>
        <w:rPr>
          <w:rFonts w:ascii="Times New Roman" w:hAnsi="Times New Roman"/>
          <w:spacing w:val="0"/>
          <w:sz w:val="14"/>
        </w:rPr>
        <w:t>®</w:t>
      </w:r>
    </w:p>
    <w:p>
      <w:pPr>
        <w:pStyle w:val="TextBody"/>
        <w:spacing w:before="120" w:after="0"/>
        <w:jc w:val="left"/>
        <w:rPr>
          <w:rFonts w:ascii="Times New Roman" w:hAnsi="Times New Roman"/>
          <w:spacing w:val="0"/>
          <w:sz w:val="20"/>
        </w:rPr>
      </w:pPr>
      <w:r>
        <w:rPr>
          <w:rFonts w:ascii="Times New Roman" w:hAnsi="Times New Roman"/>
          <w:spacing w:val="0"/>
          <w:sz w:val="20"/>
        </w:rPr>
        <w:t>, Eat &amp; Play Combo</w:t>
      </w:r>
    </w:p>
    <w:p>
      <w:pPr>
        <w:pStyle w:val="TextBody"/>
        <w:spacing w:before="120" w:after="0"/>
        <w:jc w:val="left"/>
        <w:rPr>
          <w:rFonts w:ascii="Times New Roman" w:hAnsi="Times New Roman"/>
          <w:spacing w:val="0"/>
          <w:sz w:val="14"/>
        </w:rPr>
      </w:pPr>
      <w:r>
        <w:rPr>
          <w:rFonts w:ascii="Times New Roman" w:hAnsi="Times New Roman"/>
          <w:spacing w:val="0"/>
          <w:sz w:val="14"/>
        </w:rPr>
        <w:t>®</w:t>
      </w:r>
    </w:p>
    <w:p>
      <w:pPr>
        <w:pStyle w:val="TextBody"/>
        <w:spacing w:before="120" w:after="0"/>
        <w:jc w:val="left"/>
        <w:rPr>
          <w:rFonts w:ascii="Times New Roman" w:hAnsi="Times New Roman"/>
          <w:spacing w:val="0"/>
          <w:sz w:val="20"/>
        </w:rPr>
      </w:pPr>
      <w:r>
        <w:rPr>
          <w:rFonts w:ascii="Times New Roman" w:hAnsi="Times New Roman"/>
          <w:spacing w:val="0"/>
          <w:sz w:val="20"/>
        </w:rPr>
        <w:t>, Eat Drink Play</w:t>
      </w:r>
    </w:p>
    <w:p>
      <w:pPr>
        <w:pStyle w:val="TextBody"/>
        <w:spacing w:before="120" w:after="0"/>
        <w:jc w:val="left"/>
        <w:rPr>
          <w:rFonts w:ascii="Times New Roman" w:hAnsi="Times New Roman"/>
          <w:spacing w:val="0"/>
          <w:sz w:val="14"/>
        </w:rPr>
      </w:pPr>
      <w:r>
        <w:rPr>
          <w:rFonts w:ascii="Times New Roman" w:hAnsi="Times New Roman"/>
          <w:spacing w:val="0"/>
          <w:sz w:val="14"/>
        </w:rPr>
        <w:t>®</w:t>
      </w:r>
    </w:p>
    <w:p>
      <w:pPr>
        <w:pStyle w:val="TextBody"/>
        <w:spacing w:before="120" w:after="0"/>
        <w:jc w:val="left"/>
        <w:rPr>
          <w:rFonts w:ascii="Times New Roman" w:hAnsi="Times New Roman"/>
          <w:spacing w:val="0"/>
          <w:sz w:val="20"/>
        </w:rPr>
      </w:pPr>
      <w:r>
        <w:rPr>
          <w:rFonts w:ascii="Times New Roman" w:hAnsi="Times New Roman"/>
          <w:spacing w:val="0"/>
          <w:sz w:val="20"/>
        </w:rPr>
        <w:t>, and Eat Drink Play Watch</w:t>
      </w:r>
    </w:p>
    <w:p>
      <w:pPr>
        <w:pStyle w:val="TextBody"/>
        <w:spacing w:before="120" w:after="0"/>
        <w:jc w:val="left"/>
        <w:rPr>
          <w:rFonts w:ascii="Times New Roman" w:hAnsi="Times New Roman"/>
          <w:spacing w:val="0"/>
          <w:sz w:val="14"/>
        </w:rPr>
      </w:pPr>
      <w:r>
        <w:rPr>
          <w:rFonts w:ascii="Times New Roman" w:hAnsi="Times New Roman"/>
          <w:spacing w:val="0"/>
          <w:sz w:val="14"/>
        </w:rPr>
        <w:t>®</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 and have registered or applied to register certain additional trademarks with the United States Patent and Trademark Office and in various foreign countries. We consider our tradename and our logo to be important features of our operations and seek to actively monitor and protect our interest in this property in the various jurisdictions where we operate. We also have certain trade secrets, such as our recipes, processes, proprietary information and certain software programs that we protect by requiring all of our employees to sign a code of ethics, which includes an agreement to keep trade secrets confidential. </w:t>
      </w:r>
    </w:p>
    <w:p>
      <w:pPr>
        <w:pStyle w:val="TextBody"/>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Government Regulation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We are subject to a variety of federal, state and local laws affecting our business. For a discussion of the risks and potential impact on our business of a failure by us to comply with applicable laws and regulations, see “Item 1A. Risk Factors.” Each of our stores is subject to permitting and licensing requirements and regulations by a number of government authorities, which may include, among others, alcoholic beverage control, health and safety, sanitation, environmental, labor and zoning. The development and construction of new stores is subject to compliance with applicable zoning, land use and environmental regulations. We must comply with laws and regulations relating to consumer protection, fair trade practices, and the preparation and sale of food, including regulations regarding product safety, nutritional content and menu labeling. We are also subject to federal, state and local laws that govern health benefits, employment practices and working conditions, including minimum wage rates, wage and hour practices, gratuities, overtime, various family leave mandates, discrimination and harassment, immigration, workplace safety and other areas. In California, we are subject to the Private Attorneys General Act, which authorizes employees to file lawsuits to recover civil penalties on behalf of themselves, other employees, and the State of California for labor code violations. We must comply with laws relating to information security, consumer credit protection and fraud, and data privacy laws and standards for the protection of personal and health information. </w:t>
      </w:r>
    </w:p>
    <w:p>
      <w:pPr>
        <w:pStyle w:val="TextBody"/>
        <w:spacing w:before="360" w:after="0"/>
        <w:jc w:val="left"/>
        <w:rPr>
          <w:rFonts w:ascii="Times New Roman" w:hAnsi="Times New Roman"/>
          <w:b/>
          <w:spacing w:val="0"/>
          <w:sz w:val="20"/>
        </w:rPr>
      </w:pPr>
      <w:r>
        <w:rPr>
          <w:rFonts w:ascii="Times New Roman" w:hAnsi="Times New Roman"/>
          <w:b/>
          <w:spacing w:val="0"/>
          <w:sz w:val="20"/>
        </w:rPr>
        <w:t xml:space="preserve">Available Information </w:t>
      </w:r>
    </w:p>
    <w:p>
      <w:pPr>
        <w:pStyle w:val="TextBody"/>
        <w:spacing w:before="120" w:after="0"/>
        <w:jc w:val="left"/>
        <w:rPr>
          <w:rFonts w:ascii="Times New Roman" w:hAnsi="Times New Roman"/>
          <w:sz w:val="20"/>
        </w:rPr>
      </w:pPr>
      <w:r>
        <w:rPr>
          <w:rFonts w:ascii="Times New Roman" w:hAnsi="Times New Roman"/>
          <w:sz w:val="20"/>
        </w:rPr>
        <w:t xml:space="preserve">Our annual reports on Form </w:t>
      </w:r>
    </w:p>
    <w:p>
      <w:pPr>
        <w:pStyle w:val="TextBody"/>
        <w:spacing w:before="120" w:after="0"/>
        <w:jc w:val="left"/>
        <w:rPr>
          <w:rFonts w:ascii="Times New Roman" w:hAnsi="Times New Roman"/>
          <w:spacing w:val="0"/>
          <w:sz w:val="20"/>
        </w:rPr>
      </w:pPr>
      <w:r>
        <w:rPr>
          <w:rFonts w:ascii="Times New Roman" w:hAnsi="Times New Roman"/>
          <w:spacing w:val="0"/>
          <w:sz w:val="20"/>
        </w:rPr>
        <w:t>10-K,</w:t>
      </w:r>
    </w:p>
    <w:p>
      <w:pPr>
        <w:pStyle w:val="TextBody"/>
        <w:spacing w:before="120" w:after="0"/>
        <w:jc w:val="left"/>
        <w:rPr>
          <w:rFonts w:ascii="Times New Roman" w:hAnsi="Times New Roman"/>
          <w:sz w:val="20"/>
        </w:rPr>
      </w:pPr>
      <w:r>
        <w:rPr>
          <w:rFonts w:ascii="Times New Roman" w:hAnsi="Times New Roman"/>
          <w:sz w:val="20"/>
        </w:rPr>
        <w:t xml:space="preserve">quarterly reports on Form </w:t>
      </w:r>
    </w:p>
    <w:p>
      <w:pPr>
        <w:pStyle w:val="TextBody"/>
        <w:spacing w:before="120" w:after="0"/>
        <w:jc w:val="left"/>
        <w:rPr>
          <w:rFonts w:ascii="Times New Roman" w:hAnsi="Times New Roman"/>
          <w:spacing w:val="0"/>
          <w:sz w:val="20"/>
        </w:rPr>
      </w:pPr>
      <w:r>
        <w:rPr>
          <w:rFonts w:ascii="Times New Roman" w:hAnsi="Times New Roman"/>
          <w:spacing w:val="0"/>
          <w:sz w:val="20"/>
        </w:rPr>
        <w:t>10-Q,</w:t>
      </w:r>
    </w:p>
    <w:p>
      <w:pPr>
        <w:pStyle w:val="TextBody"/>
        <w:spacing w:before="120" w:after="0"/>
        <w:jc w:val="left"/>
        <w:rPr>
          <w:rFonts w:ascii="Times New Roman" w:hAnsi="Times New Roman"/>
          <w:sz w:val="20"/>
        </w:rPr>
      </w:pPr>
      <w:r>
        <w:rPr>
          <w:rFonts w:ascii="Times New Roman" w:hAnsi="Times New Roman"/>
          <w:sz w:val="20"/>
        </w:rPr>
        <w:t xml:space="preserve">current reports on Form </w:t>
      </w:r>
    </w:p>
    <w:p>
      <w:pPr>
        <w:pStyle w:val="TextBody"/>
        <w:spacing w:before="120" w:after="0"/>
        <w:jc w:val="left"/>
        <w:rPr>
          <w:rFonts w:ascii="Times New Roman" w:hAnsi="Times New Roman"/>
          <w:spacing w:val="0"/>
          <w:sz w:val="20"/>
        </w:rPr>
      </w:pPr>
      <w:r>
        <w:rPr>
          <w:rFonts w:ascii="Times New Roman" w:hAnsi="Times New Roman"/>
          <w:spacing w:val="0"/>
          <w:sz w:val="20"/>
        </w:rPr>
        <w:t>8-K</w:t>
      </w:r>
    </w:p>
    <w:p>
      <w:pPr>
        <w:pStyle w:val="TextBody"/>
        <w:spacing w:before="120" w:after="0"/>
        <w:jc w:val="left"/>
        <w:rPr>
          <w:rFonts w:ascii="Times New Roman" w:hAnsi="Times New Roman"/>
          <w:sz w:val="20"/>
        </w:rPr>
      </w:pPr>
      <w:r>
        <w:rPr>
          <w:rFonts w:ascii="Times New Roman" w:hAnsi="Times New Roman"/>
          <w:sz w:val="20"/>
        </w:rPr>
        <w:t xml:space="preserve">and amendments to those reports filed or furnished pursuant to Section 13(a) or 15(d) of the Exchange Act are available free of charge through our internet website, at www.daveandbusters.com, as soon as reasonably practicable after they are electronically filed with or furnished to the Securities and Exchange Commission (“SEC”). Such reports may also be obtained on the SEC’s website at www.sec.gov. Information on our corporate governance principles and practices can also be found on our website.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14 </w:t>
      </w:r>
    </w:p>
    <w:p>
      <w:pPr>
        <w:pStyle w:val="HorizontalLine"/>
        <w:rPr/>
      </w:pPr>
      <w:r>
        <w:rPr/>
      </w:r>
    </w:p>
    <w:p>
      <w:pPr>
        <w:pStyle w:val="TextBody"/>
        <w:spacing w:before="0" w:after="0"/>
        <w:rPr/>
      </w:pPr>
      <w:hyperlink w:anchor="toc">
        <w:r>
          <w:rPr>
            <w:rStyle w:val="InternetLink"/>
            <w:b/>
            <w:sz w:val="20"/>
          </w:rPr>
          <w:t>Table of Contents</w:t>
        </w:r>
      </w:hyperlink>
    </w:p>
    <w:tbl>
      <w:tblPr>
        <w:tblW w:w="2245" w:type="dxa"/>
        <w:jc w:val="left"/>
        <w:tblInd w:w="0" w:type="dxa"/>
        <w:tblCellMar>
          <w:top w:w="0" w:type="dxa"/>
          <w:left w:w="0" w:type="dxa"/>
          <w:bottom w:w="0" w:type="dxa"/>
          <w:right w:w="0" w:type="dxa"/>
        </w:tblCellMar>
      </w:tblPr>
      <w:tblGrid>
        <w:gridCol w:w="1100"/>
        <w:gridCol w:w="1145"/>
      </w:tblGrid>
      <w:tr>
        <w:trPr/>
        <w:tc>
          <w:tcPr>
            <w:tcW w:w="1100" w:type="dxa"/>
            <w:tcBorders/>
            <w:shd w:fill="auto" w:val="clear"/>
            <w:vAlign w:val="center"/>
          </w:tcPr>
          <w:p>
            <w:pPr>
              <w:pStyle w:val="TableContents"/>
              <w:spacing w:before="0" w:after="0"/>
              <w:jc w:val="left"/>
              <w:rPr>
                <w:b/>
                <w:spacing w:val="0"/>
              </w:rPr>
            </w:pPr>
            <w:bookmarkStart w:id="3" w:name="tx120247_2"/>
            <w:bookmarkEnd w:id="3"/>
            <w:r>
              <w:rPr>
                <w:b/>
                <w:spacing w:val="0"/>
              </w:rPr>
              <w:t>ITEM 1A.</w:t>
            </w:r>
          </w:p>
        </w:tc>
        <w:tc>
          <w:tcPr>
            <w:tcW w:w="1145" w:type="dxa"/>
            <w:tcBorders/>
            <w:shd w:fill="auto" w:val="clear"/>
            <w:vAlign w:val="center"/>
          </w:tcPr>
          <w:p>
            <w:pPr>
              <w:pStyle w:val="TableContents"/>
              <w:spacing w:before="0" w:after="0"/>
              <w:jc w:val="left"/>
              <w:rPr>
                <w:rFonts w:ascii="Times New Roman" w:hAnsi="Times New Roman"/>
                <w:b/>
                <w:spacing w:val="0"/>
                <w:sz w:val="20"/>
              </w:rPr>
            </w:pPr>
            <w:r>
              <w:rPr>
                <w:rFonts w:ascii="Times New Roman" w:hAnsi="Times New Roman"/>
                <w:b/>
                <w:spacing w:val="0"/>
                <w:sz w:val="20"/>
              </w:rPr>
              <w:t xml:space="preserve">Risk Factors </w:t>
            </w:r>
          </w:p>
        </w:tc>
      </w:tr>
    </w:tbl>
    <w:p>
      <w:pPr>
        <w:pStyle w:val="TextBody"/>
        <w:spacing w:before="120" w:after="0"/>
        <w:jc w:val="left"/>
        <w:rPr>
          <w:rFonts w:ascii="Times New Roman" w:hAnsi="Times New Roman"/>
          <w:spacing w:val="0"/>
          <w:sz w:val="20"/>
        </w:rPr>
      </w:pPr>
      <w:r>
        <w:rPr>
          <w:rFonts w:ascii="Times New Roman" w:hAnsi="Times New Roman"/>
          <w:spacing w:val="0"/>
          <w:sz w:val="20"/>
        </w:rPr>
        <w:t xml:space="preserve">Various risks and uncertainties could affect our business. In addition to the information contained elsewhere in this report and other filings that we make with the SEC, the risk factors described below could have a material impact on our business, financial condition, results of operation, cash flows or the trading price of our common stock. It is not possible to identify all risk factors. Additional risks and uncertainties not presently known to us or that we currently believe to be immaterial may also impair our business operations.     </w:t>
      </w:r>
    </w:p>
    <w:p>
      <w:pPr>
        <w:pStyle w:val="TextBody"/>
        <w:spacing w:before="48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Risks Related to our Growth and Operating Strategy </w:t>
      </w:r>
    </w:p>
    <w:p>
      <w:pPr>
        <w:pStyle w:val="TextBody"/>
        <w:spacing w:before="12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The </w:t>
      </w:r>
    </w:p>
    <w:p>
      <w:pPr>
        <w:pStyle w:val="TextBody"/>
        <w:spacing w:before="12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COVID-19</w:t>
      </w:r>
    </w:p>
    <w:p>
      <w:pPr>
        <w:pStyle w:val="TextBody"/>
        <w:spacing w:before="12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pandemic has disrupted and is expected to continue to disrupt our business, which has had a material adverse impact on our business, results of operations, liquidity and financial condition and could continue for an extended period of time. Future outbreaks of contagious diseases or other adverse public health developments in the United States or worldwide could have similar impacts on our business. </w:t>
      </w:r>
    </w:p>
    <w:p>
      <w:pPr>
        <w:pStyle w:val="TextBody"/>
        <w:spacing w:before="120" w:after="0"/>
        <w:jc w:val="left"/>
        <w:rPr>
          <w:rFonts w:ascii="Times New Roman" w:hAnsi="Times New Roman"/>
          <w:sz w:val="20"/>
        </w:rPr>
      </w:pPr>
      <w:r>
        <w:rPr>
          <w:rFonts w:ascii="Times New Roman" w:hAnsi="Times New Roman"/>
          <w:sz w:val="20"/>
        </w:rPr>
        <w:t xml:space="preserve">The recent outbreak of </w:t>
      </w:r>
    </w:p>
    <w:p>
      <w:pPr>
        <w:pStyle w:val="TextBody"/>
        <w:spacing w:before="120" w:after="0"/>
        <w:jc w:val="left"/>
        <w:rPr>
          <w:rFonts w:ascii="Times New Roman" w:hAnsi="Times New Roman"/>
          <w:spacing w:val="0"/>
          <w:sz w:val="20"/>
        </w:rPr>
      </w:pPr>
      <w:r>
        <w:rPr>
          <w:rFonts w:ascii="Times New Roman" w:hAnsi="Times New Roman"/>
          <w:spacing w:val="0"/>
          <w:sz w:val="20"/>
        </w:rPr>
        <w:t>COVID-19</w:t>
      </w:r>
    </w:p>
    <w:p>
      <w:pPr>
        <w:pStyle w:val="TextBody"/>
        <w:spacing w:before="120" w:after="0"/>
        <w:jc w:val="left"/>
        <w:rPr>
          <w:rFonts w:ascii="Times New Roman" w:hAnsi="Times New Roman"/>
          <w:sz w:val="20"/>
        </w:rPr>
      </w:pPr>
      <w:r>
        <w:rPr>
          <w:rFonts w:ascii="Times New Roman" w:hAnsi="Times New Roman"/>
          <w:sz w:val="20"/>
        </w:rPr>
        <w:t xml:space="preserve">has had a material adverse effect on our business, results of operations, liquidity and financial condition and the same could continue for an extended period of time. In fiscal 2020, the </w:t>
      </w:r>
    </w:p>
    <w:p>
      <w:pPr>
        <w:pStyle w:val="TextBody"/>
        <w:spacing w:before="120" w:after="0"/>
        <w:jc w:val="left"/>
        <w:rPr>
          <w:rFonts w:ascii="Times New Roman" w:hAnsi="Times New Roman"/>
          <w:spacing w:val="0"/>
          <w:sz w:val="20"/>
        </w:rPr>
      </w:pPr>
      <w:r>
        <w:rPr>
          <w:rFonts w:ascii="Times New Roman" w:hAnsi="Times New Roman"/>
          <w:spacing w:val="0"/>
          <w:sz w:val="20"/>
        </w:rPr>
        <w:t>COVID-19</w:t>
      </w:r>
    </w:p>
    <w:p>
      <w:pPr>
        <w:pStyle w:val="TextBody"/>
        <w:spacing w:before="120" w:after="0"/>
        <w:jc w:val="left"/>
        <w:rPr>
          <w:rFonts w:ascii="Times New Roman" w:hAnsi="Times New Roman"/>
          <w:sz w:val="20"/>
        </w:rPr>
      </w:pPr>
      <w:r>
        <w:rPr>
          <w:rFonts w:ascii="Times New Roman" w:hAnsi="Times New Roman"/>
          <w:sz w:val="20"/>
        </w:rPr>
        <w:t xml:space="preserve">pandemic significantly impacted the economy in general, and our business specifically, and continues to negatively affect our business in a number of ways. These effects include, but are not limited to: </w:t>
      </w:r>
    </w:p>
    <w:p>
      <w:pPr>
        <w:pStyle w:val="TextBody"/>
        <w:spacing w:before="0" w:after="0"/>
        <w:jc w:val="left"/>
        <w:rPr>
          <w:spacing w:val="0"/>
        </w:rPr>
      </w:pPr>
      <w:r>
        <w:rPr>
          <w:spacing w:val="0"/>
        </w:rPr>
        <w:t> </w:t>
      </w:r>
    </w:p>
    <w:tbl>
      <w:tblPr>
        <w:tblW w:w="5845" w:type="dxa"/>
        <w:jc w:val="left"/>
        <w:tblInd w:w="0" w:type="dxa"/>
        <w:tblCellMar>
          <w:top w:w="0" w:type="dxa"/>
          <w:left w:w="0" w:type="dxa"/>
          <w:bottom w:w="0" w:type="dxa"/>
          <w:right w:w="0" w:type="dxa"/>
        </w:tblCellMar>
      </w:tblPr>
      <w:tblGrid>
        <w:gridCol w:w="75"/>
        <w:gridCol w:w="110"/>
        <w:gridCol w:w="60"/>
        <w:gridCol w:w="560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560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the unprecedented impact on our business, operations and liquidity; </w:t>
            </w:r>
          </w:p>
        </w:tc>
      </w:tr>
    </w:tbl>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our ability to obtain additional waivers or amendments, and thereafter continue to satisfy covenant requirements (even as they may be amended), under our amended credit agreement and derivative contract payables; </w:t>
            </w:r>
          </w:p>
        </w:tc>
      </w:tr>
    </w:tbl>
    <w:p>
      <w:pPr>
        <w:pStyle w:val="TextBody"/>
        <w:spacing w:before="0" w:after="0"/>
        <w:jc w:val="left"/>
        <w:rPr>
          <w:spacing w:val="0"/>
        </w:rPr>
      </w:pPr>
      <w:r>
        <w:rPr>
          <w:spacing w:val="0"/>
        </w:rPr>
        <w:t> </w:t>
      </w:r>
    </w:p>
    <w:tbl>
      <w:tblPr>
        <w:tblW w:w="3805" w:type="dxa"/>
        <w:jc w:val="left"/>
        <w:tblInd w:w="0" w:type="dxa"/>
        <w:tblCellMar>
          <w:top w:w="0" w:type="dxa"/>
          <w:left w:w="0" w:type="dxa"/>
          <w:bottom w:w="0" w:type="dxa"/>
          <w:right w:w="0" w:type="dxa"/>
        </w:tblCellMar>
      </w:tblPr>
      <w:tblGrid>
        <w:gridCol w:w="75"/>
        <w:gridCol w:w="110"/>
        <w:gridCol w:w="60"/>
        <w:gridCol w:w="35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356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our ability to access other funding sources; </w:t>
            </w:r>
          </w:p>
        </w:tc>
      </w:tr>
    </w:tbl>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duration of government-mandated and voluntary shutdowns, and operating restrictions on our business once our stores can </w:t>
            </w:r>
          </w:p>
          <w:p>
            <w:pPr>
              <w:pStyle w:val="TableContents"/>
              <w:spacing w:before="0" w:after="0"/>
              <w:jc w:val="left"/>
              <w:rPr>
                <w:rFonts w:ascii="Times New Roman" w:hAnsi="Times New Roman"/>
                <w:spacing w:val="0"/>
                <w:sz w:val="20"/>
              </w:rPr>
            </w:pPr>
            <w:r>
              <w:rPr>
                <w:rFonts w:ascii="Times New Roman" w:hAnsi="Times New Roman"/>
                <w:spacing w:val="0"/>
                <w:sz w:val="20"/>
              </w:rPr>
              <w:t>re-open;</w:t>
            </w:r>
          </w:p>
        </w:tc>
      </w:tr>
    </w:tbl>
    <w:p>
      <w:pPr>
        <w:pStyle w:val="TextBody"/>
        <w:spacing w:before="0" w:after="0"/>
        <w:jc w:val="left"/>
        <w:rPr>
          <w:spacing w:val="0"/>
        </w:rPr>
      </w:pPr>
      <w:r>
        <w:rPr>
          <w:spacing w:val="0"/>
        </w:rPr>
        <w:t> </w:t>
      </w:r>
    </w:p>
    <w:tbl>
      <w:tblPr>
        <w:tblW w:w="3550" w:type="dxa"/>
        <w:jc w:val="left"/>
        <w:tblInd w:w="0" w:type="dxa"/>
        <w:tblCellMar>
          <w:top w:w="0" w:type="dxa"/>
          <w:left w:w="0" w:type="dxa"/>
          <w:bottom w:w="0" w:type="dxa"/>
          <w:right w:w="0" w:type="dxa"/>
        </w:tblCellMar>
      </w:tblPr>
      <w:tblGrid>
        <w:gridCol w:w="75"/>
        <w:gridCol w:w="110"/>
        <w:gridCol w:w="60"/>
        <w:gridCol w:w="330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330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level of customer demand following </w:t>
            </w:r>
          </w:p>
          <w:p>
            <w:pPr>
              <w:pStyle w:val="TableContents"/>
              <w:spacing w:before="0" w:after="0"/>
              <w:jc w:val="left"/>
              <w:rPr>
                <w:rFonts w:ascii="Times New Roman" w:hAnsi="Times New Roman"/>
                <w:spacing w:val="0"/>
                <w:sz w:val="20"/>
              </w:rPr>
            </w:pPr>
            <w:r>
              <w:rPr>
                <w:rFonts w:ascii="Times New Roman" w:hAnsi="Times New Roman"/>
                <w:spacing w:val="0"/>
                <w:sz w:val="20"/>
              </w:rPr>
              <w:t>re-opening;</w:t>
            </w:r>
          </w:p>
        </w:tc>
      </w:tr>
    </w:tbl>
    <w:p>
      <w:pPr>
        <w:pStyle w:val="TextBody"/>
        <w:spacing w:before="0" w:after="0"/>
        <w:jc w:val="left"/>
        <w:rPr>
          <w:spacing w:val="0"/>
        </w:rPr>
      </w:pPr>
      <w:r>
        <w:rPr>
          <w:spacing w:val="0"/>
        </w:rPr>
        <w:t> </w:t>
      </w:r>
    </w:p>
    <w:tbl>
      <w:tblPr>
        <w:tblW w:w="4630" w:type="dxa"/>
        <w:jc w:val="left"/>
        <w:tblInd w:w="0" w:type="dxa"/>
        <w:tblCellMar>
          <w:top w:w="0" w:type="dxa"/>
          <w:left w:w="0" w:type="dxa"/>
          <w:bottom w:w="0" w:type="dxa"/>
          <w:right w:w="0" w:type="dxa"/>
        </w:tblCellMar>
      </w:tblPr>
      <w:tblGrid>
        <w:gridCol w:w="75"/>
        <w:gridCol w:w="110"/>
        <w:gridCol w:w="60"/>
        <w:gridCol w:w="438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438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the economic impact of </w:t>
            </w:r>
          </w:p>
          <w:p>
            <w:pPr>
              <w:pStyle w:val="TableContents"/>
              <w:spacing w:before="0" w:after="0"/>
              <w:jc w:val="left"/>
              <w:rPr>
                <w:rFonts w:ascii="Times New Roman" w:hAnsi="Times New Roman"/>
                <w:spacing w:val="0"/>
                <w:sz w:val="20"/>
              </w:rPr>
            </w:pPr>
            <w:r>
              <w:rPr>
                <w:rFonts w:ascii="Times New Roman" w:hAnsi="Times New Roman"/>
                <w:spacing w:val="0"/>
                <w:sz w:val="20"/>
              </w:rPr>
              <w:t>COVID-19</w:t>
            </w:r>
          </w:p>
          <w:p>
            <w:pPr>
              <w:pStyle w:val="TableContents"/>
              <w:spacing w:before="0" w:after="0"/>
              <w:jc w:val="left"/>
              <w:rPr>
                <w:rFonts w:ascii="Times New Roman" w:hAnsi="Times New Roman"/>
                <w:sz w:val="20"/>
              </w:rPr>
            </w:pPr>
            <w:r>
              <w:rPr>
                <w:rFonts w:ascii="Times New Roman" w:hAnsi="Times New Roman"/>
                <w:sz w:val="20"/>
              </w:rPr>
              <w:t xml:space="preserve">and related disruptions on the communities we serve; </w:t>
            </w:r>
          </w:p>
        </w:tc>
      </w:tr>
    </w:tbl>
    <w:p>
      <w:pPr>
        <w:pStyle w:val="TextBody"/>
        <w:spacing w:before="0" w:after="0"/>
        <w:jc w:val="left"/>
        <w:rPr>
          <w:spacing w:val="0"/>
        </w:rPr>
      </w:pPr>
      <w:r>
        <w:rPr>
          <w:spacing w:val="0"/>
        </w:rPr>
        <w:t> </w:t>
      </w:r>
    </w:p>
    <w:tbl>
      <w:tblPr>
        <w:tblW w:w="3040" w:type="dxa"/>
        <w:jc w:val="left"/>
        <w:tblInd w:w="0" w:type="dxa"/>
        <w:tblCellMar>
          <w:top w:w="0" w:type="dxa"/>
          <w:left w:w="0" w:type="dxa"/>
          <w:bottom w:w="0" w:type="dxa"/>
          <w:right w:w="0" w:type="dxa"/>
        </w:tblCellMar>
      </w:tblPr>
      <w:tblGrid>
        <w:gridCol w:w="75"/>
        <w:gridCol w:w="110"/>
        <w:gridCol w:w="60"/>
        <w:gridCol w:w="279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2795"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our overall level of indebtedness; </w:t>
            </w:r>
          </w:p>
        </w:tc>
      </w:tr>
    </w:tbl>
    <w:p>
      <w:pPr>
        <w:pStyle w:val="TextBody"/>
        <w:spacing w:before="0" w:after="0"/>
        <w:jc w:val="left"/>
        <w:rPr>
          <w:spacing w:val="0"/>
        </w:rPr>
      </w:pPr>
      <w:r>
        <w:rPr>
          <w:spacing w:val="0"/>
        </w:rPr>
        <w:t> </w:t>
      </w:r>
    </w:p>
    <w:tbl>
      <w:tblPr>
        <w:tblW w:w="8065" w:type="dxa"/>
        <w:jc w:val="left"/>
        <w:tblInd w:w="0" w:type="dxa"/>
        <w:tblCellMar>
          <w:top w:w="0" w:type="dxa"/>
          <w:left w:w="0" w:type="dxa"/>
          <w:bottom w:w="0" w:type="dxa"/>
          <w:right w:w="0" w:type="dxa"/>
        </w:tblCellMar>
      </w:tblPr>
      <w:tblGrid>
        <w:gridCol w:w="75"/>
        <w:gridCol w:w="110"/>
        <w:gridCol w:w="60"/>
        <w:gridCol w:w="782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782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further impairments of our long-lived assets or impairment of goodwill or other intangibles; and </w:t>
            </w:r>
          </w:p>
        </w:tc>
      </w:tr>
    </w:tbl>
    <w:p>
      <w:pPr>
        <w:pStyle w:val="TextBody"/>
        <w:spacing w:before="0" w:after="0"/>
        <w:jc w:val="left"/>
        <w:rPr>
          <w:spacing w:val="0"/>
        </w:rPr>
      </w:pPr>
      <w:r>
        <w:rPr>
          <w:spacing w:val="0"/>
        </w:rPr>
        <w:t> </w:t>
      </w:r>
    </w:p>
    <w:tbl>
      <w:tblPr>
        <w:tblW w:w="5890" w:type="dxa"/>
        <w:jc w:val="left"/>
        <w:tblInd w:w="0" w:type="dxa"/>
        <w:tblCellMar>
          <w:top w:w="0" w:type="dxa"/>
          <w:left w:w="0" w:type="dxa"/>
          <w:bottom w:w="0" w:type="dxa"/>
          <w:right w:w="0" w:type="dxa"/>
        </w:tblCellMar>
      </w:tblPr>
      <w:tblGrid>
        <w:gridCol w:w="75"/>
        <w:gridCol w:w="110"/>
        <w:gridCol w:w="60"/>
        <w:gridCol w:w="564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5645"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management’s ability to estimate future performance of our business. </w:t>
            </w:r>
          </w:p>
        </w:tc>
      </w:tr>
    </w:tbl>
    <w:p>
      <w:pPr>
        <w:pStyle w:val="TextBody"/>
        <w:spacing w:before="240" w:after="0"/>
        <w:jc w:val="left"/>
        <w:rPr>
          <w:rFonts w:ascii="Times New Roman" w:hAnsi="Times New Roman"/>
          <w:spacing w:val="0"/>
          <w:sz w:val="20"/>
        </w:rPr>
      </w:pPr>
      <w:r>
        <w:rPr>
          <w:rFonts w:ascii="Times New Roman" w:hAnsi="Times New Roman"/>
          <w:spacing w:val="0"/>
          <w:sz w:val="20"/>
        </w:rPr>
        <w:t xml:space="preserve">The extent to which the current or future outbreaks of disease or similar public health threats materially and adversely impact our business, results of operations, liquidity and financial condition is highly uncertain and will depend on future developments. Such developments may include the geographic spread and duration of the virus, the severity of the disease and the mitigating and remedial actions that may be taken by various governmental authorities and other third parties in response to the outbreak. In addition, how quickly, and to what extent, normal economic and operating conditions can be maintained or resumed cannot be predicted, and the resumption of normal business operations may be delayed or constrained by lingering effects of any pandemic on us or our suppliers, third-party service providers, and/or customers. </w:t>
      </w:r>
    </w:p>
    <w:p>
      <w:pPr>
        <w:pStyle w:val="TextBody"/>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If we are unable to successfully design and execute our business strategy plan, including growing comparable store sales, our revenues and profitability may be adversely affected.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Our ability to increase revenues and profitability is dependent on designing and executing effective business strategies. If we are delayed or unsuccessful in executing our strategies or if our strategies do not yield desired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15 </w:t>
      </w:r>
    </w:p>
    <w:p>
      <w:pPr>
        <w:pStyle w:val="HorizontalLine"/>
        <w:rPr/>
      </w:pPr>
      <w:r>
        <w:rPr/>
      </w:r>
    </w:p>
    <w:p>
      <w:pPr>
        <w:pStyle w:val="TextBody"/>
        <w:spacing w:before="0" w:after="0"/>
        <w:rPr/>
      </w:pPr>
      <w:hyperlink w:anchor="toc">
        <w:r>
          <w:rPr>
            <w:rStyle w:val="InternetLink"/>
            <w:b/>
            <w:sz w:val="20"/>
          </w:rPr>
          <w:t>Table of Contents</w:t>
        </w:r>
      </w:hyperlink>
    </w:p>
    <w:p>
      <w:pPr>
        <w:pStyle w:val="TextBody"/>
        <w:spacing w:before="0" w:after="0"/>
        <w:jc w:val="left"/>
        <w:rPr>
          <w:rFonts w:ascii="Times New Roman" w:hAnsi="Times New Roman"/>
          <w:spacing w:val="0"/>
          <w:sz w:val="20"/>
        </w:rPr>
      </w:pPr>
      <w:r>
        <w:rPr>
          <w:rFonts w:ascii="Times New Roman" w:hAnsi="Times New Roman"/>
          <w:spacing w:val="0"/>
          <w:sz w:val="20"/>
        </w:rPr>
        <w:t xml:space="preserve">results, our business, financial condition and results of operations may suffer. Our ability to meet our business strategy plan is dependent upon, among other things, our ability to: </w:t>
      </w:r>
    </w:p>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increase gross sales and operating profits at existing stores with food, beverage, game and entertainment options desired by our customers; </w:t>
            </w:r>
          </w:p>
        </w:tc>
      </w:tr>
    </w:tbl>
    <w:p>
      <w:pPr>
        <w:pStyle w:val="TextBody"/>
        <w:spacing w:before="0" w:after="0"/>
        <w:jc w:val="left"/>
        <w:rPr>
          <w:spacing w:val="0"/>
        </w:rPr>
      </w:pPr>
      <w:r>
        <w:rPr>
          <w:spacing w:val="0"/>
        </w:rPr>
        <w:t> </w:t>
      </w:r>
    </w:p>
    <w:tbl>
      <w:tblPr>
        <w:tblW w:w="6235" w:type="dxa"/>
        <w:jc w:val="left"/>
        <w:tblInd w:w="0" w:type="dxa"/>
        <w:tblCellMar>
          <w:top w:w="0" w:type="dxa"/>
          <w:left w:w="0" w:type="dxa"/>
          <w:bottom w:w="0" w:type="dxa"/>
          <w:right w:w="0" w:type="dxa"/>
        </w:tblCellMar>
      </w:tblPr>
      <w:tblGrid>
        <w:gridCol w:w="75"/>
        <w:gridCol w:w="110"/>
        <w:gridCol w:w="60"/>
        <w:gridCol w:w="599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599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evolve our marketing and branding strategies to appeal to our customers; </w:t>
            </w:r>
          </w:p>
        </w:tc>
      </w:tr>
    </w:tbl>
    <w:p>
      <w:pPr>
        <w:pStyle w:val="TextBody"/>
        <w:spacing w:before="0" w:after="0"/>
        <w:jc w:val="left"/>
        <w:rPr>
          <w:spacing w:val="0"/>
        </w:rPr>
      </w:pPr>
      <w:r>
        <w:rPr>
          <w:spacing w:val="0"/>
        </w:rPr>
        <w:t> </w:t>
      </w:r>
    </w:p>
    <w:tbl>
      <w:tblPr>
        <w:tblW w:w="8140" w:type="dxa"/>
        <w:jc w:val="left"/>
        <w:tblInd w:w="0" w:type="dxa"/>
        <w:tblCellMar>
          <w:top w:w="0" w:type="dxa"/>
          <w:left w:w="0" w:type="dxa"/>
          <w:bottom w:w="0" w:type="dxa"/>
          <w:right w:w="0" w:type="dxa"/>
        </w:tblCellMar>
      </w:tblPr>
      <w:tblGrid>
        <w:gridCol w:w="75"/>
        <w:gridCol w:w="110"/>
        <w:gridCol w:w="60"/>
        <w:gridCol w:w="789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7895"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innovate and implement technology initiatives to provide a unique digital customer experience; </w:t>
            </w:r>
          </w:p>
        </w:tc>
      </w:tr>
    </w:tbl>
    <w:p>
      <w:pPr>
        <w:pStyle w:val="TextBody"/>
        <w:spacing w:before="0" w:after="0"/>
        <w:jc w:val="left"/>
        <w:rPr>
          <w:spacing w:val="0"/>
        </w:rPr>
      </w:pPr>
      <w:r>
        <w:rPr>
          <w:spacing w:val="0"/>
        </w:rPr>
        <w:t> </w:t>
      </w:r>
    </w:p>
    <w:tbl>
      <w:tblPr>
        <w:tblW w:w="6490" w:type="dxa"/>
        <w:jc w:val="left"/>
        <w:tblInd w:w="0" w:type="dxa"/>
        <w:tblCellMar>
          <w:top w:w="0" w:type="dxa"/>
          <w:left w:w="0" w:type="dxa"/>
          <w:bottom w:w="0" w:type="dxa"/>
          <w:right w:w="0" w:type="dxa"/>
        </w:tblCellMar>
      </w:tblPr>
      <w:tblGrid>
        <w:gridCol w:w="75"/>
        <w:gridCol w:w="110"/>
        <w:gridCol w:w="60"/>
        <w:gridCol w:w="624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6245"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identify adequate sources of capital to fund and finance strategic initiatives; </w:t>
            </w:r>
          </w:p>
        </w:tc>
      </w:tr>
    </w:tbl>
    <w:p>
      <w:pPr>
        <w:pStyle w:val="TextBody"/>
        <w:spacing w:before="0" w:after="0"/>
        <w:jc w:val="left"/>
        <w:rPr>
          <w:spacing w:val="0"/>
        </w:rPr>
      </w:pPr>
      <w:r>
        <w:rPr>
          <w:spacing w:val="0"/>
        </w:rPr>
        <w:t> </w:t>
      </w:r>
    </w:p>
    <w:tbl>
      <w:tblPr>
        <w:tblW w:w="3025" w:type="dxa"/>
        <w:jc w:val="left"/>
        <w:tblInd w:w="0" w:type="dxa"/>
        <w:tblCellMar>
          <w:top w:w="0" w:type="dxa"/>
          <w:left w:w="0" w:type="dxa"/>
          <w:bottom w:w="0" w:type="dxa"/>
          <w:right w:w="0" w:type="dxa"/>
        </w:tblCellMar>
      </w:tblPr>
      <w:tblGrid>
        <w:gridCol w:w="75"/>
        <w:gridCol w:w="110"/>
        <w:gridCol w:w="60"/>
        <w:gridCol w:w="278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278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grow and expand operations; and </w:t>
            </w:r>
          </w:p>
        </w:tc>
      </w:tr>
    </w:tbl>
    <w:p>
      <w:pPr>
        <w:pStyle w:val="TextBody"/>
        <w:spacing w:before="0" w:after="0"/>
        <w:jc w:val="left"/>
        <w:rPr>
          <w:spacing w:val="0"/>
        </w:rPr>
      </w:pPr>
      <w:r>
        <w:rPr>
          <w:spacing w:val="0"/>
        </w:rPr>
        <w:t> </w:t>
      </w:r>
    </w:p>
    <w:tbl>
      <w:tblPr>
        <w:tblW w:w="3970" w:type="dxa"/>
        <w:jc w:val="left"/>
        <w:tblInd w:w="0" w:type="dxa"/>
        <w:tblCellMar>
          <w:top w:w="0" w:type="dxa"/>
          <w:left w:w="0" w:type="dxa"/>
          <w:bottom w:w="0" w:type="dxa"/>
          <w:right w:w="0" w:type="dxa"/>
        </w:tblCellMar>
      </w:tblPr>
      <w:tblGrid>
        <w:gridCol w:w="75"/>
        <w:gridCol w:w="110"/>
        <w:gridCol w:w="60"/>
        <w:gridCol w:w="372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3725"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improve the speed and quality of our service. </w:t>
            </w:r>
          </w:p>
        </w:tc>
      </w:tr>
    </w:tbl>
    <w:p>
      <w:pPr>
        <w:pStyle w:val="TextBody"/>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Changes in consumer preferences and buying patterns could negatively affect our results of operations. </w:t>
      </w:r>
    </w:p>
    <w:p>
      <w:pPr>
        <w:pStyle w:val="TextBody"/>
        <w:spacing w:before="120" w:after="0"/>
        <w:jc w:val="left"/>
        <w:rPr>
          <w:rFonts w:ascii="Times New Roman" w:hAnsi="Times New Roman"/>
          <w:sz w:val="20"/>
        </w:rPr>
      </w:pPr>
      <w:r>
        <w:rPr>
          <w:rFonts w:ascii="Times New Roman" w:hAnsi="Times New Roman"/>
          <w:sz w:val="20"/>
        </w:rPr>
        <w:t xml:space="preserve">The success of our stores depends in large part on leased locations. Our locations are primarily located near high density retail areas such as regional malls, lifestyle centers, big box shopping centers and entertainment centers. We depend on a high volume of visitors at these centers to attract customers to our locations. As demographic and economic patterns change, current locations may or may not continue to be attractive or profitable. </w:t>
      </w:r>
    </w:p>
    <w:p>
      <w:pPr>
        <w:pStyle w:val="TextBody"/>
        <w:spacing w:before="120" w:after="0"/>
        <w:jc w:val="left"/>
        <w:rPr>
          <w:rFonts w:ascii="Times New Roman" w:hAnsi="Times New Roman"/>
          <w:spacing w:val="0"/>
          <w:sz w:val="20"/>
        </w:rPr>
      </w:pPr>
      <w:r>
        <w:rPr>
          <w:rFonts w:ascii="Times New Roman" w:hAnsi="Times New Roman"/>
          <w:spacing w:val="0"/>
          <w:sz w:val="20"/>
        </w:rPr>
        <w:t>E-commerce</w:t>
      </w:r>
    </w:p>
    <w:p>
      <w:pPr>
        <w:pStyle w:val="TextBody"/>
        <w:spacing w:before="120" w:after="0"/>
        <w:jc w:val="left"/>
        <w:rPr>
          <w:rFonts w:ascii="Times New Roman" w:hAnsi="Times New Roman"/>
          <w:sz w:val="20"/>
        </w:rPr>
      </w:pPr>
      <w:r>
        <w:rPr>
          <w:rFonts w:ascii="Times New Roman" w:hAnsi="Times New Roman"/>
          <w:sz w:val="20"/>
        </w:rPr>
        <w:t xml:space="preserve">or online shopping continues to increase and negatively impact consumer traffic at traditional “brick and mortar” retail sites located in regional malls, lifestyle centers, big box shopping centers and entertainment centers. Vacancies have also increased due to the </w:t>
      </w:r>
    </w:p>
    <w:p>
      <w:pPr>
        <w:pStyle w:val="TextBody"/>
        <w:spacing w:before="120" w:after="0"/>
        <w:jc w:val="left"/>
        <w:rPr>
          <w:rFonts w:ascii="Times New Roman" w:hAnsi="Times New Roman"/>
          <w:spacing w:val="0"/>
          <w:sz w:val="20"/>
        </w:rPr>
      </w:pPr>
      <w:r>
        <w:rPr>
          <w:rFonts w:ascii="Times New Roman" w:hAnsi="Times New Roman"/>
          <w:spacing w:val="0"/>
          <w:sz w:val="20"/>
        </w:rPr>
        <w:t>COVID-19</w:t>
      </w:r>
    </w:p>
    <w:p>
      <w:pPr>
        <w:pStyle w:val="TextBody"/>
        <w:spacing w:before="120" w:after="0"/>
        <w:jc w:val="left"/>
        <w:rPr>
          <w:rFonts w:ascii="Times New Roman" w:hAnsi="Times New Roman"/>
          <w:sz w:val="20"/>
        </w:rPr>
      </w:pPr>
      <w:r>
        <w:rPr>
          <w:rFonts w:ascii="Times New Roman" w:hAnsi="Times New Roman"/>
          <w:sz w:val="20"/>
        </w:rPr>
        <w:t xml:space="preserve">pandemic. A decline in development or closures of businesses in these settings or a decline in visitors to retail areas near our locations could negatively affect our sales. In addition, desirable locations for the relocation of existing locations may not be available at an acceptable cost, due in part to the inability to easily terminate a long-term lease.     </w:t>
      </w:r>
    </w:p>
    <w:p>
      <w:pPr>
        <w:pStyle w:val="TextBody"/>
        <w:spacing w:before="240" w:after="0"/>
        <w:jc w:val="left"/>
        <w:rPr>
          <w:rFonts w:ascii="Times New Roman" w:hAnsi="Times New Roman"/>
          <w:sz w:val="20"/>
        </w:rPr>
      </w:pPr>
      <w:r>
        <w:rPr>
          <w:rFonts w:ascii="Times New Roman" w:hAnsi="Times New Roman"/>
          <w:sz w:val="20"/>
        </w:rPr>
        <w:t xml:space="preserve">Consumers have continually changing health or dietary preferences. As a result, we are challenged to evolve our food and beverage menu offerings to appeal to these changing customer preferences, while maintaining our brand character and retaining popular menu items. New information or changes in dietary, nutritional, allergen or health guidelines or environmental or sustainability concerns, whether issued by governmental agencies, academic studies, advocacy organizations or similar groups, may cause some groups of consumers to select foods other than those that are offered by our store. Additionally, it is unclear currently if the </w:t>
      </w:r>
    </w:p>
    <w:p>
      <w:pPr>
        <w:pStyle w:val="TextBody"/>
        <w:spacing w:before="240" w:after="0"/>
        <w:jc w:val="left"/>
        <w:rPr>
          <w:rFonts w:ascii="Times New Roman" w:hAnsi="Times New Roman"/>
          <w:spacing w:val="0"/>
          <w:sz w:val="20"/>
        </w:rPr>
      </w:pPr>
      <w:r>
        <w:rPr>
          <w:rFonts w:ascii="Times New Roman" w:hAnsi="Times New Roman"/>
          <w:spacing w:val="0"/>
          <w:sz w:val="20"/>
        </w:rPr>
        <w:t>COVID-19</w:t>
      </w:r>
    </w:p>
    <w:p>
      <w:pPr>
        <w:pStyle w:val="TextBody"/>
        <w:spacing w:before="240" w:after="0"/>
        <w:jc w:val="left"/>
        <w:rPr>
          <w:rFonts w:ascii="Times New Roman" w:hAnsi="Times New Roman"/>
          <w:sz w:val="20"/>
        </w:rPr>
      </w:pPr>
      <w:r>
        <w:rPr>
          <w:rFonts w:ascii="Times New Roman" w:hAnsi="Times New Roman"/>
          <w:sz w:val="20"/>
        </w:rPr>
        <w:t xml:space="preserve">pandemic may have a lasting impact on consumer demand. If we fail to anticipate changing trends or other consumer preferences, our business, financial condition and results of operations would be adversely affected. </w:t>
      </w:r>
    </w:p>
    <w:p>
      <w:pPr>
        <w:pStyle w:val="TextBody"/>
        <w:spacing w:before="240" w:after="0"/>
        <w:jc w:val="left"/>
        <w:rPr>
          <w:rFonts w:ascii="Times New Roman" w:hAnsi="Times New Roman"/>
          <w:spacing w:val="0"/>
          <w:sz w:val="20"/>
        </w:rPr>
      </w:pPr>
      <w:r>
        <w:rPr>
          <w:rFonts w:ascii="Times New Roman" w:hAnsi="Times New Roman"/>
          <w:spacing w:val="0"/>
          <w:sz w:val="20"/>
        </w:rPr>
        <w:t>Advances in technologies or certain changes in consumer behavior driven by such technologies could have a negative effect on our business. Technology and consumer offerings continue to develop, and we expect new or enhanced technologies and consumer offerings will be available in the future. As part of our marketing efforts, we use a variety of digital platforms including search engines, mobile, online videos and social media platforms such as Facebook</w:t>
      </w:r>
    </w:p>
    <w:p>
      <w:pPr>
        <w:pStyle w:val="TextBody"/>
        <w:spacing w:before="240" w:after="0"/>
        <w:jc w:val="left"/>
        <w:rPr>
          <w:rFonts w:ascii="Times New Roman" w:hAnsi="Times New Roman"/>
          <w:spacing w:val="0"/>
          <w:sz w:val="14"/>
        </w:rPr>
      </w:pPr>
      <w:r>
        <w:rPr>
          <w:rFonts w:ascii="Times New Roman" w:hAnsi="Times New Roman"/>
          <w:spacing w:val="0"/>
          <w:sz w:val="14"/>
        </w:rPr>
        <w:t>®</w:t>
      </w:r>
    </w:p>
    <w:p>
      <w:pPr>
        <w:pStyle w:val="TextBody"/>
        <w:spacing w:before="240" w:after="0"/>
        <w:jc w:val="left"/>
        <w:rPr>
          <w:rFonts w:ascii="Times New Roman" w:hAnsi="Times New Roman"/>
          <w:spacing w:val="0"/>
          <w:sz w:val="20"/>
        </w:rPr>
      </w:pPr>
      <w:r>
        <w:rPr>
          <w:rFonts w:ascii="Times New Roman" w:hAnsi="Times New Roman"/>
          <w:spacing w:val="0"/>
          <w:sz w:val="20"/>
        </w:rPr>
        <w:t>, Twitter</w:t>
      </w:r>
    </w:p>
    <w:p>
      <w:pPr>
        <w:pStyle w:val="TextBody"/>
        <w:spacing w:before="240" w:after="0"/>
        <w:jc w:val="left"/>
        <w:rPr>
          <w:rFonts w:ascii="Times New Roman" w:hAnsi="Times New Roman"/>
          <w:spacing w:val="0"/>
          <w:sz w:val="14"/>
        </w:rPr>
      </w:pPr>
      <w:r>
        <w:rPr>
          <w:rFonts w:ascii="Times New Roman" w:hAnsi="Times New Roman"/>
          <w:spacing w:val="0"/>
          <w:sz w:val="14"/>
        </w:rPr>
        <w:t>®</w:t>
      </w:r>
    </w:p>
    <w:p>
      <w:pPr>
        <w:pStyle w:val="TextBody"/>
        <w:spacing w:before="240" w:after="0"/>
        <w:jc w:val="left"/>
        <w:rPr>
          <w:rFonts w:ascii="Times New Roman" w:hAnsi="Times New Roman"/>
          <w:spacing w:val="0"/>
          <w:sz w:val="20"/>
        </w:rPr>
      </w:pPr>
      <w:r>
        <w:rPr>
          <w:rFonts w:ascii="Times New Roman" w:hAnsi="Times New Roman"/>
          <w:spacing w:val="0"/>
          <w:sz w:val="20"/>
        </w:rPr>
        <w:t>and Instagram</w:t>
      </w:r>
    </w:p>
    <w:p>
      <w:pPr>
        <w:pStyle w:val="TextBody"/>
        <w:spacing w:before="240" w:after="0"/>
        <w:jc w:val="left"/>
        <w:rPr>
          <w:rFonts w:ascii="Times New Roman" w:hAnsi="Times New Roman"/>
          <w:spacing w:val="0"/>
          <w:sz w:val="14"/>
        </w:rPr>
      </w:pPr>
      <w:r>
        <w:rPr>
          <w:rFonts w:ascii="Times New Roman" w:hAnsi="Times New Roman"/>
          <w:spacing w:val="0"/>
          <w:sz w:val="14"/>
        </w:rPr>
        <w:t>®</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to attract and retain customers. We also test new technology platforms to improve our level of digital engagement with our customers and employees to help strengthen our marketing and related consumer analytics capabilities. These initiatives may not prove to be successful and may result in expenses incurred without the benefit of higher revenues or increased engagement. </w:t>
      </w:r>
    </w:p>
    <w:p>
      <w:pPr>
        <w:pStyle w:val="TextBody"/>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We may not be able to compete favorably in the highly competitive </w:t>
      </w:r>
    </w:p>
    <w:p>
      <w:pPr>
        <w:pStyle w:val="TextBody"/>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out-of-home</w:t>
      </w:r>
    </w:p>
    <w:p>
      <w:pPr>
        <w:pStyle w:val="TextBody"/>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and home-based entertainment and restaurant markets, which could have a material adverse effect on our business, results of operations or financial condition. </w:t>
      </w:r>
    </w:p>
    <w:p>
      <w:pPr>
        <w:pStyle w:val="TextBody"/>
        <w:spacing w:before="120" w:after="0"/>
        <w:jc w:val="left"/>
        <w:rPr>
          <w:rFonts w:ascii="Times New Roman" w:hAnsi="Times New Roman"/>
          <w:sz w:val="20"/>
        </w:rPr>
      </w:pPr>
      <w:r>
        <w:rPr>
          <w:rFonts w:ascii="Times New Roman" w:hAnsi="Times New Roman"/>
          <w:sz w:val="20"/>
        </w:rPr>
        <w:t xml:space="preserve">The </w:t>
      </w:r>
    </w:p>
    <w:p>
      <w:pPr>
        <w:pStyle w:val="TextBody"/>
        <w:spacing w:before="120" w:after="0"/>
        <w:jc w:val="left"/>
        <w:rPr>
          <w:rFonts w:ascii="Times New Roman" w:hAnsi="Times New Roman"/>
          <w:spacing w:val="0"/>
          <w:sz w:val="20"/>
        </w:rPr>
      </w:pPr>
      <w:r>
        <w:rPr>
          <w:rFonts w:ascii="Times New Roman" w:hAnsi="Times New Roman"/>
          <w:spacing w:val="0"/>
          <w:sz w:val="20"/>
        </w:rPr>
        <w:t>out-of-home</w:t>
      </w:r>
    </w:p>
    <w:p>
      <w:pPr>
        <w:pStyle w:val="TextBody"/>
        <w:spacing w:before="120" w:after="0"/>
        <w:jc w:val="left"/>
        <w:rPr>
          <w:rFonts w:ascii="Times New Roman" w:hAnsi="Times New Roman"/>
          <w:sz w:val="20"/>
        </w:rPr>
      </w:pPr>
      <w:r>
        <w:rPr>
          <w:rFonts w:ascii="Times New Roman" w:hAnsi="Times New Roman"/>
          <w:sz w:val="20"/>
        </w:rPr>
        <w:t xml:space="preserve">entertainment market is highly competitive. We compete for customers’ discretionary entertainment dollars with providers of </w:t>
      </w:r>
    </w:p>
    <w:p>
      <w:pPr>
        <w:pStyle w:val="TextBody"/>
        <w:spacing w:before="120" w:after="0"/>
        <w:jc w:val="left"/>
        <w:rPr>
          <w:rFonts w:ascii="Times New Roman" w:hAnsi="Times New Roman"/>
          <w:spacing w:val="0"/>
          <w:sz w:val="20"/>
        </w:rPr>
      </w:pPr>
      <w:r>
        <w:rPr>
          <w:rFonts w:ascii="Times New Roman" w:hAnsi="Times New Roman"/>
          <w:spacing w:val="0"/>
          <w:sz w:val="20"/>
        </w:rPr>
        <w:t>out-of-home</w:t>
      </w:r>
    </w:p>
    <w:p>
      <w:pPr>
        <w:pStyle w:val="TextBody"/>
        <w:spacing w:before="120" w:after="0"/>
        <w:jc w:val="left"/>
        <w:rPr>
          <w:rFonts w:ascii="Times New Roman" w:hAnsi="Times New Roman"/>
          <w:sz w:val="20"/>
        </w:rPr>
      </w:pPr>
      <w:r>
        <w:rPr>
          <w:rFonts w:ascii="Times New Roman" w:hAnsi="Times New Roman"/>
          <w:sz w:val="20"/>
        </w:rPr>
        <w:t xml:space="preserve">entertainment, including localized attraction facilities such as movie theatres, sporting events, bowling alleys, sports activity centers, arcades and entertainment centers, nightclubs, and restaurants as well as theme parks. Many of the entities operating these businesses are larger and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16 </w:t>
      </w:r>
    </w:p>
    <w:p>
      <w:pPr>
        <w:pStyle w:val="HorizontalLine"/>
        <w:rPr/>
      </w:pPr>
      <w:r>
        <w:rPr/>
      </w:r>
    </w:p>
    <w:p>
      <w:pPr>
        <w:pStyle w:val="TextBody"/>
        <w:spacing w:before="0" w:after="0"/>
        <w:rPr/>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have significantly greater financial resources, a greater number of stores, have been in business longer, have greater name recognition and are better established in the markets where our stores are located or are planned to be located. As a result, they may be able to invest greater resources than we can in attracting customers and succeed in attracting customers who would otherwise come to our stores. The legalization of casino gambling in geographic areas near any current or future store and the expanded availability of online sports betting could also have a material adverse effect on our business and financial condition. We also face competition from local, regional, and national establishments that offer similar entertainment experiences to ours and restaurants that are highly competitive with respect to price, quality of service, location, ambience and type and quality of food. We also face competition from increasingly sophisticated home-based forms of entertainment, such as internet and video gaming and home movie streaming and delivery. Our failure to compete favorably in the competitive </w:t>
      </w:r>
    </w:p>
    <w:p>
      <w:pPr>
        <w:pStyle w:val="TextBody"/>
        <w:spacing w:before="0" w:after="0"/>
        <w:jc w:val="left"/>
        <w:rPr>
          <w:rFonts w:ascii="Times New Roman" w:hAnsi="Times New Roman"/>
          <w:spacing w:val="0"/>
          <w:sz w:val="20"/>
        </w:rPr>
      </w:pPr>
      <w:r>
        <w:rPr>
          <w:rFonts w:ascii="Times New Roman" w:hAnsi="Times New Roman"/>
          <w:spacing w:val="0"/>
          <w:sz w:val="20"/>
        </w:rPr>
        <w:t>out-of-home</w:t>
      </w:r>
    </w:p>
    <w:p>
      <w:pPr>
        <w:pStyle w:val="TextBody"/>
        <w:spacing w:before="0" w:after="0"/>
        <w:jc w:val="left"/>
        <w:rPr>
          <w:rFonts w:ascii="Times New Roman" w:hAnsi="Times New Roman"/>
          <w:sz w:val="20"/>
        </w:rPr>
      </w:pPr>
      <w:r>
        <w:rPr>
          <w:rFonts w:ascii="Times New Roman" w:hAnsi="Times New Roman"/>
          <w:sz w:val="20"/>
        </w:rPr>
        <w:t xml:space="preserve">and home-based entertainment and restaurant markets could have a material adverse effect on our business, results of operations and financial condition. </w:t>
      </w:r>
    </w:p>
    <w:p>
      <w:pPr>
        <w:pStyle w:val="TextBody"/>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Unfavorable publicity or a failure to respond effectively to adverse publicity, could harm our business. </w:t>
      </w:r>
    </w:p>
    <w:p>
      <w:pPr>
        <w:pStyle w:val="TextBody"/>
        <w:spacing w:before="120" w:after="0"/>
        <w:jc w:val="left"/>
        <w:rPr>
          <w:rFonts w:ascii="Times New Roman" w:hAnsi="Times New Roman"/>
          <w:sz w:val="20"/>
        </w:rPr>
      </w:pPr>
      <w:r>
        <w:rPr>
          <w:rFonts w:ascii="Times New Roman" w:hAnsi="Times New Roman"/>
          <w:sz w:val="20"/>
        </w:rPr>
        <w:t xml:space="preserve">Our brand and our reputation are among our most important assets. Our ability to attract and retain customers depends, in part, upon the external perception of our Company, the quality of our food service and facilities and our integrity. Multi-store businesses, such as ours, can be adversely affected by unfavorable publicity resulting from poor food quality, food safety concerns, flu or other virus outbreaks and other public health concerns stemming from one or a limited number of our stores. While we dedicate substantial resources and provide training to ensure the safety and quality of the food we serve, these risks cannot be eliminated. Additionally, we rely on our network of suppliers to properly handle, store, and transport our ingredients for delivery to our stores. Any failure by our suppliers, or their suppliers, could cause our ingredients to be contaminated, which could be difficult to detect and put the safety of our food in jeopardy. The risk of food-borne illness also may increase whenever our menu items are served outside of our control, such as by third-party food delivery services or customer </w:t>
      </w:r>
    </w:p>
    <w:p>
      <w:pPr>
        <w:pStyle w:val="TextBody"/>
        <w:spacing w:before="120" w:after="0"/>
        <w:jc w:val="left"/>
        <w:rPr>
          <w:rFonts w:ascii="Times New Roman" w:hAnsi="Times New Roman"/>
          <w:spacing w:val="0"/>
          <w:sz w:val="20"/>
        </w:rPr>
      </w:pPr>
      <w:r>
        <w:rPr>
          <w:rFonts w:ascii="Times New Roman" w:hAnsi="Times New Roman"/>
          <w:spacing w:val="0"/>
          <w:sz w:val="20"/>
        </w:rPr>
        <w:t>take-out.</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Negative publicity may also result from crime incidents, data privacy breaches, scandals involving our employees or operational problems at our stores. Regardless of whether the allegations or complaints are valid, unfavorable publicity related to one or more of our stores could affect public perception of the entire brand. Even incidents at similar businesses such as restaurants, our competitors, or in the supply chain generally could result in negative publicity that could indirectly harm our brand. If one or more of our stores were the subject of unfavorable publicity and we are unable to quickly and effectively respond to such reports, our overall brand could be adversely affected, which could have a material adverse effect on our business, results of operations and financial condition.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There has been a significant increase in the use of social media and similar platforms, including weblogs (blogs), social media websites and other forms of Internet-based communications that allow individuals access to a broad audience of consumers and other interested persons. Consumers value readily available information concerning goods and services that they have or plan to purchase and may act on such information without further investigation or authentication. Many social media platforms immediately publish the content their subscribers and participants post, often without filters or checks on accuracy of the content posted. The opportunity exists for dissemination of information, including inaccurate information, to spread quickly. Inaccurate or adverse information concerning our Company may be posted on such platforms at any time. The harm may be immediate without affording us an opportunity for redress or correction. Such platforms also may be used for dissemination of trade secret information, compromising valuable company assets. In summary, the dissemination of information via social media and similar platforms may harm our business, prospects, financial condition, and results of operations, regardless of the information’s accuracy. The inappropriate use of social media vehicles by our customers or employees could increase our costs, lead to litigation or result in negative publicity that could damage our reputation.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Further, if we are not effective in addressing social and environmental responsibility matters or achieving relevant sustainability goals, consumer trust in our brand may suffer. Consumer demand for our products and our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17 </w:t>
      </w:r>
    </w:p>
    <w:p>
      <w:pPr>
        <w:pStyle w:val="HorizontalLine"/>
        <w:rPr/>
      </w:pPr>
      <w:r>
        <w:rPr/>
      </w:r>
    </w:p>
    <w:p>
      <w:pPr>
        <w:pStyle w:val="TextBody"/>
        <w:spacing w:before="0" w:after="0"/>
        <w:rPr/>
      </w:pPr>
      <w:hyperlink w:anchor="toc">
        <w:r>
          <w:rPr>
            <w:rStyle w:val="InternetLink"/>
            <w:b/>
            <w:sz w:val="20"/>
          </w:rPr>
          <w:t>Table of Contents</w:t>
        </w:r>
      </w:hyperlink>
    </w:p>
    <w:p>
      <w:pPr>
        <w:pStyle w:val="TextBody"/>
        <w:spacing w:before="0" w:after="0"/>
        <w:jc w:val="left"/>
        <w:rPr>
          <w:rFonts w:ascii="Times New Roman" w:hAnsi="Times New Roman"/>
          <w:spacing w:val="0"/>
          <w:sz w:val="20"/>
        </w:rPr>
      </w:pPr>
      <w:r>
        <w:rPr>
          <w:rFonts w:ascii="Times New Roman" w:hAnsi="Times New Roman"/>
          <w:spacing w:val="0"/>
          <w:sz w:val="20"/>
        </w:rPr>
        <w:t xml:space="preserve">brand value could diminish significantly if any such incidents or other matters erode consumer confidence in us or our products, which would likely result in lower revenues. </w:t>
      </w:r>
    </w:p>
    <w:p>
      <w:pPr>
        <w:pStyle w:val="TextBody"/>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We are subject to risks associated with leasing space subject to long-term, </w:t>
      </w:r>
    </w:p>
    <w:p>
      <w:pPr>
        <w:pStyle w:val="TextBody"/>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non-cancelable</w:t>
      </w:r>
    </w:p>
    <w:p>
      <w:pPr>
        <w:pStyle w:val="TextBody"/>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leases.     </w:t>
      </w:r>
    </w:p>
    <w:p>
      <w:pPr>
        <w:pStyle w:val="TextBody"/>
        <w:spacing w:before="120" w:after="0"/>
        <w:jc w:val="left"/>
        <w:rPr>
          <w:rFonts w:ascii="Times New Roman" w:hAnsi="Times New Roman"/>
          <w:sz w:val="20"/>
        </w:rPr>
      </w:pPr>
      <w:r>
        <w:rPr>
          <w:rFonts w:ascii="Times New Roman" w:hAnsi="Times New Roman"/>
          <w:sz w:val="20"/>
        </w:rPr>
        <w:t xml:space="preserve">We typically do not own real property for long periods. Payments under our </w:t>
      </w:r>
    </w:p>
    <w:p>
      <w:pPr>
        <w:pStyle w:val="TextBody"/>
        <w:spacing w:before="120" w:after="0"/>
        <w:jc w:val="left"/>
        <w:rPr>
          <w:rFonts w:ascii="Times New Roman" w:hAnsi="Times New Roman"/>
          <w:spacing w:val="0"/>
          <w:sz w:val="20"/>
        </w:rPr>
      </w:pPr>
      <w:r>
        <w:rPr>
          <w:rFonts w:ascii="Times New Roman" w:hAnsi="Times New Roman"/>
          <w:spacing w:val="0"/>
          <w:sz w:val="20"/>
        </w:rPr>
        <w:t>non-cancelable,</w:t>
      </w:r>
    </w:p>
    <w:p>
      <w:pPr>
        <w:pStyle w:val="TextBody"/>
        <w:spacing w:before="120" w:after="0"/>
        <w:jc w:val="left"/>
        <w:rPr>
          <w:rFonts w:ascii="Times New Roman" w:hAnsi="Times New Roman"/>
          <w:sz w:val="20"/>
        </w:rPr>
      </w:pPr>
      <w:r>
        <w:rPr>
          <w:rFonts w:ascii="Times New Roman" w:hAnsi="Times New Roman"/>
          <w:sz w:val="20"/>
        </w:rPr>
        <w:t xml:space="preserve">long-term operating leases account for a significant portion of our operating expenses and we expect the new stores we open in the future will also be leased. The leases typically provide for a base rent plus additional rent based on a percentage of the revenue generated by the stores on the leased premises once certain thresholds are met. We generally cannot cancel these leases without substantial economic penalty. If an existing or future store is not profitable, and we decide to close it, we may nonetheless be committed to perform our obligation under the applicable lease, including, among other things, paying the base rent for the remainder of the lease term. We depend on cash flow from operations to pay our lease obligations. If our business does not generate adequate cash flow from operating activities and sufficient funds are not otherwise available to us from borrowings under our existing credit facility, we may not be able to service our operating lease obligations, grow our business, respond to competitive challenges or fund other liquidity and capital needs, all of which could have a material adverse effect on us.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In addition, as each of our leases expires, we may choose not to renew, or may not be able to renew, such existing leases if the capital investment required to maintain the stores at the leased locations is not justified by the return required on the investment. If we are not able to renew the leases at rents that allow such stores to remain profitable as their terms expire, the number of such stores may decrease, resulting in lower revenue from operations, or we may relocate a store, which could subject us to construction and other costs and risks, and in either case, could have a material adverse effect on our business, results of operations and financial condition. </w:t>
      </w:r>
    </w:p>
    <w:p>
      <w:pPr>
        <w:pStyle w:val="TextBody"/>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Our financial performance and the ability to successfully implement our strategic direction could be adversely affected if we fail to retain, or effectively respond, to a loss of key management.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Our future success is substantially supported by the contributions and abilities of senior management, including key executives and other leadership team members. Changes in senior management could expose us to significant changes in strategic direction and initiatives. A failure to maintain appropriate organizational capacity and capability to support leadership excellence or a loss of key skill sets could jeopardize our ability to meet our business performance expectations and growth targets. Although we have employment agreements with all members of senior management, we cannot prevent members of senior management from terminating their employment with us. Losing the services of members of senior management could materially harm our business until a suitable replacement is found, and such replacement may not have equal experience and capabilities. </w:t>
      </w:r>
    </w:p>
    <w:p>
      <w:pPr>
        <w:pStyle w:val="TextBody"/>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We face risks related to our substantial indebtedness and limitations on future sources of liquidity.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Our substantial indebtedness could have important consequences to us, including: </w:t>
      </w:r>
    </w:p>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making it more difficult for us to satisfy our obligations with respect to our debt, and any failure to comply with the obligations under our debt instruments, including restrictive covenants, could result in an event of default under the agreements governing our indebtedness increasing our vulnerability to general economic and industry conditions, including as a result of disruption caused by the global </w:t>
            </w:r>
          </w:p>
          <w:p>
            <w:pPr>
              <w:pStyle w:val="TableContents"/>
              <w:spacing w:before="0" w:after="0"/>
              <w:jc w:val="left"/>
              <w:rPr>
                <w:rFonts w:ascii="Times New Roman" w:hAnsi="Times New Roman"/>
                <w:spacing w:val="0"/>
                <w:sz w:val="20"/>
              </w:rPr>
            </w:pPr>
            <w:r>
              <w:rPr>
                <w:rFonts w:ascii="Times New Roman" w:hAnsi="Times New Roman"/>
                <w:spacing w:val="0"/>
                <w:sz w:val="20"/>
              </w:rPr>
              <w:t>COVID-19</w:t>
            </w:r>
          </w:p>
          <w:p>
            <w:pPr>
              <w:pStyle w:val="TableContents"/>
              <w:spacing w:before="0" w:after="0"/>
              <w:jc w:val="left"/>
              <w:rPr>
                <w:rFonts w:ascii="Times New Roman" w:hAnsi="Times New Roman"/>
                <w:sz w:val="20"/>
              </w:rPr>
            </w:pPr>
            <w:r>
              <w:rPr>
                <w:rFonts w:ascii="Times New Roman" w:hAnsi="Times New Roman"/>
                <w:sz w:val="20"/>
              </w:rPr>
              <w:t xml:space="preserve">pandemic; </w:t>
            </w:r>
          </w:p>
        </w:tc>
      </w:tr>
    </w:tbl>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requiring a substantial portion of our cash flow from operations to be dedicated to the payment of obligations with respect to our debt, thereby reducing our ability to use our cash flow to fund our operations, lease payments, capital expenditures, selling and marketing efforts, product development, future business opportunities and other purposes; </w:t>
            </w:r>
          </w:p>
        </w:tc>
      </w:tr>
    </w:tbl>
    <w:p>
      <w:pPr>
        <w:pStyle w:val="TextBody"/>
        <w:spacing w:before="0" w:after="0"/>
        <w:jc w:val="left"/>
        <w:rPr>
          <w:spacing w:val="0"/>
        </w:rPr>
      </w:pPr>
      <w:r>
        <w:rPr>
          <w:spacing w:val="0"/>
        </w:rPr>
        <w:t> </w:t>
      </w:r>
    </w:p>
    <w:tbl>
      <w:tblPr>
        <w:tblW w:w="8065" w:type="dxa"/>
        <w:jc w:val="left"/>
        <w:tblInd w:w="0" w:type="dxa"/>
        <w:tblCellMar>
          <w:top w:w="0" w:type="dxa"/>
          <w:left w:w="0" w:type="dxa"/>
          <w:bottom w:w="0" w:type="dxa"/>
          <w:right w:w="0" w:type="dxa"/>
        </w:tblCellMar>
      </w:tblPr>
      <w:tblGrid>
        <w:gridCol w:w="75"/>
        <w:gridCol w:w="110"/>
        <w:gridCol w:w="60"/>
        <w:gridCol w:w="782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782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exposing us to the risk of increased interest rates as some of our borrowings are at variable rates; </w:t>
            </w:r>
          </w:p>
        </w:tc>
      </w:tr>
    </w:tbl>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18 </w:t>
      </w:r>
    </w:p>
    <w:p>
      <w:pPr>
        <w:pStyle w:val="HorizontalLine"/>
        <w:rPr/>
      </w:pPr>
      <w:r>
        <w:rPr/>
      </w:r>
    </w:p>
    <w:p>
      <w:pPr>
        <w:pStyle w:val="TextBody"/>
        <w:spacing w:before="0" w:after="0"/>
        <w:rPr/>
      </w:pPr>
      <w:hyperlink w:anchor="toc">
        <w:r>
          <w:rPr>
            <w:rStyle w:val="InternetLink"/>
            <w:b/>
            <w:sz w:val="20"/>
          </w:rPr>
          <w:t>Table of Contents</w:t>
        </w:r>
      </w:hyperlink>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limiting our ability to obtain additional financing for working capital, capital expenditures, product development, debt service requirements, strategic acquisitions, and general corporate or other purposes; and </w:t>
            </w:r>
          </w:p>
        </w:tc>
      </w:tr>
    </w:tbl>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limiting our ability to plan for, or adjust to, changing market conditions and placing us at a competitive disadvantage compared to our competitors who may be less highly leveraged. </w:t>
            </w:r>
          </w:p>
        </w:tc>
      </w:tr>
    </w:tbl>
    <w:p>
      <w:pPr>
        <w:pStyle w:val="TextBody"/>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Covenants in our debt agreements restrict our business and could limit our ability to implement our business plan.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The credit facility and the indenture governing the senior secured notes contain covenants that may restrict our ability to implement our business plan, finance future operations, respond to changing business and economic conditions, secure additional financing, and engage in opportunistic transactions, such as strategic acquisitions. In addition, if we fail to satisfy the covenants contained in the credit facility, our ability to borrow under the revolving credit loans portion of the credit facility may be restricted. The credit facility and the indenture governing the senior secured notes include covenants restricting, among other things, our ability to do the following under certain circumstances: </w:t>
      </w:r>
    </w:p>
    <w:p>
      <w:pPr>
        <w:pStyle w:val="TextBody"/>
        <w:spacing w:before="0" w:after="0"/>
        <w:jc w:val="left"/>
        <w:rPr>
          <w:spacing w:val="0"/>
        </w:rPr>
      </w:pPr>
      <w:r>
        <w:rPr>
          <w:spacing w:val="0"/>
        </w:rPr>
        <w:t> </w:t>
      </w:r>
    </w:p>
    <w:tbl>
      <w:tblPr>
        <w:tblW w:w="7585" w:type="dxa"/>
        <w:jc w:val="left"/>
        <w:tblInd w:w="0" w:type="dxa"/>
        <w:tblCellMar>
          <w:top w:w="0" w:type="dxa"/>
          <w:left w:w="0" w:type="dxa"/>
          <w:bottom w:w="0" w:type="dxa"/>
          <w:right w:w="0" w:type="dxa"/>
        </w:tblCellMar>
      </w:tblPr>
      <w:tblGrid>
        <w:gridCol w:w="75"/>
        <w:gridCol w:w="110"/>
        <w:gridCol w:w="60"/>
        <w:gridCol w:w="734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734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incur or guarantee additional indebtedness or issue certain disqualified or preferred stock; </w:t>
            </w:r>
          </w:p>
        </w:tc>
      </w:tr>
    </w:tbl>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pay dividends or make other distributions on, or redeem or purchase any equity interests or make other restricted payments; </w:t>
            </w:r>
          </w:p>
        </w:tc>
      </w:tr>
    </w:tbl>
    <w:p>
      <w:pPr>
        <w:pStyle w:val="TextBody"/>
        <w:spacing w:before="0" w:after="0"/>
        <w:jc w:val="left"/>
        <w:rPr>
          <w:spacing w:val="0"/>
        </w:rPr>
      </w:pPr>
      <w:r>
        <w:rPr>
          <w:spacing w:val="0"/>
        </w:rPr>
        <w:t> </w:t>
      </w:r>
    </w:p>
    <w:tbl>
      <w:tblPr>
        <w:tblW w:w="3685" w:type="dxa"/>
        <w:jc w:val="left"/>
        <w:tblInd w:w="0" w:type="dxa"/>
        <w:tblCellMar>
          <w:top w:w="0" w:type="dxa"/>
          <w:left w:w="0" w:type="dxa"/>
          <w:bottom w:w="0" w:type="dxa"/>
          <w:right w:w="0" w:type="dxa"/>
        </w:tblCellMar>
      </w:tblPr>
      <w:tblGrid>
        <w:gridCol w:w="75"/>
        <w:gridCol w:w="110"/>
        <w:gridCol w:w="60"/>
        <w:gridCol w:w="344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344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make certain acquisitions or investments; </w:t>
            </w:r>
          </w:p>
        </w:tc>
      </w:tr>
    </w:tbl>
    <w:p>
      <w:pPr>
        <w:pStyle w:val="TextBody"/>
        <w:spacing w:before="0" w:after="0"/>
        <w:jc w:val="left"/>
        <w:rPr>
          <w:spacing w:val="0"/>
        </w:rPr>
      </w:pPr>
      <w:r>
        <w:rPr>
          <w:spacing w:val="0"/>
        </w:rPr>
        <w:t> </w:t>
      </w:r>
    </w:p>
    <w:tbl>
      <w:tblPr>
        <w:tblW w:w="1975" w:type="dxa"/>
        <w:jc w:val="left"/>
        <w:tblInd w:w="0" w:type="dxa"/>
        <w:tblCellMar>
          <w:top w:w="0" w:type="dxa"/>
          <w:left w:w="0" w:type="dxa"/>
          <w:bottom w:w="0" w:type="dxa"/>
          <w:right w:w="0" w:type="dxa"/>
        </w:tblCellMar>
      </w:tblPr>
      <w:tblGrid>
        <w:gridCol w:w="75"/>
        <w:gridCol w:w="110"/>
        <w:gridCol w:w="60"/>
        <w:gridCol w:w="173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173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create or incur liens; </w:t>
            </w:r>
          </w:p>
        </w:tc>
      </w:tr>
    </w:tbl>
    <w:p>
      <w:pPr>
        <w:pStyle w:val="TextBody"/>
        <w:spacing w:before="0" w:after="0"/>
        <w:jc w:val="left"/>
        <w:rPr>
          <w:spacing w:val="0"/>
        </w:rPr>
      </w:pPr>
      <w:r>
        <w:rPr>
          <w:spacing w:val="0"/>
        </w:rPr>
        <w:t> </w:t>
      </w:r>
    </w:p>
    <w:tbl>
      <w:tblPr>
        <w:tblW w:w="2035" w:type="dxa"/>
        <w:jc w:val="left"/>
        <w:tblInd w:w="0" w:type="dxa"/>
        <w:tblCellMar>
          <w:top w:w="0" w:type="dxa"/>
          <w:left w:w="0" w:type="dxa"/>
          <w:bottom w:w="0" w:type="dxa"/>
          <w:right w:w="0" w:type="dxa"/>
        </w:tblCellMar>
      </w:tblPr>
      <w:tblGrid>
        <w:gridCol w:w="75"/>
        <w:gridCol w:w="110"/>
        <w:gridCol w:w="60"/>
        <w:gridCol w:w="179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179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transfer or sell assets; </w:t>
            </w:r>
          </w:p>
        </w:tc>
      </w:tr>
    </w:tbl>
    <w:p>
      <w:pPr>
        <w:pStyle w:val="TextBody"/>
        <w:spacing w:before="0" w:after="0"/>
        <w:jc w:val="left"/>
        <w:rPr>
          <w:spacing w:val="0"/>
        </w:rPr>
      </w:pPr>
      <w:r>
        <w:rPr>
          <w:spacing w:val="0"/>
        </w:rPr>
        <w:t> </w:t>
      </w:r>
    </w:p>
    <w:tbl>
      <w:tblPr>
        <w:tblW w:w="8410" w:type="dxa"/>
        <w:jc w:val="left"/>
        <w:tblInd w:w="0" w:type="dxa"/>
        <w:tblCellMar>
          <w:top w:w="0" w:type="dxa"/>
          <w:left w:w="0" w:type="dxa"/>
          <w:bottom w:w="0" w:type="dxa"/>
          <w:right w:w="0" w:type="dxa"/>
        </w:tblCellMar>
      </w:tblPr>
      <w:tblGrid>
        <w:gridCol w:w="75"/>
        <w:gridCol w:w="110"/>
        <w:gridCol w:w="60"/>
        <w:gridCol w:w="816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8165"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incur restrictions on the payment of dividends or other distributions from our restricted subsidiaries; </w:t>
            </w:r>
          </w:p>
        </w:tc>
      </w:tr>
    </w:tbl>
    <w:p>
      <w:pPr>
        <w:pStyle w:val="TextBody"/>
        <w:spacing w:before="0" w:after="0"/>
        <w:jc w:val="left"/>
        <w:rPr>
          <w:spacing w:val="0"/>
        </w:rPr>
      </w:pPr>
      <w:r>
        <w:rPr>
          <w:spacing w:val="0"/>
        </w:rPr>
        <w:t> </w:t>
      </w:r>
    </w:p>
    <w:tbl>
      <w:tblPr>
        <w:tblW w:w="3115" w:type="dxa"/>
        <w:jc w:val="left"/>
        <w:tblInd w:w="0" w:type="dxa"/>
        <w:tblCellMar>
          <w:top w:w="0" w:type="dxa"/>
          <w:left w:w="0" w:type="dxa"/>
          <w:bottom w:w="0" w:type="dxa"/>
          <w:right w:w="0" w:type="dxa"/>
        </w:tblCellMar>
      </w:tblPr>
      <w:tblGrid>
        <w:gridCol w:w="75"/>
        <w:gridCol w:w="110"/>
        <w:gridCol w:w="60"/>
        <w:gridCol w:w="287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287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alter the business that we conduct; </w:t>
            </w:r>
          </w:p>
        </w:tc>
      </w:tr>
    </w:tbl>
    <w:p>
      <w:pPr>
        <w:pStyle w:val="TextBody"/>
        <w:spacing w:before="0" w:after="0"/>
        <w:jc w:val="left"/>
        <w:rPr>
          <w:spacing w:val="0"/>
        </w:rPr>
      </w:pPr>
      <w:r>
        <w:rPr>
          <w:spacing w:val="0"/>
        </w:rPr>
        <w:t> </w:t>
      </w:r>
    </w:p>
    <w:tbl>
      <w:tblPr>
        <w:tblW w:w="3685" w:type="dxa"/>
        <w:jc w:val="left"/>
        <w:tblInd w:w="0" w:type="dxa"/>
        <w:tblCellMar>
          <w:top w:w="0" w:type="dxa"/>
          <w:left w:w="0" w:type="dxa"/>
          <w:bottom w:w="0" w:type="dxa"/>
          <w:right w:w="0" w:type="dxa"/>
        </w:tblCellMar>
      </w:tblPr>
      <w:tblGrid>
        <w:gridCol w:w="75"/>
        <w:gridCol w:w="110"/>
        <w:gridCol w:w="60"/>
        <w:gridCol w:w="344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344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enter into transactions with affiliates; and </w:t>
            </w:r>
          </w:p>
        </w:tc>
      </w:tr>
    </w:tbl>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consummate a merger or consolidation or sell, assign, transfer, lease or otherwise dispose of all or substantially all our assets. </w:t>
            </w:r>
          </w:p>
        </w:tc>
      </w:tr>
    </w:tbl>
    <w:p>
      <w:pPr>
        <w:pStyle w:val="TextBody"/>
        <w:spacing w:before="240" w:after="0"/>
        <w:jc w:val="left"/>
        <w:rPr>
          <w:rFonts w:ascii="Times New Roman" w:hAnsi="Times New Roman"/>
          <w:spacing w:val="0"/>
          <w:sz w:val="20"/>
        </w:rPr>
      </w:pPr>
      <w:r>
        <w:rPr>
          <w:rFonts w:ascii="Times New Roman" w:hAnsi="Times New Roman"/>
          <w:spacing w:val="0"/>
          <w:sz w:val="20"/>
        </w:rPr>
        <w:t xml:space="preserve">The covenants in the credit facility are generally more restrictive than the covenants in the indenture governing the senior secured notes and place certain limitations on our ability to: incur additional indebtedness, make loans or advances to subsidiaries and other entities, pay dividends, acquire other businesses or sell assets. In addition, other than during the second amendment suspension period, our credit facility requires us to comply with a total leverage ratio that is no greater than the applicable financial covenant level and a fixed charge ratio that is no greater than 1.25:1.00, which are each tested as of the last day of each fiscal quarter. During the second amendment suspension period, we are required to maintain minimum liquidity of $150.0 million. </w:t>
      </w:r>
    </w:p>
    <w:p>
      <w:pPr>
        <w:pStyle w:val="TextBody"/>
        <w:spacing w:before="240" w:after="0"/>
        <w:jc w:val="left"/>
        <w:rPr>
          <w:rFonts w:ascii="Times New Roman" w:hAnsi="Times New Roman"/>
          <w:sz w:val="20"/>
        </w:rPr>
      </w:pPr>
      <w:r>
        <w:rPr>
          <w:rFonts w:ascii="Times New Roman" w:hAnsi="Times New Roman"/>
          <w:sz w:val="20"/>
        </w:rPr>
        <w:t xml:space="preserve">Events beyond our control, including the impact of </w:t>
      </w:r>
    </w:p>
    <w:p>
      <w:pPr>
        <w:pStyle w:val="TextBody"/>
        <w:spacing w:before="240" w:after="0"/>
        <w:jc w:val="left"/>
        <w:rPr>
          <w:rFonts w:ascii="Times New Roman" w:hAnsi="Times New Roman"/>
          <w:spacing w:val="0"/>
          <w:sz w:val="20"/>
        </w:rPr>
      </w:pPr>
      <w:r>
        <w:rPr>
          <w:rFonts w:ascii="Times New Roman" w:hAnsi="Times New Roman"/>
          <w:spacing w:val="0"/>
          <w:sz w:val="20"/>
        </w:rPr>
        <w:t>COVID-19,</w:t>
      </w:r>
    </w:p>
    <w:p>
      <w:pPr>
        <w:pStyle w:val="TextBody"/>
        <w:spacing w:before="240" w:after="0"/>
        <w:jc w:val="left"/>
        <w:rPr>
          <w:rFonts w:ascii="Times New Roman" w:hAnsi="Times New Roman"/>
          <w:sz w:val="20"/>
        </w:rPr>
      </w:pPr>
      <w:r>
        <w:rPr>
          <w:rFonts w:ascii="Times New Roman" w:hAnsi="Times New Roman"/>
          <w:sz w:val="20"/>
        </w:rPr>
        <w:t xml:space="preserve">may affect our ability to comply with our covenants, even after the cessation of the second amendment suspension period. If we default under the credit facility or the indenture governing the senior secured notes, because of a covenant breach or otherwise, all outstanding amounts thereunder could become immediately due and payable. We cannot assure you that we will be able to comply with our covenants under the credit facility, or the indenture governing the senior secured notes or that any covenant violations will be waived in the future. Any violation that is not waived could result in an event of default, permitting our lenders to declare outstanding indebtedness and interest thereon due and payable, and permitting the lenders under the revolving credit loans provided under the credit facility to suspend commitments to make any advance, or require any outstanding letters of credit to be collateralized by an interest bearing cash account, any or all of which could have a material adverse effect on our business, financial condition and results of operations. In addition, if we fail to comply with our financial or other covenants under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19 </w:t>
      </w:r>
    </w:p>
    <w:p>
      <w:pPr>
        <w:pStyle w:val="HorizontalLine"/>
        <w:rPr/>
      </w:pPr>
      <w:r>
        <w:rPr/>
      </w:r>
    </w:p>
    <w:p>
      <w:pPr>
        <w:pStyle w:val="TextBody"/>
        <w:spacing w:before="0" w:after="0"/>
        <w:rPr/>
      </w:pPr>
      <w:hyperlink w:anchor="toc">
        <w:r>
          <w:rPr>
            <w:rStyle w:val="InternetLink"/>
            <w:b/>
            <w:sz w:val="20"/>
          </w:rPr>
          <w:t>Table of Contents</w:t>
        </w:r>
      </w:hyperlink>
    </w:p>
    <w:p>
      <w:pPr>
        <w:pStyle w:val="TextBody"/>
        <w:spacing w:before="0" w:after="0"/>
        <w:jc w:val="left"/>
        <w:rPr>
          <w:rFonts w:ascii="Times New Roman" w:hAnsi="Times New Roman"/>
          <w:spacing w:val="0"/>
          <w:sz w:val="20"/>
        </w:rPr>
      </w:pPr>
      <w:r>
        <w:rPr>
          <w:rFonts w:ascii="Times New Roman" w:hAnsi="Times New Roman"/>
          <w:spacing w:val="0"/>
          <w:sz w:val="20"/>
        </w:rPr>
        <w:t xml:space="preserve">the credit facility or the indenture governing the senior secured notes, we may need additional financing to service or extinguish our indebtedness. We may not be able to obtain financing or refinancing on commercially reasonable terms, or at all. We cannot assure you that we would have sufficient funds to repay outstanding amounts under the credit facility or the indenture governing the senior secured notes and any acceleration of amounts due would have a material adverse effect on our liquidity and financial condition. </w:t>
      </w:r>
    </w:p>
    <w:p>
      <w:pPr>
        <w:pStyle w:val="TextBody"/>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The success of our longer-term growth strategy depends in part on our ability to open and operate new stores profitability.     </w:t>
      </w:r>
    </w:p>
    <w:p>
      <w:pPr>
        <w:pStyle w:val="TextBody"/>
        <w:spacing w:before="120" w:after="0"/>
        <w:jc w:val="left"/>
        <w:rPr>
          <w:rFonts w:ascii="Times New Roman" w:hAnsi="Times New Roman"/>
          <w:sz w:val="20"/>
        </w:rPr>
      </w:pPr>
      <w:r>
        <w:rPr>
          <w:rFonts w:ascii="Times New Roman" w:hAnsi="Times New Roman"/>
          <w:sz w:val="20"/>
        </w:rPr>
        <w:t xml:space="preserve">Our ability to timely and efficiently open new stores and to operate these stores on a profitable basis is dependent on numerous factors including quality locations, acceptable lease or purchase agreements, zoning, use and other regulations, our liquidity, staffing needs and training, permitting, customer acceptance, impact on existing stores and financial performance targets. The timing of new store openings may result in significant fluctuations in our quarterly performance. We typically incur significant costs prior to opening for </w:t>
      </w:r>
    </w:p>
    <w:p>
      <w:pPr>
        <w:pStyle w:val="TextBody"/>
        <w:spacing w:before="120" w:after="0"/>
        <w:jc w:val="left"/>
        <w:rPr>
          <w:rFonts w:ascii="Times New Roman" w:hAnsi="Times New Roman"/>
          <w:spacing w:val="0"/>
          <w:sz w:val="20"/>
        </w:rPr>
      </w:pPr>
      <w:r>
        <w:rPr>
          <w:rFonts w:ascii="Times New Roman" w:hAnsi="Times New Roman"/>
          <w:spacing w:val="0"/>
          <w:sz w:val="20"/>
        </w:rPr>
        <w:t>pre-opening</w:t>
      </w:r>
    </w:p>
    <w:p>
      <w:pPr>
        <w:pStyle w:val="TextBody"/>
        <w:spacing w:before="120" w:after="0"/>
        <w:jc w:val="left"/>
        <w:rPr>
          <w:rFonts w:ascii="Times New Roman" w:hAnsi="Times New Roman"/>
          <w:sz w:val="20"/>
        </w:rPr>
      </w:pPr>
      <w:r>
        <w:rPr>
          <w:rFonts w:ascii="Times New Roman" w:hAnsi="Times New Roman"/>
          <w:sz w:val="20"/>
        </w:rPr>
        <w:t xml:space="preserve">and construction and increased labor and operating costs for a newly opened store. Due to these substantial upfront financial requirements to open new stores, the investment risk related to any single store is much larger than that associated with many other restaurant or entertainment venues. </w:t>
      </w:r>
    </w:p>
    <w:p>
      <w:pPr>
        <w:pStyle w:val="TextBody"/>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Risks Related to Information Technology and Cyber Security </w:t>
      </w:r>
    </w:p>
    <w:p>
      <w:pPr>
        <w:pStyle w:val="TextBody"/>
        <w:spacing w:before="12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Information technology system failures or interruptions may impact our ability to effectively operate our business. </w:t>
      </w:r>
    </w:p>
    <w:p>
      <w:pPr>
        <w:pStyle w:val="TextBody"/>
        <w:spacing w:before="120" w:after="0"/>
        <w:jc w:val="left"/>
        <w:rPr>
          <w:rFonts w:ascii="Times New Roman" w:hAnsi="Times New Roman"/>
          <w:sz w:val="20"/>
        </w:rPr>
      </w:pPr>
      <w:r>
        <w:rPr>
          <w:rFonts w:ascii="Times New Roman" w:hAnsi="Times New Roman"/>
          <w:sz w:val="20"/>
        </w:rPr>
        <w:t xml:space="preserve">We rely heavily on various information technology systems, including </w:t>
      </w:r>
    </w:p>
    <w:p>
      <w:pPr>
        <w:pStyle w:val="TextBody"/>
        <w:spacing w:before="120" w:after="0"/>
        <w:jc w:val="left"/>
        <w:rPr>
          <w:rFonts w:ascii="Times New Roman" w:hAnsi="Times New Roman"/>
          <w:spacing w:val="0"/>
          <w:sz w:val="20"/>
        </w:rPr>
      </w:pPr>
      <w:r>
        <w:rPr>
          <w:rFonts w:ascii="Times New Roman" w:hAnsi="Times New Roman"/>
          <w:spacing w:val="0"/>
          <w:sz w:val="20"/>
        </w:rPr>
        <w:t>point-of-sale,</w:t>
      </w:r>
    </w:p>
    <w:p>
      <w:pPr>
        <w:pStyle w:val="TextBody"/>
        <w:spacing w:before="120" w:after="0"/>
        <w:jc w:val="left"/>
        <w:rPr>
          <w:rFonts w:ascii="Times New Roman" w:hAnsi="Times New Roman"/>
          <w:sz w:val="20"/>
        </w:rPr>
      </w:pPr>
      <w:r>
        <w:rPr>
          <w:rFonts w:ascii="Times New Roman" w:hAnsi="Times New Roman"/>
          <w:sz w:val="20"/>
        </w:rPr>
        <w:t xml:space="preserve">kiosk and amusement operations systems in our stores, data centers that process transactions, communication systems and various other software applications used throughout our operations. Some of these systems have been internally developed or we rely on third party providers and platforms for some of these information technology systems and support. Although we have operational safeguards in place, those technology systems and solutions could become vulnerable to damage, disability, or failures due to theft, fire, power outages, telecommunications failure or other catastrophic events. Any failure of these systems could significantly impact our operations. We rely on third-party service providers for certain key elements of our operations including credit card processing, telecommunications, and utilities. Our reliance on systems operated by third parties also present the risk faced by the third party’s business, including the operational, cyber security, and credit risks of those parties. If those systems were to fail or otherwise be unavailable, and we were unable to timely recover, we could experience an interruption in our operations.     </w:t>
      </w:r>
    </w:p>
    <w:p>
      <w:pPr>
        <w:pStyle w:val="TextBody"/>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Cyber security breaches or other privacy or data security incidents that expose confidential customer, personal employee or other material, confidential information that is stored in our information systems or by third parties on our behalf may impact our business.     </w:t>
      </w:r>
    </w:p>
    <w:p>
      <w:pPr>
        <w:pStyle w:val="TextBody"/>
        <w:spacing w:before="120" w:after="0"/>
        <w:jc w:val="left"/>
        <w:rPr>
          <w:rFonts w:ascii="Times New Roman" w:hAnsi="Times New Roman"/>
          <w:sz w:val="20"/>
        </w:rPr>
      </w:pPr>
      <w:r>
        <w:rPr>
          <w:rFonts w:ascii="Times New Roman" w:hAnsi="Times New Roman"/>
          <w:sz w:val="20"/>
        </w:rPr>
        <w:t xml:space="preserve">Many of our information technology systems (and those of our third-party business partners, whether cloud-based or hosted in proprietary servers), including those used for </w:t>
      </w:r>
    </w:p>
    <w:p>
      <w:pPr>
        <w:pStyle w:val="TextBody"/>
        <w:spacing w:before="120" w:after="0"/>
        <w:jc w:val="left"/>
        <w:rPr>
          <w:rFonts w:ascii="Times New Roman" w:hAnsi="Times New Roman"/>
          <w:spacing w:val="0"/>
          <w:sz w:val="20"/>
        </w:rPr>
      </w:pPr>
      <w:r>
        <w:rPr>
          <w:rFonts w:ascii="Times New Roman" w:hAnsi="Times New Roman"/>
          <w:spacing w:val="0"/>
          <w:sz w:val="20"/>
        </w:rPr>
        <w:t>point-of-sale,</w:t>
      </w:r>
    </w:p>
    <w:p>
      <w:pPr>
        <w:pStyle w:val="TextBody"/>
        <w:spacing w:before="120" w:after="0"/>
        <w:jc w:val="left"/>
        <w:rPr>
          <w:rFonts w:ascii="Times New Roman" w:hAnsi="Times New Roman"/>
          <w:sz w:val="20"/>
        </w:rPr>
      </w:pPr>
      <w:r>
        <w:rPr>
          <w:rFonts w:ascii="Times New Roman" w:hAnsi="Times New Roman"/>
          <w:sz w:val="20"/>
        </w:rPr>
        <w:t xml:space="preserve">web and mobile platforms, mobile payment systems and administrative functions, contain personal, financial or other information that is entrusted to us by our customers and team members. Many of our information technology systems also contain proprietary and other confidential information related to our business, such as business plans and initiatives. A cyber incident (generally any intentional or unintentional attack that results in unauthorized access resulting in disruption of systems, corruption of data, theft or exposure of confidential information or intellectual property) that compromises the information of our customers or employees could result in widespread negative publicity, damage to our reputation, a loss of customers, and disruption of our business.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The regulatory environment surrounding information security and privacy is increasingly demanding, with the frequent imposition of new and constantly changing requirements. Compliance with these requirements can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20 </w:t>
      </w:r>
    </w:p>
    <w:p>
      <w:pPr>
        <w:pStyle w:val="HorizontalLine"/>
        <w:rPr/>
      </w:pPr>
      <w:r>
        <w:rPr/>
      </w:r>
    </w:p>
    <w:p>
      <w:pPr>
        <w:pStyle w:val="TextBody"/>
        <w:spacing w:before="0" w:after="0"/>
        <w:rPr/>
      </w:pPr>
      <w:hyperlink w:anchor="toc">
        <w:r>
          <w:rPr>
            <w:rStyle w:val="InternetLink"/>
            <w:b/>
            <w:sz w:val="20"/>
          </w:rPr>
          <w:t>Table of Contents</w:t>
        </w:r>
      </w:hyperlink>
    </w:p>
    <w:p>
      <w:pPr>
        <w:pStyle w:val="TextBody"/>
        <w:spacing w:before="0" w:after="0"/>
        <w:jc w:val="left"/>
        <w:rPr>
          <w:rFonts w:ascii="Times New Roman" w:hAnsi="Times New Roman"/>
          <w:spacing w:val="0"/>
          <w:sz w:val="20"/>
        </w:rPr>
      </w:pPr>
      <w:r>
        <w:rPr>
          <w:rFonts w:ascii="Times New Roman" w:hAnsi="Times New Roman"/>
          <w:spacing w:val="0"/>
          <w:sz w:val="20"/>
        </w:rPr>
        <w:t xml:space="preserve">be costly and time-consuming and the costs could adversely impact our results of operations due to necessary system changes and the development of new administrative processes. The California Consumer Privacy Act of 2018, provides a private right of action for data breaches and requires companies that process information about California residents to make new disclosures to consumers about their data collection, use and sharing practices and allow consumers to opt out of certain data sharing with third parties. Security breaches could also result in a violation of applicable privacy and other laws, and subject us to private consumer, business partner or securities litigation and governmental investigations and proceedings, any of which could result in our exposure to material civil or criminal liability. We are required to maintain the highest level of Payment Card Industry (“PCI”) Data Security Standard compliance at our corporate office and stores. If we do not maintain the required level of PCI compliance, we could be subject to costly fines or additional fees from the card brands that we accept or lose our ability to accept those payment cards. Additionally, an increasing number of government and industry groups have established laws and standards for the protection of personal and health information.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Our existing cyber security policy includes cyber security techniques, tactics, and procedures, including continuous monitoring and detection programs, network protections, annual employee training and awareness and incident response preparedness. In addition, we periodically scan our environment for any vulnerabilities, perform penetration testing and engage third parties to assess effectiveness of our security measures. We utilize a voluntary tool to help manage privacy risk by independently benchmarking our cyber security program to the NIST Cybersecurity Framework, using an independent third party, and we share the results of our annual audit with our Audit Committee. Although we employ security technologies and practices and have taken other steps to try to prevent a breach, there are no assurances that such measures will prevent or detect cyber security breaches, and we may nevertheless not have the resources or technical sophistication to prevent rapidly evolving types of cyberattacks. We maintain a separate insurance policy covering cybersecurity risks and such insurance coverage may, subject to policy terms and conditions, cover certain aspects of cyber risks, but this policy is subject to a retention amount and may not be applicable to a particular incident or otherwise may be insufficient to cover all our losses beyond any retention. Based on recent court rulings, there is uncertainty as to whether traditional commercial general liability policies will be construed to cover the expenses related to cyberattacks and breaches if credit and debit card information is stolen.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We have been and likely will continue to be, the target of cyber and other security threats. In fiscal 2007, there was an external breach of our credit card processing systems, which led to fraudulent credit card activity and resulted in the payment of fines and reimbursements for the fraudulent credit card activity. As part of a settlement with the Federal Trade Commission, we implemented a series of corrective measures to ensure that our computer systems are secure and that our customers’ personal information is protected. If in the future, we experience another security breach, we could become subject to claims, lawsuits or other proceedings for purportedly fraudulent transactions arising out of the theft of credit or debit card information, compromised security and information systems, failure of our employees to comply with applicable laws, the unauthorized acquisition or use of such information by third parties, or other similar claims. In addition, such breach could put us in violation of our settlement agreement with the Federal Trade Commission. </w:t>
      </w:r>
    </w:p>
    <w:p>
      <w:pPr>
        <w:pStyle w:val="TextBody"/>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Risks Related to the Restaurant and Entertainment Industries </w:t>
      </w:r>
    </w:p>
    <w:p>
      <w:pPr>
        <w:pStyle w:val="TextBody"/>
        <w:spacing w:before="12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Our success depends upon our ability to recruit and retain qualified store management and operating personnel while also controlling our labor costs.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We must continue to attract, retain, and motivate qualified management and operating personnel to maintain consistency in our service, hospitality, quality, and atmosphere of our stores, and to also support future growth. Adequate staffing of qualified personnel is a critical factor impacting our customers’ experience in our stores. Qualified management and operating personnel are typically in high demand. Current unemployment subsidies and difficult pandemic-related operating demands are resulting in aggressive competition for talent, wage inflation and pressure to improve benefits and workplace conditions to remain competitive. If we are unable to attract and retain a satisfactory number of qualified management and operating personnel, labor shortages could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21 </w:t>
      </w:r>
    </w:p>
    <w:p>
      <w:pPr>
        <w:pStyle w:val="HorizontalLine"/>
        <w:rPr/>
      </w:pPr>
      <w:r>
        <w:rPr/>
      </w:r>
    </w:p>
    <w:p>
      <w:pPr>
        <w:pStyle w:val="TextBody"/>
        <w:spacing w:before="0" w:after="0"/>
        <w:rPr/>
      </w:pPr>
      <w:hyperlink w:anchor="toc">
        <w:r>
          <w:rPr>
            <w:rStyle w:val="InternetLink"/>
            <w:b/>
            <w:sz w:val="20"/>
          </w:rPr>
          <w:t>Table of Contents</w:t>
        </w:r>
      </w:hyperlink>
    </w:p>
    <w:p>
      <w:pPr>
        <w:pStyle w:val="TextBody"/>
        <w:spacing w:before="0" w:after="0"/>
        <w:jc w:val="left"/>
        <w:rPr>
          <w:rFonts w:ascii="Times New Roman" w:hAnsi="Times New Roman"/>
          <w:spacing w:val="0"/>
          <w:sz w:val="20"/>
        </w:rPr>
      </w:pPr>
      <w:r>
        <w:rPr>
          <w:rFonts w:ascii="Times New Roman" w:hAnsi="Times New Roman"/>
          <w:spacing w:val="0"/>
          <w:sz w:val="20"/>
        </w:rPr>
        <w:t xml:space="preserve">delay the planned openings of new stores or adversely impact our existing stores. Any such delays, material increases in employee turnover rates in existing stores or widespread employee dissatisfaction could have a material adverse effect on our business and results of operations. Competition for qualified employees could require us to pay higher wages, which could result in higher labor costs and could have a material adverse effect on our results of operations. </w:t>
      </w:r>
    </w:p>
    <w:p>
      <w:pPr>
        <w:pStyle w:val="TextBody"/>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Our revenues and operating results may fluctuate significantly due to various risks and unforeseen circumstances, including increases in costs, seasonality, weather, acts of violence or terrorism and other factors outside our control. </w:t>
      </w:r>
    </w:p>
    <w:p>
      <w:pPr>
        <w:pStyle w:val="TextBody"/>
        <w:spacing w:before="120" w:after="0"/>
        <w:jc w:val="left"/>
        <w:rPr>
          <w:rFonts w:ascii="Times New Roman" w:hAnsi="Times New Roman"/>
          <w:sz w:val="20"/>
        </w:rPr>
      </w:pPr>
      <w:r>
        <w:rPr>
          <w:rFonts w:ascii="Times New Roman" w:hAnsi="Times New Roman"/>
          <w:sz w:val="20"/>
        </w:rPr>
        <w:t xml:space="preserve">Certain of the regions in which our stores are located have been, and may in the future be, subject to natural disasters, such as earthquakes, floods, and hurricanes. Depending upon its magnitude, a natural disaster could severely damage our stores, which could adversely affect our business, results of operations or financial condition. Our corporate headquarters, company-owned distribution center, game repair facility and our data center, as well as our backup data facility, are all located in Dallas, Texas. A natural or </w:t>
      </w:r>
    </w:p>
    <w:p>
      <w:pPr>
        <w:pStyle w:val="TextBody"/>
        <w:spacing w:before="120" w:after="0"/>
        <w:jc w:val="left"/>
        <w:rPr>
          <w:rFonts w:ascii="Times New Roman" w:hAnsi="Times New Roman"/>
          <w:spacing w:val="0"/>
          <w:sz w:val="20"/>
        </w:rPr>
      </w:pPr>
      <w:r>
        <w:rPr>
          <w:rFonts w:ascii="Times New Roman" w:hAnsi="Times New Roman"/>
          <w:spacing w:val="0"/>
          <w:sz w:val="20"/>
        </w:rPr>
        <w:t>man-made</w:t>
      </w:r>
    </w:p>
    <w:p>
      <w:pPr>
        <w:pStyle w:val="TextBody"/>
        <w:spacing w:before="120" w:after="0"/>
        <w:jc w:val="left"/>
        <w:rPr>
          <w:rFonts w:ascii="Times New Roman" w:hAnsi="Times New Roman"/>
          <w:sz w:val="20"/>
        </w:rPr>
      </w:pPr>
      <w:r>
        <w:rPr>
          <w:rFonts w:ascii="Times New Roman" w:hAnsi="Times New Roman"/>
          <w:sz w:val="20"/>
        </w:rPr>
        <w:t xml:space="preserve">disaster could significantly impact our ability to provide services and systems to our stores and negatively impact store operations throughout our operations. We currently maintain property and business interruption insurance through the aggregate property policy for each of our stores.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Any act of violence at or threatened against our stores or the centers in which they are located, including active shooter situations and terrorist activities, may result in restricted access to our stores and/or store closures in the short-term and, in the long term, may cause our customers and team members to avoid visiting our stores. Any such situation could adversely impact cash flows and make it more difficult to fully staff our stores, which could materially adversely affect our business. </w:t>
      </w:r>
    </w:p>
    <w:p>
      <w:pPr>
        <w:pStyle w:val="TextBody"/>
        <w:spacing w:before="240" w:after="0"/>
        <w:jc w:val="left"/>
        <w:rPr>
          <w:rFonts w:ascii="Times New Roman" w:hAnsi="Times New Roman"/>
          <w:sz w:val="20"/>
        </w:rPr>
      </w:pPr>
      <w:r>
        <w:rPr>
          <w:rFonts w:ascii="Times New Roman" w:hAnsi="Times New Roman"/>
          <w:sz w:val="20"/>
        </w:rPr>
        <w:t xml:space="preserve">Our operating results may fluctuate significantly due to seasonal factors. Typically, our third quarter, which encompasses the </w:t>
      </w:r>
    </w:p>
    <w:p>
      <w:pPr>
        <w:pStyle w:val="TextBody"/>
        <w:spacing w:before="240" w:after="0"/>
        <w:jc w:val="left"/>
        <w:rPr>
          <w:rFonts w:ascii="Times New Roman" w:hAnsi="Times New Roman"/>
          <w:spacing w:val="0"/>
          <w:sz w:val="20"/>
        </w:rPr>
      </w:pPr>
      <w:r>
        <w:rPr>
          <w:rFonts w:ascii="Times New Roman" w:hAnsi="Times New Roman"/>
          <w:spacing w:val="0"/>
          <w:sz w:val="20"/>
        </w:rPr>
        <w:t>back-to-school</w:t>
      </w:r>
    </w:p>
    <w:p>
      <w:pPr>
        <w:pStyle w:val="TextBody"/>
        <w:spacing w:before="240" w:after="0"/>
        <w:jc w:val="left"/>
        <w:rPr>
          <w:rFonts w:ascii="Times New Roman" w:hAnsi="Times New Roman"/>
          <w:sz w:val="20"/>
        </w:rPr>
      </w:pPr>
      <w:r>
        <w:rPr>
          <w:rFonts w:ascii="Times New Roman" w:hAnsi="Times New Roman"/>
          <w:sz w:val="20"/>
        </w:rPr>
        <w:t xml:space="preserve">fall season, has historically had lower revenues compared to other quarters. Revenues associated with the spring and </w:t>
      </w:r>
    </w:p>
    <w:p>
      <w:pPr>
        <w:pStyle w:val="TextBody"/>
        <w:spacing w:before="240" w:after="0"/>
        <w:jc w:val="left"/>
        <w:rPr>
          <w:rFonts w:ascii="Times New Roman" w:hAnsi="Times New Roman"/>
          <w:spacing w:val="0"/>
          <w:sz w:val="20"/>
        </w:rPr>
      </w:pPr>
      <w:r>
        <w:rPr>
          <w:rFonts w:ascii="Times New Roman" w:hAnsi="Times New Roman"/>
          <w:spacing w:val="0"/>
          <w:sz w:val="20"/>
        </w:rPr>
        <w:t>year-end</w:t>
      </w:r>
    </w:p>
    <w:p>
      <w:pPr>
        <w:pStyle w:val="TextBody"/>
        <w:spacing w:before="240" w:after="0"/>
        <w:jc w:val="left"/>
        <w:rPr>
          <w:rFonts w:ascii="Times New Roman" w:hAnsi="Times New Roman"/>
          <w:sz w:val="20"/>
        </w:rPr>
      </w:pPr>
      <w:r>
        <w:rPr>
          <w:rFonts w:ascii="Times New Roman" w:hAnsi="Times New Roman"/>
          <w:sz w:val="20"/>
        </w:rPr>
        <w:t xml:space="preserve">holidays are typically higher. As a result, factors affecting peak seasons could have a disproportionate effect on our results. For example, the number of days between Thanksgiving and New Year’s Day and the days of the week on which Christmas and New Year’s Eve fall affect the volume of business generated during the December holiday season and can affect our results for the full fiscal year. In addition, unfavorable weather conditions during the winter and spring seasons could have a significant impact on our results. During fiscal 2020, results also fluctuated due to the timing and frequency of temporary closures and operating restrictions due to state and local guidelines imposed due to the </w:t>
      </w:r>
    </w:p>
    <w:p>
      <w:pPr>
        <w:pStyle w:val="TextBody"/>
        <w:spacing w:before="240" w:after="0"/>
        <w:jc w:val="left"/>
        <w:rPr>
          <w:rFonts w:ascii="Times New Roman" w:hAnsi="Times New Roman"/>
          <w:spacing w:val="0"/>
          <w:sz w:val="20"/>
        </w:rPr>
      </w:pPr>
      <w:r>
        <w:rPr>
          <w:rFonts w:ascii="Times New Roman" w:hAnsi="Times New Roman"/>
          <w:spacing w:val="0"/>
          <w:sz w:val="20"/>
        </w:rPr>
        <w:t>COVID-19</w:t>
      </w:r>
    </w:p>
    <w:p>
      <w:pPr>
        <w:pStyle w:val="TextBody"/>
        <w:spacing w:before="240" w:after="0"/>
        <w:jc w:val="left"/>
        <w:rPr>
          <w:rFonts w:ascii="Times New Roman" w:hAnsi="Times New Roman"/>
          <w:sz w:val="20"/>
        </w:rPr>
      </w:pPr>
      <w:r>
        <w:rPr>
          <w:rFonts w:ascii="Times New Roman" w:hAnsi="Times New Roman"/>
          <w:sz w:val="20"/>
        </w:rPr>
        <w:t xml:space="preserve">pandemic. </w:t>
      </w:r>
    </w:p>
    <w:p>
      <w:pPr>
        <w:pStyle w:val="TextBody"/>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Our operations are susceptible to the changes in cost and availability of commodities and other products, which could negatively affect our operating results.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Our profitability depends in part on our ability to anticipate and react to changes in commodity and other product costs. Various factors beyond our control, including adverse weather conditions, governmental regulation and monetary policy, product availability, recalls of food products, disruption of our supplier manufacturing and distribution processes due to public health crises or pandemics, and seasonality, may affect our commodity costs or cause a disruption in our supply chain. In an effort to mitigate some of this risk, we have multiple short-term supply contracts with a limited number of suppliers. If any of these suppliers do not perform adequately or otherwise fail to distribute products or supplies to our stores, we may be unable to replace the suppliers in a short period of time on acceptable terms, which could increase our costs, cause shortages of food and other items at our stores and cause us to remove certain items from our menu. Changes in the price or availability of commodities for which we do not have short-term supply contracts could have a material adverse effect on our profitability. Expiring contracts with our food suppliers could also result in unfavorable renewal terms and therefore increase costs associated with these suppliers or may necessitate negotiations with other suppliers. Other than short-term supply contracts for certain food items, we currently do not engage in futures contracts or other financial risk management strategies with respect to potential price fluctuations in the cost of food and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22 </w:t>
      </w:r>
    </w:p>
    <w:p>
      <w:pPr>
        <w:pStyle w:val="HorizontalLine"/>
        <w:rPr/>
      </w:pPr>
      <w:r>
        <w:rPr/>
      </w:r>
    </w:p>
    <w:p>
      <w:pPr>
        <w:pStyle w:val="TextBody"/>
        <w:spacing w:before="0" w:after="0"/>
        <w:rPr/>
      </w:pPr>
      <w:hyperlink w:anchor="toc">
        <w:r>
          <w:rPr>
            <w:rStyle w:val="InternetLink"/>
            <w:b/>
            <w:sz w:val="20"/>
          </w:rPr>
          <w:t>Table of Contents</w:t>
        </w:r>
      </w:hyperlink>
    </w:p>
    <w:p>
      <w:pPr>
        <w:pStyle w:val="TextBody"/>
        <w:spacing w:before="0" w:after="0"/>
        <w:jc w:val="left"/>
        <w:rPr>
          <w:rFonts w:ascii="Times New Roman" w:hAnsi="Times New Roman"/>
          <w:spacing w:val="0"/>
          <w:sz w:val="20"/>
        </w:rPr>
      </w:pPr>
      <w:r>
        <w:rPr>
          <w:rFonts w:ascii="Times New Roman" w:hAnsi="Times New Roman"/>
          <w:spacing w:val="0"/>
          <w:sz w:val="20"/>
        </w:rPr>
        <w:t xml:space="preserve">other supplies. Also, the unplanned loss of a major distributor could adversely affect our business by disrupting our operations as we seek out and negotiate a new distribution contract. Further, a significant percentage of our WIN! merchandise inventory is directly or indirectly sourced outside the United States and changes in trade policy and tariffs could negatively impact our costs. If we have to pay higher prices for food or other product costs, our operating costs may increase, and, if we are unable to adjust our purchasing practices or pass any cost increases on to our customers, our operating results could be adversely affected. </w:t>
      </w:r>
    </w:p>
    <w:p>
      <w:pPr>
        <w:pStyle w:val="TextBody"/>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Our procurement of new games and amusement and entertainment offerings is contingent upon availability, and in some instances, our ability to obtain licensing rights.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Our ability to continue to procure new games, amusement and entertainment offerings, and other entertainment-related equipment is important to our business strategy. The number of suppliers from which we can purchase games, amusement offerings and other entertainment-related equipment is limited. To the extent the number of suppliers declines, we could be subject to the risk of distribution delays, pricing pressure, lack of innovation and other associated risks. We may not be able to anticipate and react to changing amusement offerings cost by adjusting purchasing practices or game prices, and a failure to do so could have a material adverse effect on our operating results. In addition, any decrease in availability of new amusement offerings that appeal to customers could lead to decreases in revenues as customers negatively react to lack of new game options.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We have successfully developed several proprietary amusement offerings that are not available to operations outside the Company. Our ability to develop future offerings is dependent on, among other things, obtaining rights to compelling game content and developing new amusement offerings that are accepted by our customers. There is no guarantee that additional licensing rights will be obtained by us or that our customers will accept the future offerings that we develop. The result could be increased expenses without increased revenues putting downward pressure on our results of operations and financial performance. </w:t>
      </w:r>
    </w:p>
    <w:p>
      <w:pPr>
        <w:pStyle w:val="TextBody"/>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We may not be able to operate our stores or obtain/maintain licenses and permits necessary for such operation, in compliance with laws, regulations and other requirements, which could adversely affect our business, results of operations or financial condition.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We are subject to licensing and regulation by state and local authorities relating to the sale of alcoholic beverages, health, sanitation, safety, building and fire codes. Each store is required to obtain a license to sell alcoholic beverages on the premises from a state authority and, in certain locations, county and municipal authorities. Typically, licenses must be renewed annually and may be revoked or suspended for cause at any time. In some states, the loss of a license for cause with respect to one store may lead to the loss of licenses at all stores in that state and could make it more difficult to obtain additional licenses in that state. Alcoholic beverage control regulations relate to numerous aspects of the daily operations of each store, including minimum age of patrons and employees, hours of operation, advertising, wholesale purchasing, inventory control and handling and storage and dispensing of alcoholic beverages. We generally have not encountered any material difficulties or failures in obtaining and maintaining the required licenses, permits and approvals that could impact the continuing operations of an existing store, or delay or prevent the opening of a new store. Although we do not anticipate any material difficulties occurring in the future, the failure to receive or retain a liquor license, or any other required permit or license, in a particular location, or to continue to qualify for, or renew licenses, could have a material adverse effect on operations and our ability to obtain such a license or permit in other locations.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We are also subject to amusement licensing and regulation by the states, counties and municipalities in which our stores are located, as a result of operating certain entertainment games and attractions, including skill-based games, that offer redemption prizes. These laws and regulations can vary significantly by state, county, and municipality and, in some jurisdictions, may require us to modify our business operations or alter the mix of redemption games and simulators we offer. Moreover, as more states and local communities implement legalized gambling, the laws and corresponding enabling regulations may also be applicable to our redemption games and regulators may create new licensing requirements, taxes or fees, or restrictions on the various types of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23 </w:t>
      </w:r>
    </w:p>
    <w:p>
      <w:pPr>
        <w:pStyle w:val="HorizontalLine"/>
        <w:rPr/>
      </w:pPr>
      <w:r>
        <w:rPr/>
      </w:r>
    </w:p>
    <w:p>
      <w:pPr>
        <w:pStyle w:val="TextBody"/>
        <w:spacing w:before="0" w:after="0"/>
        <w:rPr/>
      </w:pPr>
      <w:hyperlink w:anchor="toc">
        <w:r>
          <w:rPr>
            <w:rStyle w:val="InternetLink"/>
            <w:b/>
            <w:sz w:val="20"/>
          </w:rPr>
          <w:t>Table of Contents</w:t>
        </w:r>
      </w:hyperlink>
    </w:p>
    <w:p>
      <w:pPr>
        <w:pStyle w:val="TextBody"/>
        <w:spacing w:before="0" w:after="0"/>
        <w:jc w:val="left"/>
        <w:rPr>
          <w:rFonts w:ascii="Times New Roman" w:hAnsi="Times New Roman"/>
          <w:spacing w:val="0"/>
          <w:sz w:val="20"/>
        </w:rPr>
      </w:pPr>
      <w:r>
        <w:rPr>
          <w:rFonts w:ascii="Times New Roman" w:hAnsi="Times New Roman"/>
          <w:spacing w:val="0"/>
          <w:sz w:val="20"/>
        </w:rPr>
        <w:t xml:space="preserve">redemption games we offer. Furthermore, other states, counties and municipalities may make changes to existing laws to further regulate legalized gaming and illegal gambling. Adoption of these laws, or adverse interpretation of existing laws, could require our existing stores in these jurisdictions to alter the mix of games, modify certain games, limit the number of tickets that may be won by a customer from a redemption game, change the mix of prizes that we may offer at our WIN! area or terminate the use of specific games, any of which could adversely affect our operations. If we fail to comply with such laws and regulations, we may be subject to various sanctions and/or penalties and fines or may be required to cease operations until we achieve compliance, which could have an adverse effect on our business and our financial results. </w:t>
      </w:r>
    </w:p>
    <w:p>
      <w:pPr>
        <w:pStyle w:val="TextBody"/>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We are subject to extensive laws and regulations and failure to comply with existing or new laws and regulations could adversely affect our operational efficiencies, cost structure and talent availability.                 </w:t>
      </w:r>
    </w:p>
    <w:p>
      <w:pPr>
        <w:pStyle w:val="TextBody"/>
        <w:spacing w:before="120" w:after="0"/>
        <w:jc w:val="left"/>
        <w:rPr>
          <w:rFonts w:ascii="Times New Roman" w:hAnsi="Times New Roman"/>
          <w:sz w:val="20"/>
        </w:rPr>
      </w:pPr>
      <w:r>
        <w:rPr>
          <w:rFonts w:ascii="Times New Roman" w:hAnsi="Times New Roman"/>
          <w:sz w:val="20"/>
        </w:rPr>
        <w:t xml:space="preserve">Many of our stores are unable to operate or have limited operations due to guidelines and restrictions put in place by federal, state and local governments in response to the </w:t>
      </w:r>
    </w:p>
    <w:p>
      <w:pPr>
        <w:pStyle w:val="TextBody"/>
        <w:spacing w:before="120" w:after="0"/>
        <w:jc w:val="left"/>
        <w:rPr>
          <w:rFonts w:ascii="Times New Roman" w:hAnsi="Times New Roman"/>
          <w:spacing w:val="0"/>
          <w:sz w:val="20"/>
        </w:rPr>
      </w:pPr>
      <w:r>
        <w:rPr>
          <w:rFonts w:ascii="Times New Roman" w:hAnsi="Times New Roman"/>
          <w:spacing w:val="0"/>
          <w:sz w:val="20"/>
        </w:rPr>
        <w:t>COVID-19</w:t>
      </w:r>
    </w:p>
    <w:p>
      <w:pPr>
        <w:pStyle w:val="TextBody"/>
        <w:spacing w:before="120" w:after="0"/>
        <w:jc w:val="left"/>
        <w:rPr>
          <w:rFonts w:ascii="Times New Roman" w:hAnsi="Times New Roman"/>
          <w:sz w:val="20"/>
        </w:rPr>
      </w:pPr>
      <w:r>
        <w:rPr>
          <w:rFonts w:ascii="Times New Roman" w:hAnsi="Times New Roman"/>
          <w:sz w:val="20"/>
        </w:rPr>
        <w:t xml:space="preserve">pandemic.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We are also subject to various federal, state, and local laws and regulations that govern numerous aspects of our business, including the following: </w:t>
      </w:r>
    </w:p>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the Fair Labor Standards Act and other federal, state and local laws and regulations that govern employment practices and working conditions, including minimum wage rates, wage and hour practices, gratuities, overtime, labor practices, various family leave mandates, discrimination and harassment, immigration, workplace safety and other areas; </w:t>
            </w:r>
          </w:p>
        </w:tc>
      </w:tr>
    </w:tbl>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the Americans with Disabilities Act and similar state laws that give civil rights protections to individuals with disabilities in the context of employment, public accommodations and other areas; </w:t>
            </w:r>
          </w:p>
        </w:tc>
      </w:tr>
    </w:tbl>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the Patient Protection and Affordable Care Act as amended by the Health Care and Education Affordability Reconciliation Act of 2010 (“PPACA”) and uncertainties surrounding future changes to or replacement of our health insurance system; </w:t>
            </w:r>
          </w:p>
        </w:tc>
      </w:tr>
    </w:tbl>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preparation, sale and labeling of food, including the federal regulations of the Food and Drug Administration, which oversees the safety of the entire food system, including inspection and mandatory food recalls, menu labeling and nutritional content, and additional requirements in certain states and local jurisdictions; </w:t>
            </w:r>
          </w:p>
        </w:tc>
      </w:tr>
    </w:tbl>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environmental laws and regulations governing, among other things, discharges of pollutants into the air and water as well as the presence, handling, release and disposal of and exposure to hazardous substances; and </w:t>
            </w:r>
          </w:p>
        </w:tc>
      </w:tr>
    </w:tbl>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other environmental matters, such as climate change, the reduction of greenhouse gases, water consumption and animal health and welfare. </w:t>
            </w:r>
          </w:p>
        </w:tc>
      </w:tr>
    </w:tbl>
    <w:p>
      <w:pPr>
        <w:pStyle w:val="TextBody"/>
        <w:spacing w:before="240" w:after="0"/>
        <w:jc w:val="left"/>
        <w:rPr>
          <w:rFonts w:ascii="Times New Roman" w:hAnsi="Times New Roman"/>
          <w:spacing w:val="0"/>
          <w:sz w:val="20"/>
        </w:rPr>
      </w:pPr>
      <w:r>
        <w:rPr>
          <w:rFonts w:ascii="Times New Roman" w:hAnsi="Times New Roman"/>
          <w:spacing w:val="0"/>
          <w:sz w:val="20"/>
        </w:rPr>
        <w:t xml:space="preserve">Compliance with these laws and regulations and future new laws or changes in laws or regulations that impose additional requirements can be costly. Any failure or perceived failure to comply with these laws or regulations could result in, among other things, revocation of required license, administrative enforcement actions, fines, civil and criminal liability, and/or closure of stores. We could also be strictly liable, without regard to fault, for certain environmental conditions at properties we formerly owned or operated as well as at our current properties. Further, more stringent and varied requirements of local and state governmental bodies with respect to zoning, land use and environmental factors could delay or prevent development of new stores in certain locations.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If new immigration legislation is enacted, such laws may contain provisions that could increase our costs in recruiting, training and retaining employees. Also, although our hiring practices comply with the requirements of federal law in reviewing employees’ citizenship or authority to work in the United States, increased enforcement efforts with respect to existing immigration laws by governmental authorities may disrupt a portion of our workforce or our operations at one or more of our stores, thereby negatively impacting our business.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24 </w:t>
      </w:r>
    </w:p>
    <w:p>
      <w:pPr>
        <w:pStyle w:val="HorizontalLine"/>
        <w:rPr/>
      </w:pPr>
      <w:r>
        <w:rPr/>
      </w:r>
    </w:p>
    <w:p>
      <w:pPr>
        <w:pStyle w:val="TextBody"/>
        <w:spacing w:before="0" w:after="0"/>
        <w:rPr/>
      </w:pPr>
      <w:hyperlink w:anchor="toc">
        <w:r>
          <w:rPr>
            <w:rStyle w:val="InternetLink"/>
            <w:b/>
            <w:sz w:val="20"/>
          </w:rPr>
          <w:t>Table of Contents</w:t>
        </w:r>
      </w:hyperlink>
    </w:p>
    <w:p>
      <w:pPr>
        <w:pStyle w:val="TextBody"/>
        <w:spacing w:before="0" w:after="0"/>
        <w:jc w:val="left"/>
        <w:rPr>
          <w:rFonts w:ascii="Times New Roman" w:hAnsi="Times New Roman"/>
          <w:spacing w:val="0"/>
          <w:sz w:val="20"/>
        </w:rPr>
      </w:pPr>
      <w:r>
        <w:rPr>
          <w:rFonts w:ascii="Times New Roman" w:hAnsi="Times New Roman"/>
          <w:spacing w:val="0"/>
          <w:sz w:val="20"/>
        </w:rPr>
        <w:t xml:space="preserve">We believe it is becoming increasing likely that the United States federal government will significantly increase the federal minimum wage and tip credit wage (or eliminate the tip credit wage) and require significantly more mandated benefits than what is currently required under federal law. Should this happen, other jurisdictions that have historically mandated higher wages and greater benefits than what is required under federal law may seek to further increase wages and mandated benefits. In addition to increasing the overall wages paid to our minimum wage and tip credit wage earners, these increases create pressure to increase wages and other benefits paid to other team members who, in recognition of their tenure, performance, job responsibilities and other similar considerations, historically received a rate of pay exceeding the applicable minimum wage or minimum tip credit wage. Because we employ a large workforce, any wage increase and/or expansion of benefits mandates will have a particularly significant impact on our labor costs. Our vendors, contractors and business partners are similarly impacted by wage and benefit cost inflation, and many have or will increase their price for goods, construction, and services in order to offset their increasing labor costs. We may not be able to partially or fully offset cost increases resulting from changes in minimum wage rates by increasing menu or game prices, improving productivity, or through other adjustments, and our business, results of operations and financial condition could be adversely affected. Moreover, although none of our employees have been or are now represented by any unions, labor organizations may seek to represent certain of our employees in the future, and if they are successful, our payroll expenses and other labor costs may be increased in the course of collective bargaining, and/or there may be strikes or other work disruptions that may adversely affect our business. </w:t>
      </w:r>
    </w:p>
    <w:p>
      <w:pPr>
        <w:pStyle w:val="TextBody"/>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We face potential liability with our gift cards under the property laws of some states.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Our gift cards, which may be used to purchase food, beverages, merchandise and game play credits in our stores, may be considered stored value cards. Certain states include gift cards under their abandoned and unclaimed property laws and require companies to remit to the state cash in an amount equal to all or a designated portion of the unredeemed balance on the gift cards based on certain card attributes and the length of time that the cards are inactive. To date we have not remitted any amounts relating to unredeemed gift cards to states based upon our assessment of applicable laws.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The analysis of the potential application of the abandoned and unclaimed property laws to our gift cards is complex, involving an analysis of constitutional, statutory provisions and factual issues. In the event that one or more states change their existing abandoned and unclaimed property laws or successfully challenge our position on the application of its abandoned and unclaimed property laws to our gift cards, our liabilities with respect to unredeemed gift cards may be materially higher than the amounts shown in our financial statements. If we are required to materially increase the estimated liability recorded in our financial statements with respect to unredeemed gift cards, our net income could be materially and adversely affected.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Our Power Cards may raise similar concerns to gift cards in terms of the applicability of state abandoned and unclaimed property laws. However, based on our analysis of abandoned and unclaimed property laws, we believe that our Power Cards are not stored value cards and such laws do not apply, although there can be no assurance that states will not take a different position. </w:t>
      </w:r>
    </w:p>
    <w:p>
      <w:pPr>
        <w:pStyle w:val="TextBody"/>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Litigation, including allegations of illegal, unfair or inconsistent employment practices, may adversely affect our business, results of operations or financial condition.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Our business may be adversely affected by the risk of legal proceedings brought by or on behalf of our customers, employees, suppliers, shareholders, government agencies or others through private actions, class actions, administrative proceedings, regulatory actions or other litigation. In recent years, a number of restaurant companies, including ours, have been subject to lawsuits, including class action lawsuits, alleging violations of federal and state law regarding workplace and employment matters, discrimination and similar matters, and a number of these lawsuits have resulted in the payment of substantial damages by the defendants. We have had from time to time and now have such lawsuits pending against us. In addition, from time to time, customers file complaints or lawsuits against us alleging that we are responsible for some illness or injury they suffered at or after a visit to a store. We are also subject to a variety of other claims in the ordinary course of business, including personal injury, lease, and contract claims.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25 </w:t>
      </w:r>
    </w:p>
    <w:p>
      <w:pPr>
        <w:pStyle w:val="HorizontalLine"/>
        <w:rPr/>
      </w:pPr>
      <w:r>
        <w:rPr/>
      </w:r>
    </w:p>
    <w:p>
      <w:pPr>
        <w:pStyle w:val="TextBody"/>
        <w:spacing w:before="0" w:after="0"/>
        <w:rPr/>
      </w:pPr>
      <w:hyperlink w:anchor="toc">
        <w:r>
          <w:rPr>
            <w:rStyle w:val="InternetLink"/>
            <w:b/>
            <w:sz w:val="20"/>
          </w:rPr>
          <w:t>Table of Contents</w:t>
        </w:r>
      </w:hyperlink>
    </w:p>
    <w:p>
      <w:pPr>
        <w:pStyle w:val="TextBody"/>
        <w:spacing w:before="0" w:after="0"/>
        <w:jc w:val="left"/>
        <w:rPr>
          <w:rFonts w:ascii="Times New Roman" w:hAnsi="Times New Roman"/>
          <w:spacing w:val="0"/>
          <w:sz w:val="20"/>
        </w:rPr>
      </w:pPr>
      <w:r>
        <w:rPr>
          <w:rFonts w:ascii="Times New Roman" w:hAnsi="Times New Roman"/>
          <w:spacing w:val="0"/>
          <w:sz w:val="20"/>
        </w:rPr>
        <w:t xml:space="preserve">We are also subject to “dram shop” statutes in certain states in which our stores are located. These statutes generally provide a person injured by an intoxicated person the right to recover damages from an establishment that wrongfully served alcoholic beverages to the intoxicated individual. Recent litigation against restaurant chains has resulted in significant judgments and settlements under dram shop statutes. Because these cases often seek punitive damages, which may not be covered by insurance, such litigation could have an adverse impact on our business, results of operations or financial condition. Regardless of whether any claims against us are valid or whether we are liable, claims may be expensive to defend and may divert time and money away from operations and hurt our financial performance. A judgment significantly in excess of our insurance coverage or not covered by insurance could have a material adverse effect on our business, results of operations or financial condition. Also, adverse publicity resulting from these allegations may materially affect our stores and us. </w:t>
      </w:r>
    </w:p>
    <w:p>
      <w:pPr>
        <w:pStyle w:val="TextBody"/>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Failure to adequately protect our intellectual property could harm our business.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We regard our intellectual property as having significant value and being important to our marketing efforts. We use a combination of intellectual property rights, such as trademarks and trade secrets, to protect our brand and certain other proprietary processes and information material to our business. The success of our business strategy depends, in part, on our continued ability to use our intellectual property rights to increase brand awareness and further develop our branded products in both existing and new markets. If we fail to protect our intellectual property rights adequately, we may lose an important advantage in the markets in which we compete. If third parties misappropriate or infringe our intellectual property, the value of our image, brand and the goodwill associated therewith may be diminished, our brand may fail to achieve and maintain market recognition, and our competitive position may be harmed, any of which could have a material adverse effect on our business, including our revenues. Policing unauthorized use of our intellectual property is difficult, and we cannot be certain that the steps we have taken will prevent the violation or misappropriation of such intellectual property rights by others. To protect our intellectual property, we may become involved in litigation, which could result in substantial expenses, divert the attention of management and adversely affect our revenue, financial condition and results of operations.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We cannot be certain that our products and services do not and will not infringe on the intellectual property rights of others. Any such claims, regardless of merit, could be time-consuming and expensive to litigate or settle, divert the attention of management, cause significant delays, materially disrupt the conduct of our business and have a material adverse effect on our financial condition and results of operations. As a consequence of such claims, we could be required to pay a substantial damage award, take a royalty-bearing license, discontinue the use of third-party products used within our operations and/or rebrand our products and services. </w:t>
      </w:r>
    </w:p>
    <w:p>
      <w:pPr>
        <w:pStyle w:val="TextBody"/>
        <w:spacing w:before="48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Risks Related to Our Corporate Structure, Our Stock Ownership and Our Common Stock </w:t>
      </w:r>
    </w:p>
    <w:p>
      <w:pPr>
        <w:pStyle w:val="TextBody"/>
        <w:spacing w:before="12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The market price of our common stock is subject to volatility.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The market price of our common stock may be significantly affected by a number of factors, including, but not limited to, actual or anticipated variations in our operating results or those of our competitors as compared to analyst expectations, changes in financial estimates by research analysts with respect to us or others in the restaurant and other entertainment industries, and announcement of significant transactions (including mergers or acquisitions, divestitures, joint ventures or other strategic initiatives) by us or others in the restaurant and other entertainment industries. In addition, the equity markets have experienced price and volume fluctuations that affect the stock price of companies in ways that have been unrelated to an individual company’s operating performance. The price for our common stock may continue to be volatile, based on factors specific to our company and industry, as well as factors related to the equity markets overall.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During and following March 2020, the coronavirus global pandemic and the significant uncertainties in the United States economy created due to the health crisis had a significant impact on the market price of our common stock.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26 </w:t>
      </w:r>
    </w:p>
    <w:p>
      <w:pPr>
        <w:pStyle w:val="HorizontalLine"/>
        <w:rPr/>
      </w:pPr>
      <w:r>
        <w:rPr/>
      </w:r>
    </w:p>
    <w:p>
      <w:pPr>
        <w:pStyle w:val="TextBody"/>
        <w:spacing w:before="0" w:after="0"/>
        <w:rPr/>
      </w:pPr>
      <w:hyperlink w:anchor="toc">
        <w:r>
          <w:rPr>
            <w:rStyle w:val="InternetLink"/>
            <w:b/>
            <w:sz w:val="20"/>
          </w:rPr>
          <w:t>Table of Contents</w:t>
        </w:r>
      </w:hyperlink>
    </w:p>
    <w:p>
      <w:pPr>
        <w:pStyle w:val="TextBody"/>
        <w:spacing w:before="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Provisions in our certificate of incorporation and bylaws may discourage, delay or prevent a change of control of our company or changes in our management and, therefore, may depress the trading price of our stock.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Our certificate of incorporation and bylaws include certain provisions that could have the effect of discouraging, delaying or preventing a change of control of our Company or changes in our management, including: </w:t>
      </w:r>
    </w:p>
    <w:p>
      <w:pPr>
        <w:pStyle w:val="TextBody"/>
        <w:spacing w:before="0" w:after="0"/>
        <w:jc w:val="left"/>
        <w:rPr>
          <w:spacing w:val="0"/>
        </w:rPr>
      </w:pPr>
      <w:r>
        <w:rPr>
          <w:spacing w:val="0"/>
        </w:rPr>
        <w:t> </w:t>
      </w:r>
    </w:p>
    <w:tbl>
      <w:tblPr>
        <w:tblW w:w="7465" w:type="dxa"/>
        <w:jc w:val="left"/>
        <w:tblInd w:w="0" w:type="dxa"/>
        <w:tblCellMar>
          <w:top w:w="0" w:type="dxa"/>
          <w:left w:w="0" w:type="dxa"/>
          <w:bottom w:w="0" w:type="dxa"/>
          <w:right w:w="0" w:type="dxa"/>
        </w:tblCellMar>
      </w:tblPr>
      <w:tblGrid>
        <w:gridCol w:w="75"/>
        <w:gridCol w:w="110"/>
        <w:gridCol w:w="60"/>
        <w:gridCol w:w="722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722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restrictions on the ability of our stockholders to fill a vacancy on the Board of Directors; </w:t>
            </w:r>
          </w:p>
        </w:tc>
      </w:tr>
    </w:tbl>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our ability to issue preferred stock with terms that the Board of Directors may determine, without stockholder approval, which could be used to significantly dilute the ownership of a hostile acquirer; </w:t>
            </w:r>
          </w:p>
        </w:tc>
      </w:tr>
    </w:tbl>
    <w:p>
      <w:pPr>
        <w:pStyle w:val="TextBody"/>
        <w:spacing w:before="0" w:after="0"/>
        <w:jc w:val="left"/>
        <w:rPr>
          <w:spacing w:val="0"/>
        </w:rPr>
      </w:pPr>
      <w:r>
        <w:rPr>
          <w:spacing w:val="0"/>
        </w:rPr>
        <w:t> </w:t>
      </w:r>
    </w:p>
    <w:tbl>
      <w:tblPr>
        <w:tblW w:w="6295" w:type="dxa"/>
        <w:jc w:val="left"/>
        <w:tblInd w:w="0" w:type="dxa"/>
        <w:tblCellMar>
          <w:top w:w="0" w:type="dxa"/>
          <w:left w:w="0" w:type="dxa"/>
          <w:bottom w:w="0" w:type="dxa"/>
          <w:right w:w="0" w:type="dxa"/>
        </w:tblCellMar>
      </w:tblPr>
      <w:tblGrid>
        <w:gridCol w:w="75"/>
        <w:gridCol w:w="110"/>
        <w:gridCol w:w="60"/>
        <w:gridCol w:w="605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605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the inability of our stockholders to call a special meeting of stockholders; </w:t>
            </w:r>
          </w:p>
        </w:tc>
      </w:tr>
    </w:tbl>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specify that special meetings of our stockholders can be called only upon the request of a majority of our Board of Directors or our Chief Executive Officer; </w:t>
            </w:r>
          </w:p>
        </w:tc>
      </w:tr>
    </w:tbl>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the absence of cumulative voting in the election of directors, which may limit the ability of minority stockholders to elect directors; and </w:t>
            </w:r>
          </w:p>
        </w:tc>
      </w:tr>
    </w:tbl>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advance notice requirements for stockholder proposals and nominations, which may discourage or deter a potential acquirer from soliciting proxies to elect a particular slate of directors or otherwise attempting to obtain control of us. </w:t>
            </w:r>
          </w:p>
        </w:tc>
      </w:tr>
    </w:tbl>
    <w:p>
      <w:pPr>
        <w:pStyle w:val="TextBody"/>
        <w:spacing w:before="240" w:after="0"/>
        <w:jc w:val="left"/>
        <w:rPr>
          <w:rFonts w:ascii="Times New Roman" w:hAnsi="Times New Roman"/>
          <w:spacing w:val="0"/>
          <w:sz w:val="20"/>
        </w:rPr>
      </w:pPr>
      <w:r>
        <w:rPr>
          <w:rFonts w:ascii="Times New Roman" w:hAnsi="Times New Roman"/>
          <w:spacing w:val="0"/>
          <w:sz w:val="20"/>
        </w:rPr>
        <w:t xml:space="preserve">These provisions in our certificate of incorporation and our bylaws may discourage, delay, or prevent a transaction involving a change of control of our Company that is in the best interest of our minority stockholders. Even in the absence of a takeover attempt, the existence of these provisions may adversely affect the prevailing market price of our common stock if they are viewed as discouraging future takeover attempts. </w:t>
      </w:r>
    </w:p>
    <w:p>
      <w:pPr>
        <w:pStyle w:val="TextBody"/>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Unsolicited takeover proposals, governance change proposals, proxy contests and certain proposals/actions by activist investors may create additional risks and uncertainties with respect to the Company’s financial position, operations, strategies and management, and may adversely affect our ability to attract and retain key employees. Any perceived uncertainties may affect the market price and volatility of our securities.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Public companies in the restaurant industry have been the target of unsolicited takeover proposals in the past. In the event that a third party, such as a competitor, private equity firm or activist investor makes an unsolicited takeover proposal, or proposes to change our governance policies or board of directors, or makes other proposals concerning the Company’s ownership structure or operations, our review and consideration of such proposals may be a significant distraction for our management and employees, and may require us to expend significant time and resources. Such proposals may create uncertainty for our employees, additional risks and uncertainties with respect to the Company’s financial position, operations, strategies, and management, and may adversely affect our ability to attract and retain key employees. Any perceived uncertainties as to our future direction also may affect the market price and volatility of our securities. </w:t>
      </w:r>
    </w:p>
    <w:p>
      <w:pPr>
        <w:pStyle w:val="TextBody"/>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Our fourth amended and restated certificate of incorporation, which was effective June 9, 2017, designates specific courts as the exclusive forum for certain litigation that may be initiated by our stockholders, which could limit our stockholders’ ability to obtain a judicial forum of their choice for disputes with us.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Our fourth amended and restated certificate of incorporation provides that, unless we consent in writing to the selection of an alternative forum, the Court of Chancery of the State of Delaware will, to the fullest extent permitted by law, be the sole and exclusive forum for the following types of actions or proceedings under Delaware statutory or common law: </w:t>
      </w:r>
    </w:p>
    <w:p>
      <w:pPr>
        <w:pStyle w:val="TextBody"/>
        <w:spacing w:before="0" w:after="0"/>
        <w:jc w:val="left"/>
        <w:rPr>
          <w:spacing w:val="0"/>
        </w:rPr>
      </w:pPr>
      <w:r>
        <w:rPr>
          <w:spacing w:val="0"/>
        </w:rPr>
        <w:t> </w:t>
      </w:r>
    </w:p>
    <w:tbl>
      <w:tblPr>
        <w:tblW w:w="5095" w:type="dxa"/>
        <w:jc w:val="left"/>
        <w:tblInd w:w="0" w:type="dxa"/>
        <w:tblCellMar>
          <w:top w:w="0" w:type="dxa"/>
          <w:left w:w="0" w:type="dxa"/>
          <w:bottom w:w="0" w:type="dxa"/>
          <w:right w:w="0" w:type="dxa"/>
        </w:tblCellMar>
      </w:tblPr>
      <w:tblGrid>
        <w:gridCol w:w="75"/>
        <w:gridCol w:w="110"/>
        <w:gridCol w:w="60"/>
        <w:gridCol w:w="485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485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any derivative action or proceeding brought on our behalf; </w:t>
            </w:r>
          </w:p>
        </w:tc>
      </w:tr>
    </w:tbl>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any action asserting a claim of breach of a fiduciary duty owed by any of our directors, officers, employees or stockholders to our company or our stockholders; </w:t>
            </w:r>
          </w:p>
        </w:tc>
      </w:tr>
    </w:tbl>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27 </w:t>
      </w:r>
    </w:p>
    <w:p>
      <w:pPr>
        <w:pStyle w:val="HorizontalLine"/>
        <w:rPr/>
      </w:pPr>
      <w:r>
        <w:rPr/>
      </w:r>
    </w:p>
    <w:p>
      <w:pPr>
        <w:pStyle w:val="TextBody"/>
        <w:spacing w:before="0" w:after="0"/>
        <w:rPr/>
      </w:pPr>
      <w:hyperlink w:anchor="toc">
        <w:r>
          <w:rPr>
            <w:rStyle w:val="InternetLink"/>
            <w:b/>
            <w:sz w:val="20"/>
          </w:rPr>
          <w:t>Table of Contents</w:t>
        </w:r>
      </w:hyperlink>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any action asserting a claim arising pursuant to any provision of the DGCL or as to which the DGCL confers jurisdiction on the Court of Chancery of the State of Delaware; or </w:t>
            </w:r>
          </w:p>
        </w:tc>
      </w:tr>
    </w:tbl>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any action asserting a claim arising pursuant to any provision of our certificate of incorporation or bylaws (in each case, as they may be amended from time to time) or governed by the internal affairs doctrine. </w:t>
            </w:r>
          </w:p>
        </w:tc>
      </w:tr>
    </w:tbl>
    <w:p>
      <w:pPr>
        <w:pStyle w:val="TextBody"/>
        <w:spacing w:before="240" w:after="0"/>
        <w:jc w:val="left"/>
        <w:rPr>
          <w:rFonts w:ascii="Times New Roman" w:hAnsi="Times New Roman"/>
          <w:spacing w:val="0"/>
          <w:sz w:val="20"/>
        </w:rPr>
      </w:pPr>
      <w:r>
        <w:rPr>
          <w:rFonts w:ascii="Times New Roman" w:hAnsi="Times New Roman"/>
          <w:spacing w:val="0"/>
          <w:sz w:val="20"/>
        </w:rPr>
        <w:t xml:space="preserve">The choice of forum provision in our certificate of incorporation does not waive our compliance with our obligations under the federal securities laws and the rules and regulations thereunder. Moreover, the provision does not apply to suits brought to enforce a duty or liability created by the Exchange Act or by the Securities Act. Section 27 of the Exchange Act creates exclusive federal jurisdiction over all suits brought to enforce any duty or liability created by the Exchange Act or the rules and regulations thereunder, and Section 22 of the Securities Act creates concurrent jurisdiction for federal and state courts with respect to suits brought to enforce a duty or liability created by the Securities Act or the rules and regulations thereunder. Accordingly, both state and federal courts have jurisdiction to entertain claims under the Securities Act. </w:t>
      </w:r>
    </w:p>
    <w:p>
      <w:pPr>
        <w:pStyle w:val="TextBody"/>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General Risk Factors </w:t>
      </w:r>
    </w:p>
    <w:p>
      <w:pPr>
        <w:pStyle w:val="TextBody"/>
        <w:spacing w:before="12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Changes in tax laws and resulting regulations could result in changes to our tax provisions and subject us to additional tax liabilities that could materially adversely affect our financial performance.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We are subject to income, sales, use and other taxes in the United States and certain foreign jurisdictions. Changes in applicable U.S. or foreign tax laws and regulations, including the Tax Cuts and Jobs Act (“Tax Act”), or their interpretation and application, including the possibility of retroactive effect and changes to state tax laws that may occur in response to the Tax Act, could affect our effective income tax rate. In addition, the final determination of any tax audits or related litigation could be materially different from our historical tax provisions and accruals. Changes in our tax expense or an increase in our tax liabilities, whether due to changes in applicable laws and regulation, the interpretation or application thereof, or a final determination of tax audits or litigation, could materially adversely affect our financial performance. </w:t>
      </w:r>
    </w:p>
    <w:p>
      <w:pPr>
        <w:pStyle w:val="TextBody"/>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Changes in interest rates could adversely impact the price of our shares, our ability to issue equity or incur debt for acquisitions or other purposes. </w:t>
      </w:r>
    </w:p>
    <w:p>
      <w:pPr>
        <w:pStyle w:val="TextBody"/>
        <w:spacing w:before="120" w:after="0"/>
        <w:jc w:val="left"/>
        <w:rPr>
          <w:rFonts w:ascii="Times New Roman" w:hAnsi="Times New Roman"/>
          <w:sz w:val="20"/>
        </w:rPr>
      </w:pPr>
      <w:r>
        <w:rPr>
          <w:rFonts w:ascii="Times New Roman" w:hAnsi="Times New Roman"/>
          <w:sz w:val="20"/>
        </w:rPr>
        <w:t xml:space="preserve">Interest rates on future borrowings, credit facilities and debt offerings could be higher than current levels, causing our financing costs to increase accordingly. In addition, LIBOR and other “benchmark” rates are subject to ongoing national and international regulatory scrutiny and reform. On July 27, 2017, the U.K. Financial Conduct Authority announced that it will no longer persuade or compel banks to submit rates for the calculation of the LIBOR rates after 2021 (the “FCA Announcement”). On March 5, 2021, the U.K. Financial Conduct Authority confirmed that the </w:t>
      </w:r>
    </w:p>
    <w:p>
      <w:pPr>
        <w:pStyle w:val="TextBody"/>
        <w:spacing w:before="120" w:after="0"/>
        <w:jc w:val="left"/>
        <w:rPr>
          <w:rFonts w:ascii="Times New Roman" w:hAnsi="Times New Roman"/>
          <w:spacing w:val="0"/>
          <w:sz w:val="20"/>
        </w:rPr>
      </w:pPr>
      <w:r>
        <w:rPr>
          <w:rFonts w:ascii="Times New Roman" w:hAnsi="Times New Roman"/>
          <w:spacing w:val="0"/>
          <w:sz w:val="20"/>
        </w:rPr>
        <w:t>1-month,</w:t>
      </w:r>
    </w:p>
    <w:p>
      <w:pPr>
        <w:pStyle w:val="TextBody"/>
        <w:spacing w:before="120" w:after="0"/>
        <w:jc w:val="left"/>
        <w:rPr>
          <w:rFonts w:ascii="Times New Roman" w:hAnsi="Times New Roman"/>
          <w:spacing w:val="0"/>
          <w:sz w:val="20"/>
        </w:rPr>
      </w:pPr>
      <w:r>
        <w:rPr>
          <w:rFonts w:ascii="Times New Roman" w:hAnsi="Times New Roman"/>
          <w:spacing w:val="0"/>
          <w:sz w:val="20"/>
        </w:rPr>
        <w:t>3-month,</w:t>
      </w:r>
    </w:p>
    <w:p>
      <w:pPr>
        <w:pStyle w:val="TextBody"/>
        <w:spacing w:before="120" w:after="0"/>
        <w:jc w:val="left"/>
        <w:rPr>
          <w:rFonts w:ascii="Times New Roman" w:hAnsi="Times New Roman"/>
          <w:sz w:val="20"/>
        </w:rPr>
      </w:pPr>
      <w:r>
        <w:rPr>
          <w:rFonts w:ascii="Times New Roman" w:hAnsi="Times New Roman"/>
          <w:sz w:val="20"/>
        </w:rPr>
        <w:t xml:space="preserve">and </w:t>
      </w:r>
    </w:p>
    <w:p>
      <w:pPr>
        <w:pStyle w:val="TextBody"/>
        <w:spacing w:before="120" w:after="0"/>
        <w:jc w:val="left"/>
        <w:rPr>
          <w:rFonts w:ascii="Times New Roman" w:hAnsi="Times New Roman"/>
          <w:spacing w:val="0"/>
          <w:sz w:val="20"/>
        </w:rPr>
      </w:pPr>
      <w:r>
        <w:rPr>
          <w:rFonts w:ascii="Times New Roman" w:hAnsi="Times New Roman"/>
          <w:spacing w:val="0"/>
          <w:sz w:val="20"/>
        </w:rPr>
        <w:t>6-month</w:t>
      </w:r>
    </w:p>
    <w:p>
      <w:pPr>
        <w:pStyle w:val="TextBody"/>
        <w:spacing w:before="120" w:after="0"/>
        <w:jc w:val="left"/>
        <w:rPr>
          <w:rFonts w:ascii="Times New Roman" w:hAnsi="Times New Roman"/>
          <w:sz w:val="20"/>
        </w:rPr>
      </w:pPr>
      <w:r>
        <w:rPr>
          <w:rFonts w:ascii="Times New Roman" w:hAnsi="Times New Roman"/>
          <w:sz w:val="20"/>
        </w:rPr>
        <w:t xml:space="preserve">U.S. Dollar LIBOR will either cease to be provided by any administrator or no longer be representative after June 30, 2023. The Alternative Reference Rate Committee, a committee convened by the Federal Reserve that includes major market participants, has proposed an alternative rate to replace U.S. Dollar LIBOR: Secured Overnight Financing Rate (“SOFR”). We are unable to predict the effect of the FCA Announcement or other reforms, whether currently enacted or enacted in the future. The outcome of reforms may result in increased interest expense to us. Changes in interest rates, either positive or negative, may affect the yield requirements of investors who invest in our shares, and a rising interest rate environment could have an adverse impact on the price of our shares, our ability to issue equity or incur debt for acquisitions or other purposes. </w:t>
      </w:r>
    </w:p>
    <w:p>
      <w:pPr>
        <w:pStyle w:val="TextBody"/>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Failure of our internal control over financial reporting could harm our business and financial results.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Our management is responsible for establishing and maintaining effective internal control over financial reporting. Internal control over financial reporting is a process to provide reasonable assurance regarding the reliability of financial reporting for external purposes in accordance with generally accepted accounting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28 </w:t>
      </w:r>
    </w:p>
    <w:p>
      <w:pPr>
        <w:pStyle w:val="HorizontalLine"/>
        <w:rPr/>
      </w:pPr>
      <w:r>
        <w:rPr/>
      </w:r>
    </w:p>
    <w:p>
      <w:pPr>
        <w:pStyle w:val="TextBody"/>
        <w:spacing w:before="0" w:after="0"/>
        <w:rPr/>
      </w:pPr>
      <w:hyperlink w:anchor="toc">
        <w:r>
          <w:rPr>
            <w:rStyle w:val="InternetLink"/>
            <w:b/>
            <w:sz w:val="20"/>
          </w:rPr>
          <w:t>Table of Contents</w:t>
        </w:r>
      </w:hyperlink>
    </w:p>
    <w:p>
      <w:pPr>
        <w:pStyle w:val="TextBody"/>
        <w:spacing w:before="0" w:after="0"/>
        <w:jc w:val="left"/>
        <w:rPr>
          <w:rFonts w:ascii="Times New Roman" w:hAnsi="Times New Roman"/>
          <w:spacing w:val="0"/>
          <w:sz w:val="20"/>
        </w:rPr>
      </w:pPr>
      <w:r>
        <w:rPr>
          <w:rFonts w:ascii="Times New Roman" w:hAnsi="Times New Roman"/>
          <w:spacing w:val="0"/>
          <w:sz w:val="20"/>
        </w:rPr>
        <w:t xml:space="preserve">principles in the United States. Because of its inherent limitations, internal control over financial reporting is not intended to provide absolute assurance that we would prevent or detect a misstatement of our financial statements or fraud. Any failure to maintain an effective system of internal control over financial reporting, including such a failure or inability to provide timely reporting about the effectiveness of their controls of our third party service providers on whose controls we rely, could limit our ability to report our financial results accurately and timely or to detect and prevent fraud. A significant financial reporting failure or material weakness in internal control over financial reporting could result in substantial cost to remediate and could cause a loss of investor confidence and decline in the market price of our stock. </w:t>
      </w:r>
    </w:p>
    <w:p>
      <w:pPr>
        <w:pStyle w:val="TextBody"/>
        <w:spacing w:before="0" w:after="0"/>
        <w:jc w:val="left"/>
        <w:rPr>
          <w:spacing w:val="0"/>
        </w:rPr>
      </w:pPr>
      <w:r>
        <w:rPr>
          <w:spacing w:val="0"/>
        </w:rPr>
        <w:t> </w:t>
      </w:r>
    </w:p>
    <w:tbl>
      <w:tblPr>
        <w:tblW w:w="3505" w:type="dxa"/>
        <w:jc w:val="left"/>
        <w:tblInd w:w="0" w:type="dxa"/>
        <w:tblCellMar>
          <w:top w:w="0" w:type="dxa"/>
          <w:left w:w="0" w:type="dxa"/>
          <w:bottom w:w="0" w:type="dxa"/>
          <w:right w:w="0" w:type="dxa"/>
        </w:tblCellMar>
      </w:tblPr>
      <w:tblGrid>
        <w:gridCol w:w="1085"/>
        <w:gridCol w:w="2420"/>
      </w:tblGrid>
      <w:tr>
        <w:trPr/>
        <w:tc>
          <w:tcPr>
            <w:tcW w:w="1085" w:type="dxa"/>
            <w:tcBorders/>
            <w:shd w:fill="auto" w:val="clear"/>
            <w:vAlign w:val="center"/>
          </w:tcPr>
          <w:p>
            <w:pPr>
              <w:pStyle w:val="TableContents"/>
              <w:spacing w:before="0" w:after="0"/>
              <w:jc w:val="left"/>
              <w:rPr>
                <w:b/>
                <w:spacing w:val="0"/>
              </w:rPr>
            </w:pPr>
            <w:bookmarkStart w:id="4" w:name="tx120247_3"/>
            <w:bookmarkEnd w:id="4"/>
            <w:r>
              <w:rPr>
                <w:b/>
                <w:spacing w:val="0"/>
              </w:rPr>
              <w:t>ITEM 1B.</w:t>
            </w:r>
          </w:p>
        </w:tc>
        <w:tc>
          <w:tcPr>
            <w:tcW w:w="2420" w:type="dxa"/>
            <w:tcBorders/>
            <w:shd w:fill="auto" w:val="clear"/>
            <w:vAlign w:val="center"/>
          </w:tcPr>
          <w:p>
            <w:pPr>
              <w:pStyle w:val="TableContents"/>
              <w:spacing w:before="0" w:after="0"/>
              <w:jc w:val="left"/>
              <w:rPr>
                <w:rFonts w:ascii="Times New Roman" w:hAnsi="Times New Roman"/>
                <w:b/>
                <w:spacing w:val="0"/>
                <w:sz w:val="20"/>
              </w:rPr>
            </w:pPr>
            <w:r>
              <w:rPr>
                <w:rFonts w:ascii="Times New Roman" w:hAnsi="Times New Roman"/>
                <w:b/>
                <w:spacing w:val="0"/>
                <w:sz w:val="20"/>
              </w:rPr>
              <w:t xml:space="preserve">Unresolved Staff Comments </w:t>
            </w:r>
          </w:p>
        </w:tc>
      </w:tr>
    </w:tbl>
    <w:p>
      <w:pPr>
        <w:pStyle w:val="TextBody"/>
        <w:spacing w:before="120" w:after="0"/>
        <w:jc w:val="left"/>
        <w:rPr>
          <w:rFonts w:ascii="Times New Roman" w:hAnsi="Times New Roman"/>
          <w:spacing w:val="0"/>
          <w:sz w:val="20"/>
        </w:rPr>
      </w:pPr>
      <w:r>
        <w:rPr>
          <w:rFonts w:ascii="Times New Roman" w:hAnsi="Times New Roman"/>
          <w:spacing w:val="0"/>
          <w:sz w:val="20"/>
        </w:rPr>
        <w:t xml:space="preserve">Not applicable.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29 </w:t>
      </w:r>
    </w:p>
    <w:p>
      <w:pPr>
        <w:pStyle w:val="HorizontalLine"/>
        <w:rPr/>
      </w:pPr>
      <w:r>
        <w:rPr/>
      </w:r>
    </w:p>
    <w:p>
      <w:pPr>
        <w:pStyle w:val="TextBody"/>
        <w:spacing w:before="0" w:after="0"/>
        <w:rPr/>
      </w:pPr>
      <w:hyperlink w:anchor="toc">
        <w:r>
          <w:rPr>
            <w:rStyle w:val="InternetLink"/>
            <w:b/>
            <w:sz w:val="20"/>
          </w:rPr>
          <w:t>Table of Contents</w:t>
        </w:r>
      </w:hyperlink>
    </w:p>
    <w:tbl>
      <w:tblPr>
        <w:tblW w:w="1885" w:type="dxa"/>
        <w:jc w:val="left"/>
        <w:tblInd w:w="0" w:type="dxa"/>
        <w:tblCellMar>
          <w:top w:w="0" w:type="dxa"/>
          <w:left w:w="0" w:type="dxa"/>
          <w:bottom w:w="0" w:type="dxa"/>
          <w:right w:w="0" w:type="dxa"/>
        </w:tblCellMar>
      </w:tblPr>
      <w:tblGrid>
        <w:gridCol w:w="920"/>
        <w:gridCol w:w="965"/>
      </w:tblGrid>
      <w:tr>
        <w:trPr/>
        <w:tc>
          <w:tcPr>
            <w:tcW w:w="920" w:type="dxa"/>
            <w:tcBorders/>
            <w:shd w:fill="auto" w:val="clear"/>
            <w:vAlign w:val="center"/>
          </w:tcPr>
          <w:p>
            <w:pPr>
              <w:pStyle w:val="TableContents"/>
              <w:spacing w:before="0" w:after="0"/>
              <w:jc w:val="left"/>
              <w:rPr>
                <w:b/>
                <w:spacing w:val="0"/>
              </w:rPr>
            </w:pPr>
            <w:bookmarkStart w:id="5" w:name="tx120247_4"/>
            <w:bookmarkEnd w:id="5"/>
            <w:r>
              <w:rPr>
                <w:b/>
                <w:spacing w:val="0"/>
              </w:rPr>
              <w:t>ITEM 2.</w:t>
            </w:r>
          </w:p>
        </w:tc>
        <w:tc>
          <w:tcPr>
            <w:tcW w:w="965" w:type="dxa"/>
            <w:tcBorders/>
            <w:shd w:fill="auto" w:val="clear"/>
            <w:vAlign w:val="center"/>
          </w:tcPr>
          <w:p>
            <w:pPr>
              <w:pStyle w:val="TableContents"/>
              <w:spacing w:before="0" w:after="0"/>
              <w:jc w:val="left"/>
              <w:rPr>
                <w:rFonts w:ascii="Times New Roman" w:hAnsi="Times New Roman"/>
                <w:b/>
                <w:spacing w:val="0"/>
                <w:sz w:val="20"/>
              </w:rPr>
            </w:pPr>
            <w:r>
              <w:rPr>
                <w:rFonts w:ascii="Times New Roman" w:hAnsi="Times New Roman"/>
                <w:b/>
                <w:spacing w:val="0"/>
                <w:sz w:val="20"/>
              </w:rPr>
              <w:t xml:space="preserve">Properties </w:t>
            </w:r>
          </w:p>
        </w:tc>
      </w:tr>
    </w:tbl>
    <w:p>
      <w:pPr>
        <w:pStyle w:val="TextBody"/>
        <w:spacing w:before="120" w:after="0"/>
        <w:jc w:val="left"/>
        <w:rPr>
          <w:rFonts w:ascii="Times New Roman" w:hAnsi="Times New Roman"/>
          <w:spacing w:val="0"/>
          <w:sz w:val="20"/>
        </w:rPr>
      </w:pPr>
      <w:r>
        <w:rPr>
          <w:rFonts w:ascii="Times New Roman" w:hAnsi="Times New Roman"/>
          <w:spacing w:val="0"/>
          <w:sz w:val="20"/>
        </w:rPr>
        <w:t xml:space="preserve">We lease a 47,000 square foot office building and 30,000 square foot warehouse facility in Dallas, Texas for use as our corporate headquarters and distribution center. This lease expires during the third quarter of fiscal 2022, with options to renew through the third quarter of fiscal 2041. We also lease a 43,000 square foot warehouse facility in Dallas, Texas for use as additional warehouse space. This lease will also expire during the third quarter of fiscal 2022, with an option to renew for an additional five years. </w:t>
      </w:r>
    </w:p>
    <w:p>
      <w:pPr>
        <w:pStyle w:val="TextBody"/>
        <w:spacing w:before="240" w:after="0"/>
        <w:jc w:val="left"/>
        <w:rPr>
          <w:rFonts w:ascii="Times New Roman" w:hAnsi="Times New Roman"/>
          <w:sz w:val="20"/>
        </w:rPr>
      </w:pPr>
      <w:r>
        <w:rPr>
          <w:rFonts w:ascii="Times New Roman" w:hAnsi="Times New Roman"/>
          <w:sz w:val="20"/>
        </w:rPr>
        <w:t xml:space="preserve">As of January 31, 2021, we lease the building or site of all but two of our 140 operating stores, and we own land related to two future sites. An additional building lease will expire in fiscal 2021 for a store which permanently closed during fiscal 2020. Our leases typically have initial terms ranging from ten to twenty years and most include options to extend the leases for one or more </w:t>
      </w:r>
    </w:p>
    <w:p>
      <w:pPr>
        <w:pStyle w:val="TextBody"/>
        <w:spacing w:before="240" w:after="0"/>
        <w:jc w:val="left"/>
        <w:rPr>
          <w:rFonts w:ascii="Times New Roman" w:hAnsi="Times New Roman"/>
          <w:spacing w:val="0"/>
          <w:sz w:val="20"/>
        </w:rPr>
      </w:pPr>
      <w:r>
        <w:rPr>
          <w:rFonts w:ascii="Times New Roman" w:hAnsi="Times New Roman"/>
          <w:spacing w:val="0"/>
          <w:sz w:val="20"/>
        </w:rPr>
        <w:t>5-year</w:t>
      </w:r>
    </w:p>
    <w:p>
      <w:pPr>
        <w:pStyle w:val="TextBody"/>
        <w:spacing w:before="240" w:after="0"/>
        <w:jc w:val="left"/>
        <w:rPr>
          <w:rFonts w:ascii="Times New Roman" w:hAnsi="Times New Roman"/>
          <w:sz w:val="20"/>
        </w:rPr>
      </w:pPr>
      <w:r>
        <w:rPr>
          <w:rFonts w:ascii="Times New Roman" w:hAnsi="Times New Roman"/>
          <w:sz w:val="20"/>
        </w:rPr>
        <w:t xml:space="preserve">periods.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The table below shows the locations of our operating stores as of January 31, 2021: </w:t>
      </w:r>
    </w:p>
    <w:p>
      <w:pPr>
        <w:pStyle w:val="TextBody"/>
        <w:spacing w:before="0" w:after="0"/>
        <w:jc w:val="left"/>
        <w:rPr>
          <w:spacing w:val="0"/>
        </w:rPr>
      </w:pPr>
      <w:r>
        <w:rPr>
          <w:spacing w:val="0"/>
        </w:rPr>
        <w:t> </w:t>
      </w:r>
    </w:p>
    <w:tbl>
      <w:tblPr>
        <w:tblW w:w="2110" w:type="dxa"/>
        <w:jc w:val="left"/>
        <w:tblInd w:w="0" w:type="dxa"/>
        <w:tblCellMar>
          <w:top w:w="0" w:type="dxa"/>
          <w:left w:w="0" w:type="dxa"/>
          <w:bottom w:w="0" w:type="dxa"/>
          <w:right w:w="0" w:type="dxa"/>
        </w:tblCellMar>
      </w:tblPr>
      <w:tblGrid>
        <w:gridCol w:w="1355"/>
        <w:gridCol w:w="120"/>
        <w:gridCol w:w="76"/>
        <w:gridCol w:w="484"/>
        <w:gridCol w:w="75"/>
      </w:tblGrid>
      <w:tr>
        <w:trPr/>
        <w:tc>
          <w:tcPr>
            <w:tcW w:w="135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76" w:type="dxa"/>
            <w:tcBorders/>
            <w:shd w:fill="auto" w:val="clear"/>
            <w:vAlign w:val="center"/>
          </w:tcPr>
          <w:p>
            <w:pPr>
              <w:pStyle w:val="TableContents"/>
              <w:spacing w:before="0" w:after="283"/>
              <w:rPr>
                <w:sz w:val="4"/>
                <w:szCs w:val="4"/>
              </w:rPr>
            </w:pPr>
            <w:r>
              <w:rPr>
                <w:sz w:val="4"/>
                <w:szCs w:val="4"/>
              </w:rPr>
            </w:r>
          </w:p>
        </w:tc>
        <w:tc>
          <w:tcPr>
            <w:tcW w:w="484"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1355" w:type="dxa"/>
            <w:tcBorders/>
            <w:shd w:fill="auto" w:val="clear"/>
            <w:vAlign w:val="center"/>
          </w:tcPr>
          <w:p>
            <w:pPr>
              <w:pStyle w:val="TableContents"/>
              <w:spacing w:before="0" w:after="0"/>
              <w:rPr>
                <w:rFonts w:ascii="Times New Roman" w:hAnsi="Times New Roman"/>
                <w:b/>
                <w:spacing w:val="0"/>
                <w:sz w:val="16"/>
                <w:bdr w:val="single" w:sz="8" w:space="1" w:color="000000"/>
              </w:rPr>
            </w:pPr>
            <w:r>
              <w:rPr>
                <w:rFonts w:ascii="Times New Roman" w:hAnsi="Times New Roman"/>
                <w:b/>
                <w:spacing w:val="0"/>
                <w:sz w:val="16"/>
                <w:bdr w:val="single" w:sz="8" w:space="1" w:color="000000"/>
              </w:rPr>
              <w:t>Location</w:t>
            </w:r>
          </w:p>
        </w:tc>
        <w:tc>
          <w:tcPr>
            <w:tcW w:w="120" w:type="dxa"/>
            <w:tcBorders/>
            <w:shd w:fill="auto" w:val="clear"/>
            <w:vAlign w:val="center"/>
          </w:tcPr>
          <w:p>
            <w:pPr>
              <w:pStyle w:val="TableContents"/>
              <w:spacing w:before="0" w:after="283"/>
              <w:rPr/>
            </w:pPr>
            <w:r>
              <w:rPr/>
              <w:t>  </w:t>
            </w:r>
          </w:p>
        </w:tc>
        <w:tc>
          <w:tcPr>
            <w:tcW w:w="560" w:type="dxa"/>
            <w:gridSpan w:val="2"/>
            <w:tcBorders/>
            <w:shd w:fill="auto" w:val="clear"/>
            <w:vAlign w:val="center"/>
          </w:tcPr>
          <w:p>
            <w:pPr>
              <w:pStyle w:val="TableContents"/>
              <w:spacing w:before="0" w:after="0"/>
              <w:jc w:val="center"/>
              <w:rPr>
                <w:b/>
                <w:spacing w:val="0"/>
              </w:rPr>
            </w:pPr>
            <w:r>
              <w:rPr>
                <w:b/>
                <w:spacing w:val="0"/>
              </w:rPr>
              <w:t>Total</w:t>
            </w:r>
          </w:p>
        </w:tc>
        <w:tc>
          <w:tcPr>
            <w:tcW w:w="75" w:type="dxa"/>
            <w:tcBorders/>
            <w:shd w:fill="auto" w:val="clear"/>
            <w:vAlign w:val="center"/>
          </w:tcPr>
          <w:p>
            <w:pPr>
              <w:pStyle w:val="TableContents"/>
              <w:spacing w:before="0" w:after="283"/>
              <w:rPr/>
            </w:pPr>
            <w:r>
              <w:rPr/>
              <w:t> </w:t>
            </w:r>
          </w:p>
        </w:tc>
      </w:tr>
      <w:tr>
        <w:trPr/>
        <w:tc>
          <w:tcPr>
            <w:tcW w:w="135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Alabama</w:t>
            </w:r>
          </w:p>
        </w:tc>
        <w:tc>
          <w:tcPr>
            <w:tcW w:w="120" w:type="dxa"/>
            <w:tcBorders/>
            <w:shd w:fill="CCEEFF" w:val="clear"/>
            <w:vAlign w:val="center"/>
          </w:tcPr>
          <w:p>
            <w:pPr>
              <w:pStyle w:val="TableContents"/>
              <w:spacing w:before="0" w:after="283"/>
              <w:rPr/>
            </w:pPr>
            <w:r>
              <w:rPr/>
              <w:t>  </w:t>
            </w:r>
          </w:p>
        </w:tc>
        <w:tc>
          <w:tcPr>
            <w:tcW w:w="76" w:type="dxa"/>
            <w:tcBorders/>
            <w:shd w:fill="CCEEFF" w:val="clear"/>
            <w:vAlign w:val="center"/>
          </w:tcPr>
          <w:p>
            <w:pPr>
              <w:pStyle w:val="TableContents"/>
              <w:spacing w:before="0" w:after="283"/>
              <w:rPr/>
            </w:pPr>
            <w:r>
              <w:rPr/>
              <w:t> </w:t>
            </w:r>
          </w:p>
        </w:tc>
        <w:tc>
          <w:tcPr>
            <w:tcW w:w="484" w:type="dxa"/>
            <w:tcBorders/>
            <w:shd w:fill="CCEEFF" w:val="clear"/>
            <w:vAlign w:val="center"/>
          </w:tcPr>
          <w:p>
            <w:pPr>
              <w:pStyle w:val="TableContents"/>
              <w:spacing w:before="0" w:after="283"/>
              <w:jc w:val="right"/>
              <w:rPr/>
            </w:pPr>
            <w:r>
              <w:rPr/>
              <w:t>2</w:t>
            </w:r>
          </w:p>
        </w:tc>
        <w:tc>
          <w:tcPr>
            <w:tcW w:w="75" w:type="dxa"/>
            <w:tcBorders/>
            <w:shd w:fill="CCEEFF" w:val="clear"/>
            <w:vAlign w:val="center"/>
          </w:tcPr>
          <w:p>
            <w:pPr>
              <w:pStyle w:val="TableContents"/>
              <w:spacing w:before="0" w:after="283"/>
              <w:rPr/>
            </w:pPr>
            <w:r>
              <w:rPr/>
              <w:t> </w:t>
            </w:r>
          </w:p>
        </w:tc>
      </w:tr>
      <w:tr>
        <w:trPr/>
        <w:tc>
          <w:tcPr>
            <w:tcW w:w="135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Alaska</w:t>
            </w:r>
          </w:p>
        </w:tc>
        <w:tc>
          <w:tcPr>
            <w:tcW w:w="120" w:type="dxa"/>
            <w:tcBorders/>
            <w:shd w:fill="auto" w:val="clear"/>
            <w:vAlign w:val="center"/>
          </w:tcPr>
          <w:p>
            <w:pPr>
              <w:pStyle w:val="TableContents"/>
              <w:spacing w:before="0" w:after="283"/>
              <w:rPr/>
            </w:pPr>
            <w:r>
              <w:rPr/>
              <w:t>  </w:t>
            </w:r>
          </w:p>
        </w:tc>
        <w:tc>
          <w:tcPr>
            <w:tcW w:w="76" w:type="dxa"/>
            <w:tcBorders/>
            <w:shd w:fill="auto" w:val="clear"/>
            <w:vAlign w:val="center"/>
          </w:tcPr>
          <w:p>
            <w:pPr>
              <w:pStyle w:val="TableContents"/>
              <w:spacing w:before="0" w:after="283"/>
              <w:rPr/>
            </w:pPr>
            <w:r>
              <w:rPr/>
              <w:t> </w:t>
            </w:r>
          </w:p>
        </w:tc>
        <w:tc>
          <w:tcPr>
            <w:tcW w:w="484" w:type="dxa"/>
            <w:tcBorders/>
            <w:shd w:fill="auto" w:val="clear"/>
            <w:vAlign w:val="center"/>
          </w:tcPr>
          <w:p>
            <w:pPr>
              <w:pStyle w:val="TableContents"/>
              <w:spacing w:before="0" w:after="283"/>
              <w:jc w:val="right"/>
              <w:rPr/>
            </w:pPr>
            <w:r>
              <w:rPr/>
              <w:t>1</w:t>
            </w:r>
          </w:p>
        </w:tc>
        <w:tc>
          <w:tcPr>
            <w:tcW w:w="75" w:type="dxa"/>
            <w:tcBorders/>
            <w:shd w:fill="auto" w:val="clear"/>
            <w:vAlign w:val="center"/>
          </w:tcPr>
          <w:p>
            <w:pPr>
              <w:pStyle w:val="TableContents"/>
              <w:spacing w:before="0" w:after="283"/>
              <w:rPr/>
            </w:pPr>
            <w:r>
              <w:rPr/>
              <w:t> </w:t>
            </w:r>
          </w:p>
        </w:tc>
      </w:tr>
      <w:tr>
        <w:trPr/>
        <w:tc>
          <w:tcPr>
            <w:tcW w:w="135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Arizona</w:t>
            </w:r>
          </w:p>
        </w:tc>
        <w:tc>
          <w:tcPr>
            <w:tcW w:w="120" w:type="dxa"/>
            <w:tcBorders/>
            <w:shd w:fill="CCEEFF" w:val="clear"/>
            <w:vAlign w:val="center"/>
          </w:tcPr>
          <w:p>
            <w:pPr>
              <w:pStyle w:val="TableContents"/>
              <w:spacing w:before="0" w:after="283"/>
              <w:rPr/>
            </w:pPr>
            <w:r>
              <w:rPr/>
              <w:t>  </w:t>
            </w:r>
          </w:p>
        </w:tc>
        <w:tc>
          <w:tcPr>
            <w:tcW w:w="76" w:type="dxa"/>
            <w:tcBorders/>
            <w:shd w:fill="CCEEFF" w:val="clear"/>
            <w:vAlign w:val="center"/>
          </w:tcPr>
          <w:p>
            <w:pPr>
              <w:pStyle w:val="TableContents"/>
              <w:spacing w:before="0" w:after="283"/>
              <w:rPr/>
            </w:pPr>
            <w:r>
              <w:rPr/>
              <w:t> </w:t>
            </w:r>
          </w:p>
        </w:tc>
        <w:tc>
          <w:tcPr>
            <w:tcW w:w="484" w:type="dxa"/>
            <w:tcBorders/>
            <w:shd w:fill="CCEEFF" w:val="clear"/>
            <w:vAlign w:val="center"/>
          </w:tcPr>
          <w:p>
            <w:pPr>
              <w:pStyle w:val="TableContents"/>
              <w:spacing w:before="0" w:after="283"/>
              <w:jc w:val="right"/>
              <w:rPr/>
            </w:pPr>
            <w:r>
              <w:rPr/>
              <w:t>4</w:t>
            </w:r>
          </w:p>
        </w:tc>
        <w:tc>
          <w:tcPr>
            <w:tcW w:w="75" w:type="dxa"/>
            <w:tcBorders/>
            <w:shd w:fill="CCEEFF" w:val="clear"/>
            <w:vAlign w:val="center"/>
          </w:tcPr>
          <w:p>
            <w:pPr>
              <w:pStyle w:val="TableContents"/>
              <w:spacing w:before="0" w:after="283"/>
              <w:rPr/>
            </w:pPr>
            <w:r>
              <w:rPr/>
              <w:t> </w:t>
            </w:r>
          </w:p>
        </w:tc>
      </w:tr>
      <w:tr>
        <w:trPr/>
        <w:tc>
          <w:tcPr>
            <w:tcW w:w="135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Arkansas</w:t>
            </w:r>
          </w:p>
        </w:tc>
        <w:tc>
          <w:tcPr>
            <w:tcW w:w="120" w:type="dxa"/>
            <w:tcBorders/>
            <w:shd w:fill="auto" w:val="clear"/>
            <w:vAlign w:val="center"/>
          </w:tcPr>
          <w:p>
            <w:pPr>
              <w:pStyle w:val="TableContents"/>
              <w:spacing w:before="0" w:after="283"/>
              <w:rPr/>
            </w:pPr>
            <w:r>
              <w:rPr/>
              <w:t>  </w:t>
            </w:r>
          </w:p>
        </w:tc>
        <w:tc>
          <w:tcPr>
            <w:tcW w:w="76" w:type="dxa"/>
            <w:tcBorders/>
            <w:shd w:fill="auto" w:val="clear"/>
            <w:vAlign w:val="center"/>
          </w:tcPr>
          <w:p>
            <w:pPr>
              <w:pStyle w:val="TableContents"/>
              <w:spacing w:before="0" w:after="283"/>
              <w:rPr/>
            </w:pPr>
            <w:r>
              <w:rPr/>
              <w:t> </w:t>
            </w:r>
          </w:p>
        </w:tc>
        <w:tc>
          <w:tcPr>
            <w:tcW w:w="484" w:type="dxa"/>
            <w:tcBorders/>
            <w:shd w:fill="auto" w:val="clear"/>
            <w:vAlign w:val="center"/>
          </w:tcPr>
          <w:p>
            <w:pPr>
              <w:pStyle w:val="TableContents"/>
              <w:spacing w:before="0" w:after="283"/>
              <w:jc w:val="right"/>
              <w:rPr/>
            </w:pPr>
            <w:r>
              <w:rPr/>
              <w:t>2</w:t>
            </w:r>
          </w:p>
        </w:tc>
        <w:tc>
          <w:tcPr>
            <w:tcW w:w="75" w:type="dxa"/>
            <w:tcBorders/>
            <w:shd w:fill="auto" w:val="clear"/>
            <w:vAlign w:val="center"/>
          </w:tcPr>
          <w:p>
            <w:pPr>
              <w:pStyle w:val="TableContents"/>
              <w:spacing w:before="0" w:after="283"/>
              <w:rPr/>
            </w:pPr>
            <w:r>
              <w:rPr/>
              <w:t> </w:t>
            </w:r>
          </w:p>
        </w:tc>
      </w:tr>
      <w:tr>
        <w:trPr/>
        <w:tc>
          <w:tcPr>
            <w:tcW w:w="135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California</w:t>
            </w:r>
          </w:p>
        </w:tc>
        <w:tc>
          <w:tcPr>
            <w:tcW w:w="120" w:type="dxa"/>
            <w:tcBorders/>
            <w:shd w:fill="CCEEFF" w:val="clear"/>
            <w:vAlign w:val="center"/>
          </w:tcPr>
          <w:p>
            <w:pPr>
              <w:pStyle w:val="TableContents"/>
              <w:spacing w:before="0" w:after="283"/>
              <w:rPr/>
            </w:pPr>
            <w:r>
              <w:rPr/>
              <w:t>  </w:t>
            </w:r>
          </w:p>
        </w:tc>
        <w:tc>
          <w:tcPr>
            <w:tcW w:w="76" w:type="dxa"/>
            <w:tcBorders/>
            <w:shd w:fill="CCEEFF" w:val="clear"/>
            <w:vAlign w:val="center"/>
          </w:tcPr>
          <w:p>
            <w:pPr>
              <w:pStyle w:val="TableContents"/>
              <w:spacing w:before="0" w:after="283"/>
              <w:rPr/>
            </w:pPr>
            <w:r>
              <w:rPr/>
              <w:t> </w:t>
            </w:r>
          </w:p>
        </w:tc>
        <w:tc>
          <w:tcPr>
            <w:tcW w:w="484" w:type="dxa"/>
            <w:tcBorders/>
            <w:shd w:fill="CCEEFF" w:val="clear"/>
            <w:vAlign w:val="center"/>
          </w:tcPr>
          <w:p>
            <w:pPr>
              <w:pStyle w:val="TableContents"/>
              <w:spacing w:before="0" w:after="283"/>
              <w:jc w:val="right"/>
              <w:rPr/>
            </w:pPr>
            <w:r>
              <w:rPr/>
              <w:t>16</w:t>
            </w:r>
          </w:p>
        </w:tc>
        <w:tc>
          <w:tcPr>
            <w:tcW w:w="75" w:type="dxa"/>
            <w:tcBorders/>
            <w:shd w:fill="CCEEFF" w:val="clear"/>
            <w:vAlign w:val="center"/>
          </w:tcPr>
          <w:p>
            <w:pPr>
              <w:pStyle w:val="TableContents"/>
              <w:spacing w:before="0" w:after="283"/>
              <w:rPr/>
            </w:pPr>
            <w:r>
              <w:rPr/>
              <w:t> </w:t>
            </w:r>
          </w:p>
        </w:tc>
      </w:tr>
      <w:tr>
        <w:trPr/>
        <w:tc>
          <w:tcPr>
            <w:tcW w:w="135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Colorado</w:t>
            </w:r>
          </w:p>
        </w:tc>
        <w:tc>
          <w:tcPr>
            <w:tcW w:w="120" w:type="dxa"/>
            <w:tcBorders/>
            <w:shd w:fill="auto" w:val="clear"/>
            <w:vAlign w:val="center"/>
          </w:tcPr>
          <w:p>
            <w:pPr>
              <w:pStyle w:val="TableContents"/>
              <w:spacing w:before="0" w:after="283"/>
              <w:rPr/>
            </w:pPr>
            <w:r>
              <w:rPr/>
              <w:t>  </w:t>
            </w:r>
          </w:p>
        </w:tc>
        <w:tc>
          <w:tcPr>
            <w:tcW w:w="76" w:type="dxa"/>
            <w:tcBorders/>
            <w:shd w:fill="auto" w:val="clear"/>
            <w:vAlign w:val="center"/>
          </w:tcPr>
          <w:p>
            <w:pPr>
              <w:pStyle w:val="TableContents"/>
              <w:spacing w:before="0" w:after="283"/>
              <w:rPr/>
            </w:pPr>
            <w:r>
              <w:rPr/>
              <w:t> </w:t>
            </w:r>
          </w:p>
        </w:tc>
        <w:tc>
          <w:tcPr>
            <w:tcW w:w="484" w:type="dxa"/>
            <w:tcBorders/>
            <w:shd w:fill="auto" w:val="clear"/>
            <w:vAlign w:val="center"/>
          </w:tcPr>
          <w:p>
            <w:pPr>
              <w:pStyle w:val="TableContents"/>
              <w:spacing w:before="0" w:after="283"/>
              <w:jc w:val="right"/>
              <w:rPr/>
            </w:pPr>
            <w:r>
              <w:rPr/>
              <w:t>2</w:t>
            </w:r>
          </w:p>
        </w:tc>
        <w:tc>
          <w:tcPr>
            <w:tcW w:w="75" w:type="dxa"/>
            <w:tcBorders/>
            <w:shd w:fill="auto" w:val="clear"/>
            <w:vAlign w:val="center"/>
          </w:tcPr>
          <w:p>
            <w:pPr>
              <w:pStyle w:val="TableContents"/>
              <w:spacing w:before="0" w:after="283"/>
              <w:rPr/>
            </w:pPr>
            <w:r>
              <w:rPr/>
              <w:t> </w:t>
            </w:r>
          </w:p>
        </w:tc>
      </w:tr>
      <w:tr>
        <w:trPr/>
        <w:tc>
          <w:tcPr>
            <w:tcW w:w="135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Connecticut</w:t>
            </w:r>
          </w:p>
        </w:tc>
        <w:tc>
          <w:tcPr>
            <w:tcW w:w="120" w:type="dxa"/>
            <w:tcBorders/>
            <w:shd w:fill="CCEEFF" w:val="clear"/>
            <w:vAlign w:val="center"/>
          </w:tcPr>
          <w:p>
            <w:pPr>
              <w:pStyle w:val="TableContents"/>
              <w:spacing w:before="0" w:after="283"/>
              <w:rPr/>
            </w:pPr>
            <w:r>
              <w:rPr/>
              <w:t>  </w:t>
            </w:r>
          </w:p>
        </w:tc>
        <w:tc>
          <w:tcPr>
            <w:tcW w:w="76" w:type="dxa"/>
            <w:tcBorders/>
            <w:shd w:fill="CCEEFF" w:val="clear"/>
            <w:vAlign w:val="center"/>
          </w:tcPr>
          <w:p>
            <w:pPr>
              <w:pStyle w:val="TableContents"/>
              <w:spacing w:before="0" w:after="283"/>
              <w:rPr/>
            </w:pPr>
            <w:r>
              <w:rPr/>
              <w:t> </w:t>
            </w:r>
          </w:p>
        </w:tc>
        <w:tc>
          <w:tcPr>
            <w:tcW w:w="484" w:type="dxa"/>
            <w:tcBorders/>
            <w:shd w:fill="CCEEFF" w:val="clear"/>
            <w:vAlign w:val="center"/>
          </w:tcPr>
          <w:p>
            <w:pPr>
              <w:pStyle w:val="TableContents"/>
              <w:spacing w:before="0" w:after="283"/>
              <w:jc w:val="right"/>
              <w:rPr/>
            </w:pPr>
            <w:r>
              <w:rPr/>
              <w:t>2</w:t>
            </w:r>
          </w:p>
        </w:tc>
        <w:tc>
          <w:tcPr>
            <w:tcW w:w="75" w:type="dxa"/>
            <w:tcBorders/>
            <w:shd w:fill="CCEEFF" w:val="clear"/>
            <w:vAlign w:val="center"/>
          </w:tcPr>
          <w:p>
            <w:pPr>
              <w:pStyle w:val="TableContents"/>
              <w:spacing w:before="0" w:after="283"/>
              <w:rPr/>
            </w:pPr>
            <w:r>
              <w:rPr/>
              <w:t> </w:t>
            </w:r>
          </w:p>
        </w:tc>
      </w:tr>
      <w:tr>
        <w:trPr/>
        <w:tc>
          <w:tcPr>
            <w:tcW w:w="135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Florida</w:t>
            </w:r>
          </w:p>
        </w:tc>
        <w:tc>
          <w:tcPr>
            <w:tcW w:w="120" w:type="dxa"/>
            <w:tcBorders/>
            <w:shd w:fill="auto" w:val="clear"/>
            <w:vAlign w:val="center"/>
          </w:tcPr>
          <w:p>
            <w:pPr>
              <w:pStyle w:val="TableContents"/>
              <w:spacing w:before="0" w:after="283"/>
              <w:rPr/>
            </w:pPr>
            <w:r>
              <w:rPr/>
              <w:t>  </w:t>
            </w:r>
          </w:p>
        </w:tc>
        <w:tc>
          <w:tcPr>
            <w:tcW w:w="76" w:type="dxa"/>
            <w:tcBorders/>
            <w:shd w:fill="auto" w:val="clear"/>
            <w:vAlign w:val="center"/>
          </w:tcPr>
          <w:p>
            <w:pPr>
              <w:pStyle w:val="TableContents"/>
              <w:spacing w:before="0" w:after="283"/>
              <w:rPr/>
            </w:pPr>
            <w:r>
              <w:rPr/>
              <w:t> </w:t>
            </w:r>
          </w:p>
        </w:tc>
        <w:tc>
          <w:tcPr>
            <w:tcW w:w="484" w:type="dxa"/>
            <w:tcBorders/>
            <w:shd w:fill="auto" w:val="clear"/>
            <w:vAlign w:val="center"/>
          </w:tcPr>
          <w:p>
            <w:pPr>
              <w:pStyle w:val="TableContents"/>
              <w:spacing w:before="0" w:after="283"/>
              <w:jc w:val="right"/>
              <w:rPr/>
            </w:pPr>
            <w:r>
              <w:rPr/>
              <w:t>8</w:t>
            </w:r>
          </w:p>
        </w:tc>
        <w:tc>
          <w:tcPr>
            <w:tcW w:w="75" w:type="dxa"/>
            <w:tcBorders/>
            <w:shd w:fill="auto" w:val="clear"/>
            <w:vAlign w:val="center"/>
          </w:tcPr>
          <w:p>
            <w:pPr>
              <w:pStyle w:val="TableContents"/>
              <w:spacing w:before="0" w:after="283"/>
              <w:rPr/>
            </w:pPr>
            <w:r>
              <w:rPr/>
              <w:t> </w:t>
            </w:r>
          </w:p>
        </w:tc>
      </w:tr>
      <w:tr>
        <w:trPr/>
        <w:tc>
          <w:tcPr>
            <w:tcW w:w="135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Georgia</w:t>
            </w:r>
          </w:p>
        </w:tc>
        <w:tc>
          <w:tcPr>
            <w:tcW w:w="120" w:type="dxa"/>
            <w:tcBorders/>
            <w:shd w:fill="CCEEFF" w:val="clear"/>
            <w:vAlign w:val="center"/>
          </w:tcPr>
          <w:p>
            <w:pPr>
              <w:pStyle w:val="TableContents"/>
              <w:spacing w:before="0" w:after="283"/>
              <w:rPr/>
            </w:pPr>
            <w:r>
              <w:rPr/>
              <w:t>  </w:t>
            </w:r>
          </w:p>
        </w:tc>
        <w:tc>
          <w:tcPr>
            <w:tcW w:w="76" w:type="dxa"/>
            <w:tcBorders/>
            <w:shd w:fill="CCEEFF" w:val="clear"/>
            <w:vAlign w:val="center"/>
          </w:tcPr>
          <w:p>
            <w:pPr>
              <w:pStyle w:val="TableContents"/>
              <w:spacing w:before="0" w:after="283"/>
              <w:rPr/>
            </w:pPr>
            <w:r>
              <w:rPr/>
              <w:t> </w:t>
            </w:r>
          </w:p>
        </w:tc>
        <w:tc>
          <w:tcPr>
            <w:tcW w:w="484" w:type="dxa"/>
            <w:tcBorders/>
            <w:shd w:fill="CCEEFF" w:val="clear"/>
            <w:vAlign w:val="center"/>
          </w:tcPr>
          <w:p>
            <w:pPr>
              <w:pStyle w:val="TableContents"/>
              <w:spacing w:before="0" w:after="283"/>
              <w:jc w:val="right"/>
              <w:rPr/>
            </w:pPr>
            <w:r>
              <w:rPr/>
              <w:t>4</w:t>
            </w:r>
          </w:p>
        </w:tc>
        <w:tc>
          <w:tcPr>
            <w:tcW w:w="75" w:type="dxa"/>
            <w:tcBorders/>
            <w:shd w:fill="CCEEFF" w:val="clear"/>
            <w:vAlign w:val="center"/>
          </w:tcPr>
          <w:p>
            <w:pPr>
              <w:pStyle w:val="TableContents"/>
              <w:spacing w:before="0" w:after="283"/>
              <w:rPr/>
            </w:pPr>
            <w:r>
              <w:rPr/>
              <w:t> </w:t>
            </w:r>
          </w:p>
        </w:tc>
      </w:tr>
      <w:tr>
        <w:trPr/>
        <w:tc>
          <w:tcPr>
            <w:tcW w:w="135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Hawaii</w:t>
            </w:r>
          </w:p>
        </w:tc>
        <w:tc>
          <w:tcPr>
            <w:tcW w:w="120" w:type="dxa"/>
            <w:tcBorders/>
            <w:shd w:fill="auto" w:val="clear"/>
            <w:vAlign w:val="center"/>
          </w:tcPr>
          <w:p>
            <w:pPr>
              <w:pStyle w:val="TableContents"/>
              <w:spacing w:before="0" w:after="283"/>
              <w:rPr/>
            </w:pPr>
            <w:r>
              <w:rPr/>
              <w:t>  </w:t>
            </w:r>
          </w:p>
        </w:tc>
        <w:tc>
          <w:tcPr>
            <w:tcW w:w="76" w:type="dxa"/>
            <w:tcBorders/>
            <w:shd w:fill="auto" w:val="clear"/>
            <w:vAlign w:val="center"/>
          </w:tcPr>
          <w:p>
            <w:pPr>
              <w:pStyle w:val="TableContents"/>
              <w:spacing w:before="0" w:after="283"/>
              <w:rPr/>
            </w:pPr>
            <w:r>
              <w:rPr/>
              <w:t> </w:t>
            </w:r>
          </w:p>
        </w:tc>
        <w:tc>
          <w:tcPr>
            <w:tcW w:w="484" w:type="dxa"/>
            <w:tcBorders/>
            <w:shd w:fill="auto" w:val="clear"/>
            <w:vAlign w:val="center"/>
          </w:tcPr>
          <w:p>
            <w:pPr>
              <w:pStyle w:val="TableContents"/>
              <w:spacing w:before="0" w:after="283"/>
              <w:jc w:val="right"/>
              <w:rPr/>
            </w:pPr>
            <w:r>
              <w:rPr/>
              <w:t>1</w:t>
            </w:r>
          </w:p>
        </w:tc>
        <w:tc>
          <w:tcPr>
            <w:tcW w:w="75" w:type="dxa"/>
            <w:tcBorders/>
            <w:shd w:fill="auto" w:val="clear"/>
            <w:vAlign w:val="center"/>
          </w:tcPr>
          <w:p>
            <w:pPr>
              <w:pStyle w:val="TableContents"/>
              <w:spacing w:before="0" w:after="283"/>
              <w:rPr/>
            </w:pPr>
            <w:r>
              <w:rPr/>
              <w:t> </w:t>
            </w:r>
          </w:p>
        </w:tc>
      </w:tr>
      <w:tr>
        <w:trPr/>
        <w:tc>
          <w:tcPr>
            <w:tcW w:w="135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Idaho</w:t>
            </w:r>
          </w:p>
        </w:tc>
        <w:tc>
          <w:tcPr>
            <w:tcW w:w="120" w:type="dxa"/>
            <w:tcBorders/>
            <w:shd w:fill="CCEEFF" w:val="clear"/>
            <w:vAlign w:val="center"/>
          </w:tcPr>
          <w:p>
            <w:pPr>
              <w:pStyle w:val="TableContents"/>
              <w:spacing w:before="0" w:after="283"/>
              <w:rPr/>
            </w:pPr>
            <w:r>
              <w:rPr/>
              <w:t>  </w:t>
            </w:r>
          </w:p>
        </w:tc>
        <w:tc>
          <w:tcPr>
            <w:tcW w:w="76" w:type="dxa"/>
            <w:tcBorders/>
            <w:shd w:fill="CCEEFF" w:val="clear"/>
            <w:vAlign w:val="center"/>
          </w:tcPr>
          <w:p>
            <w:pPr>
              <w:pStyle w:val="TableContents"/>
              <w:spacing w:before="0" w:after="283"/>
              <w:rPr/>
            </w:pPr>
            <w:r>
              <w:rPr/>
              <w:t> </w:t>
            </w:r>
          </w:p>
        </w:tc>
        <w:tc>
          <w:tcPr>
            <w:tcW w:w="484" w:type="dxa"/>
            <w:tcBorders/>
            <w:shd w:fill="CCEEFF" w:val="clear"/>
            <w:vAlign w:val="center"/>
          </w:tcPr>
          <w:p>
            <w:pPr>
              <w:pStyle w:val="TableContents"/>
              <w:spacing w:before="0" w:after="283"/>
              <w:jc w:val="right"/>
              <w:rPr/>
            </w:pPr>
            <w:r>
              <w:rPr/>
              <w:t>1</w:t>
            </w:r>
          </w:p>
        </w:tc>
        <w:tc>
          <w:tcPr>
            <w:tcW w:w="75" w:type="dxa"/>
            <w:tcBorders/>
            <w:shd w:fill="CCEEFF" w:val="clear"/>
            <w:vAlign w:val="center"/>
          </w:tcPr>
          <w:p>
            <w:pPr>
              <w:pStyle w:val="TableContents"/>
              <w:spacing w:before="0" w:after="283"/>
              <w:rPr/>
            </w:pPr>
            <w:r>
              <w:rPr/>
              <w:t> </w:t>
            </w:r>
          </w:p>
        </w:tc>
      </w:tr>
      <w:tr>
        <w:trPr/>
        <w:tc>
          <w:tcPr>
            <w:tcW w:w="135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Illinois</w:t>
            </w:r>
          </w:p>
        </w:tc>
        <w:tc>
          <w:tcPr>
            <w:tcW w:w="120" w:type="dxa"/>
            <w:tcBorders/>
            <w:shd w:fill="auto" w:val="clear"/>
            <w:vAlign w:val="center"/>
          </w:tcPr>
          <w:p>
            <w:pPr>
              <w:pStyle w:val="TableContents"/>
              <w:spacing w:before="0" w:after="283"/>
              <w:rPr/>
            </w:pPr>
            <w:r>
              <w:rPr/>
              <w:t>  </w:t>
            </w:r>
          </w:p>
        </w:tc>
        <w:tc>
          <w:tcPr>
            <w:tcW w:w="76" w:type="dxa"/>
            <w:tcBorders/>
            <w:shd w:fill="auto" w:val="clear"/>
            <w:vAlign w:val="center"/>
          </w:tcPr>
          <w:p>
            <w:pPr>
              <w:pStyle w:val="TableContents"/>
              <w:spacing w:before="0" w:after="283"/>
              <w:rPr/>
            </w:pPr>
            <w:r>
              <w:rPr/>
              <w:t> </w:t>
            </w:r>
          </w:p>
        </w:tc>
        <w:tc>
          <w:tcPr>
            <w:tcW w:w="484" w:type="dxa"/>
            <w:tcBorders/>
            <w:shd w:fill="auto" w:val="clear"/>
            <w:vAlign w:val="center"/>
          </w:tcPr>
          <w:p>
            <w:pPr>
              <w:pStyle w:val="TableContents"/>
              <w:spacing w:before="0" w:after="283"/>
              <w:jc w:val="right"/>
              <w:rPr/>
            </w:pPr>
            <w:r>
              <w:rPr/>
              <w:t>4</w:t>
            </w:r>
          </w:p>
        </w:tc>
        <w:tc>
          <w:tcPr>
            <w:tcW w:w="75" w:type="dxa"/>
            <w:tcBorders/>
            <w:shd w:fill="auto" w:val="clear"/>
            <w:vAlign w:val="center"/>
          </w:tcPr>
          <w:p>
            <w:pPr>
              <w:pStyle w:val="TableContents"/>
              <w:spacing w:before="0" w:after="283"/>
              <w:rPr/>
            </w:pPr>
            <w:r>
              <w:rPr/>
              <w:t> </w:t>
            </w:r>
          </w:p>
        </w:tc>
      </w:tr>
      <w:tr>
        <w:trPr/>
        <w:tc>
          <w:tcPr>
            <w:tcW w:w="135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Indiana</w:t>
            </w:r>
          </w:p>
        </w:tc>
        <w:tc>
          <w:tcPr>
            <w:tcW w:w="120" w:type="dxa"/>
            <w:tcBorders/>
            <w:shd w:fill="CCEEFF" w:val="clear"/>
            <w:vAlign w:val="center"/>
          </w:tcPr>
          <w:p>
            <w:pPr>
              <w:pStyle w:val="TableContents"/>
              <w:spacing w:before="0" w:after="283"/>
              <w:rPr/>
            </w:pPr>
            <w:r>
              <w:rPr/>
              <w:t>  </w:t>
            </w:r>
          </w:p>
        </w:tc>
        <w:tc>
          <w:tcPr>
            <w:tcW w:w="76" w:type="dxa"/>
            <w:tcBorders/>
            <w:shd w:fill="CCEEFF" w:val="clear"/>
            <w:vAlign w:val="center"/>
          </w:tcPr>
          <w:p>
            <w:pPr>
              <w:pStyle w:val="TableContents"/>
              <w:spacing w:before="0" w:after="283"/>
              <w:rPr/>
            </w:pPr>
            <w:r>
              <w:rPr/>
              <w:t> </w:t>
            </w:r>
          </w:p>
        </w:tc>
        <w:tc>
          <w:tcPr>
            <w:tcW w:w="484" w:type="dxa"/>
            <w:tcBorders/>
            <w:shd w:fill="CCEEFF" w:val="clear"/>
            <w:vAlign w:val="center"/>
          </w:tcPr>
          <w:p>
            <w:pPr>
              <w:pStyle w:val="TableContents"/>
              <w:spacing w:before="0" w:after="283"/>
              <w:jc w:val="right"/>
              <w:rPr/>
            </w:pPr>
            <w:r>
              <w:rPr/>
              <w:t>2</w:t>
            </w:r>
          </w:p>
        </w:tc>
        <w:tc>
          <w:tcPr>
            <w:tcW w:w="75" w:type="dxa"/>
            <w:tcBorders/>
            <w:shd w:fill="CCEEFF" w:val="clear"/>
            <w:vAlign w:val="center"/>
          </w:tcPr>
          <w:p>
            <w:pPr>
              <w:pStyle w:val="TableContents"/>
              <w:spacing w:before="0" w:after="283"/>
              <w:rPr/>
            </w:pPr>
            <w:r>
              <w:rPr/>
              <w:t> </w:t>
            </w:r>
          </w:p>
        </w:tc>
      </w:tr>
      <w:tr>
        <w:trPr/>
        <w:tc>
          <w:tcPr>
            <w:tcW w:w="135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Kansas</w:t>
            </w:r>
          </w:p>
        </w:tc>
        <w:tc>
          <w:tcPr>
            <w:tcW w:w="120" w:type="dxa"/>
            <w:tcBorders/>
            <w:shd w:fill="auto" w:val="clear"/>
            <w:vAlign w:val="center"/>
          </w:tcPr>
          <w:p>
            <w:pPr>
              <w:pStyle w:val="TableContents"/>
              <w:spacing w:before="0" w:after="283"/>
              <w:rPr/>
            </w:pPr>
            <w:r>
              <w:rPr/>
              <w:t>  </w:t>
            </w:r>
          </w:p>
        </w:tc>
        <w:tc>
          <w:tcPr>
            <w:tcW w:w="76" w:type="dxa"/>
            <w:tcBorders/>
            <w:shd w:fill="auto" w:val="clear"/>
            <w:vAlign w:val="center"/>
          </w:tcPr>
          <w:p>
            <w:pPr>
              <w:pStyle w:val="TableContents"/>
              <w:spacing w:before="0" w:after="283"/>
              <w:rPr/>
            </w:pPr>
            <w:r>
              <w:rPr/>
              <w:t> </w:t>
            </w:r>
          </w:p>
        </w:tc>
        <w:tc>
          <w:tcPr>
            <w:tcW w:w="484" w:type="dxa"/>
            <w:tcBorders/>
            <w:shd w:fill="auto" w:val="clear"/>
            <w:vAlign w:val="center"/>
          </w:tcPr>
          <w:p>
            <w:pPr>
              <w:pStyle w:val="TableContents"/>
              <w:spacing w:before="0" w:after="283"/>
              <w:jc w:val="right"/>
              <w:rPr/>
            </w:pPr>
            <w:r>
              <w:rPr/>
              <w:t>3</w:t>
            </w:r>
          </w:p>
        </w:tc>
        <w:tc>
          <w:tcPr>
            <w:tcW w:w="75" w:type="dxa"/>
            <w:tcBorders/>
            <w:shd w:fill="auto" w:val="clear"/>
            <w:vAlign w:val="center"/>
          </w:tcPr>
          <w:p>
            <w:pPr>
              <w:pStyle w:val="TableContents"/>
              <w:spacing w:before="0" w:after="283"/>
              <w:rPr/>
            </w:pPr>
            <w:r>
              <w:rPr/>
              <w:t> </w:t>
            </w:r>
          </w:p>
        </w:tc>
      </w:tr>
      <w:tr>
        <w:trPr/>
        <w:tc>
          <w:tcPr>
            <w:tcW w:w="135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Kentucky</w:t>
            </w:r>
          </w:p>
        </w:tc>
        <w:tc>
          <w:tcPr>
            <w:tcW w:w="120" w:type="dxa"/>
            <w:tcBorders/>
            <w:shd w:fill="CCEEFF" w:val="clear"/>
            <w:vAlign w:val="center"/>
          </w:tcPr>
          <w:p>
            <w:pPr>
              <w:pStyle w:val="TableContents"/>
              <w:spacing w:before="0" w:after="283"/>
              <w:rPr/>
            </w:pPr>
            <w:r>
              <w:rPr/>
              <w:t>  </w:t>
            </w:r>
          </w:p>
        </w:tc>
        <w:tc>
          <w:tcPr>
            <w:tcW w:w="76" w:type="dxa"/>
            <w:tcBorders/>
            <w:shd w:fill="CCEEFF" w:val="clear"/>
            <w:vAlign w:val="center"/>
          </w:tcPr>
          <w:p>
            <w:pPr>
              <w:pStyle w:val="TableContents"/>
              <w:spacing w:before="0" w:after="283"/>
              <w:rPr/>
            </w:pPr>
            <w:r>
              <w:rPr/>
              <w:t> </w:t>
            </w:r>
          </w:p>
        </w:tc>
        <w:tc>
          <w:tcPr>
            <w:tcW w:w="484" w:type="dxa"/>
            <w:tcBorders/>
            <w:shd w:fill="CCEEFF" w:val="clear"/>
            <w:vAlign w:val="center"/>
          </w:tcPr>
          <w:p>
            <w:pPr>
              <w:pStyle w:val="TableContents"/>
              <w:spacing w:before="0" w:after="283"/>
              <w:jc w:val="right"/>
              <w:rPr/>
            </w:pPr>
            <w:r>
              <w:rPr/>
              <w:t>2</w:t>
            </w:r>
          </w:p>
        </w:tc>
        <w:tc>
          <w:tcPr>
            <w:tcW w:w="75" w:type="dxa"/>
            <w:tcBorders/>
            <w:shd w:fill="CCEEFF" w:val="clear"/>
            <w:vAlign w:val="center"/>
          </w:tcPr>
          <w:p>
            <w:pPr>
              <w:pStyle w:val="TableContents"/>
              <w:spacing w:before="0" w:after="283"/>
              <w:rPr/>
            </w:pPr>
            <w:r>
              <w:rPr/>
              <w:t> </w:t>
            </w:r>
          </w:p>
        </w:tc>
      </w:tr>
      <w:tr>
        <w:trPr/>
        <w:tc>
          <w:tcPr>
            <w:tcW w:w="135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Louisiana</w:t>
            </w:r>
          </w:p>
        </w:tc>
        <w:tc>
          <w:tcPr>
            <w:tcW w:w="120" w:type="dxa"/>
            <w:tcBorders/>
            <w:shd w:fill="auto" w:val="clear"/>
            <w:vAlign w:val="center"/>
          </w:tcPr>
          <w:p>
            <w:pPr>
              <w:pStyle w:val="TableContents"/>
              <w:spacing w:before="0" w:after="283"/>
              <w:rPr/>
            </w:pPr>
            <w:r>
              <w:rPr/>
              <w:t>  </w:t>
            </w:r>
          </w:p>
        </w:tc>
        <w:tc>
          <w:tcPr>
            <w:tcW w:w="76" w:type="dxa"/>
            <w:tcBorders/>
            <w:shd w:fill="auto" w:val="clear"/>
            <w:vAlign w:val="center"/>
          </w:tcPr>
          <w:p>
            <w:pPr>
              <w:pStyle w:val="TableContents"/>
              <w:spacing w:before="0" w:after="283"/>
              <w:rPr/>
            </w:pPr>
            <w:r>
              <w:rPr/>
              <w:t> </w:t>
            </w:r>
          </w:p>
        </w:tc>
        <w:tc>
          <w:tcPr>
            <w:tcW w:w="484" w:type="dxa"/>
            <w:tcBorders/>
            <w:shd w:fill="auto" w:val="clear"/>
            <w:vAlign w:val="center"/>
          </w:tcPr>
          <w:p>
            <w:pPr>
              <w:pStyle w:val="TableContents"/>
              <w:spacing w:before="0" w:after="283"/>
              <w:jc w:val="right"/>
              <w:rPr/>
            </w:pPr>
            <w:r>
              <w:rPr/>
              <w:t>1</w:t>
            </w:r>
          </w:p>
        </w:tc>
        <w:tc>
          <w:tcPr>
            <w:tcW w:w="75" w:type="dxa"/>
            <w:tcBorders/>
            <w:shd w:fill="auto" w:val="clear"/>
            <w:vAlign w:val="center"/>
          </w:tcPr>
          <w:p>
            <w:pPr>
              <w:pStyle w:val="TableContents"/>
              <w:spacing w:before="0" w:after="283"/>
              <w:rPr/>
            </w:pPr>
            <w:r>
              <w:rPr/>
              <w:t> </w:t>
            </w:r>
          </w:p>
        </w:tc>
      </w:tr>
      <w:tr>
        <w:trPr/>
        <w:tc>
          <w:tcPr>
            <w:tcW w:w="135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Maryland</w:t>
            </w:r>
          </w:p>
        </w:tc>
        <w:tc>
          <w:tcPr>
            <w:tcW w:w="120" w:type="dxa"/>
            <w:tcBorders/>
            <w:shd w:fill="CCEEFF" w:val="clear"/>
            <w:vAlign w:val="center"/>
          </w:tcPr>
          <w:p>
            <w:pPr>
              <w:pStyle w:val="TableContents"/>
              <w:spacing w:before="0" w:after="283"/>
              <w:rPr/>
            </w:pPr>
            <w:r>
              <w:rPr/>
              <w:t>  </w:t>
            </w:r>
          </w:p>
        </w:tc>
        <w:tc>
          <w:tcPr>
            <w:tcW w:w="76" w:type="dxa"/>
            <w:tcBorders/>
            <w:shd w:fill="CCEEFF" w:val="clear"/>
            <w:vAlign w:val="center"/>
          </w:tcPr>
          <w:p>
            <w:pPr>
              <w:pStyle w:val="TableContents"/>
              <w:spacing w:before="0" w:after="283"/>
              <w:rPr/>
            </w:pPr>
            <w:r>
              <w:rPr/>
              <w:t> </w:t>
            </w:r>
          </w:p>
        </w:tc>
        <w:tc>
          <w:tcPr>
            <w:tcW w:w="484" w:type="dxa"/>
            <w:tcBorders/>
            <w:shd w:fill="CCEEFF" w:val="clear"/>
            <w:vAlign w:val="center"/>
          </w:tcPr>
          <w:p>
            <w:pPr>
              <w:pStyle w:val="TableContents"/>
              <w:spacing w:before="0" w:after="283"/>
              <w:jc w:val="right"/>
              <w:rPr/>
            </w:pPr>
            <w:r>
              <w:rPr/>
              <w:t>5</w:t>
            </w:r>
          </w:p>
        </w:tc>
        <w:tc>
          <w:tcPr>
            <w:tcW w:w="75" w:type="dxa"/>
            <w:tcBorders/>
            <w:shd w:fill="CCEEFF" w:val="clear"/>
            <w:vAlign w:val="center"/>
          </w:tcPr>
          <w:p>
            <w:pPr>
              <w:pStyle w:val="TableContents"/>
              <w:spacing w:before="0" w:after="283"/>
              <w:rPr/>
            </w:pPr>
            <w:r>
              <w:rPr/>
              <w:t> </w:t>
            </w:r>
          </w:p>
        </w:tc>
      </w:tr>
      <w:tr>
        <w:trPr/>
        <w:tc>
          <w:tcPr>
            <w:tcW w:w="135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Massachusetts</w:t>
            </w:r>
          </w:p>
        </w:tc>
        <w:tc>
          <w:tcPr>
            <w:tcW w:w="120" w:type="dxa"/>
            <w:tcBorders/>
            <w:shd w:fill="auto" w:val="clear"/>
            <w:vAlign w:val="center"/>
          </w:tcPr>
          <w:p>
            <w:pPr>
              <w:pStyle w:val="TableContents"/>
              <w:spacing w:before="0" w:after="283"/>
              <w:rPr/>
            </w:pPr>
            <w:r>
              <w:rPr/>
              <w:t>  </w:t>
            </w:r>
          </w:p>
        </w:tc>
        <w:tc>
          <w:tcPr>
            <w:tcW w:w="76" w:type="dxa"/>
            <w:tcBorders/>
            <w:shd w:fill="auto" w:val="clear"/>
            <w:vAlign w:val="center"/>
          </w:tcPr>
          <w:p>
            <w:pPr>
              <w:pStyle w:val="TableContents"/>
              <w:spacing w:before="0" w:after="283"/>
              <w:rPr/>
            </w:pPr>
            <w:r>
              <w:rPr/>
              <w:t> </w:t>
            </w:r>
          </w:p>
        </w:tc>
        <w:tc>
          <w:tcPr>
            <w:tcW w:w="484" w:type="dxa"/>
            <w:tcBorders/>
            <w:shd w:fill="auto" w:val="clear"/>
            <w:vAlign w:val="center"/>
          </w:tcPr>
          <w:p>
            <w:pPr>
              <w:pStyle w:val="TableContents"/>
              <w:spacing w:before="0" w:after="283"/>
              <w:jc w:val="right"/>
              <w:rPr/>
            </w:pPr>
            <w:r>
              <w:rPr/>
              <w:t>3</w:t>
            </w:r>
          </w:p>
        </w:tc>
        <w:tc>
          <w:tcPr>
            <w:tcW w:w="75" w:type="dxa"/>
            <w:tcBorders/>
            <w:shd w:fill="auto" w:val="clear"/>
            <w:vAlign w:val="center"/>
          </w:tcPr>
          <w:p>
            <w:pPr>
              <w:pStyle w:val="TableContents"/>
              <w:spacing w:before="0" w:after="283"/>
              <w:rPr/>
            </w:pPr>
            <w:r>
              <w:rPr/>
              <w:t> </w:t>
            </w:r>
          </w:p>
        </w:tc>
      </w:tr>
      <w:tr>
        <w:trPr/>
        <w:tc>
          <w:tcPr>
            <w:tcW w:w="135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Michigan</w:t>
            </w:r>
          </w:p>
        </w:tc>
        <w:tc>
          <w:tcPr>
            <w:tcW w:w="120" w:type="dxa"/>
            <w:tcBorders/>
            <w:shd w:fill="CCEEFF" w:val="clear"/>
            <w:vAlign w:val="center"/>
          </w:tcPr>
          <w:p>
            <w:pPr>
              <w:pStyle w:val="TableContents"/>
              <w:spacing w:before="0" w:after="283"/>
              <w:rPr/>
            </w:pPr>
            <w:r>
              <w:rPr/>
              <w:t>  </w:t>
            </w:r>
          </w:p>
        </w:tc>
        <w:tc>
          <w:tcPr>
            <w:tcW w:w="76" w:type="dxa"/>
            <w:tcBorders/>
            <w:shd w:fill="CCEEFF" w:val="clear"/>
            <w:vAlign w:val="center"/>
          </w:tcPr>
          <w:p>
            <w:pPr>
              <w:pStyle w:val="TableContents"/>
              <w:spacing w:before="0" w:after="283"/>
              <w:rPr/>
            </w:pPr>
            <w:r>
              <w:rPr/>
              <w:t> </w:t>
            </w:r>
          </w:p>
        </w:tc>
        <w:tc>
          <w:tcPr>
            <w:tcW w:w="484" w:type="dxa"/>
            <w:tcBorders/>
            <w:shd w:fill="CCEEFF" w:val="clear"/>
            <w:vAlign w:val="center"/>
          </w:tcPr>
          <w:p>
            <w:pPr>
              <w:pStyle w:val="TableContents"/>
              <w:spacing w:before="0" w:after="283"/>
              <w:jc w:val="right"/>
              <w:rPr/>
            </w:pPr>
            <w:r>
              <w:rPr/>
              <w:t>3</w:t>
            </w:r>
          </w:p>
        </w:tc>
        <w:tc>
          <w:tcPr>
            <w:tcW w:w="75" w:type="dxa"/>
            <w:tcBorders/>
            <w:shd w:fill="CCEEFF" w:val="clear"/>
            <w:vAlign w:val="center"/>
          </w:tcPr>
          <w:p>
            <w:pPr>
              <w:pStyle w:val="TableContents"/>
              <w:spacing w:before="0" w:after="283"/>
              <w:rPr/>
            </w:pPr>
            <w:r>
              <w:rPr/>
              <w:t> </w:t>
            </w:r>
          </w:p>
        </w:tc>
      </w:tr>
      <w:tr>
        <w:trPr/>
        <w:tc>
          <w:tcPr>
            <w:tcW w:w="135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Minnesota</w:t>
            </w:r>
          </w:p>
        </w:tc>
        <w:tc>
          <w:tcPr>
            <w:tcW w:w="120" w:type="dxa"/>
            <w:tcBorders/>
            <w:shd w:fill="auto" w:val="clear"/>
            <w:vAlign w:val="center"/>
          </w:tcPr>
          <w:p>
            <w:pPr>
              <w:pStyle w:val="TableContents"/>
              <w:spacing w:before="0" w:after="283"/>
              <w:rPr/>
            </w:pPr>
            <w:r>
              <w:rPr/>
              <w:t>  </w:t>
            </w:r>
          </w:p>
        </w:tc>
        <w:tc>
          <w:tcPr>
            <w:tcW w:w="76" w:type="dxa"/>
            <w:tcBorders/>
            <w:shd w:fill="auto" w:val="clear"/>
            <w:vAlign w:val="center"/>
          </w:tcPr>
          <w:p>
            <w:pPr>
              <w:pStyle w:val="TableContents"/>
              <w:spacing w:before="0" w:after="283"/>
              <w:rPr/>
            </w:pPr>
            <w:r>
              <w:rPr/>
              <w:t> </w:t>
            </w:r>
          </w:p>
        </w:tc>
        <w:tc>
          <w:tcPr>
            <w:tcW w:w="484" w:type="dxa"/>
            <w:tcBorders/>
            <w:shd w:fill="auto" w:val="clear"/>
            <w:vAlign w:val="center"/>
          </w:tcPr>
          <w:p>
            <w:pPr>
              <w:pStyle w:val="TableContents"/>
              <w:spacing w:before="0" w:after="283"/>
              <w:jc w:val="right"/>
              <w:rPr/>
            </w:pPr>
            <w:r>
              <w:rPr/>
              <w:t>2</w:t>
            </w:r>
          </w:p>
        </w:tc>
        <w:tc>
          <w:tcPr>
            <w:tcW w:w="75" w:type="dxa"/>
            <w:tcBorders/>
            <w:shd w:fill="auto" w:val="clear"/>
            <w:vAlign w:val="center"/>
          </w:tcPr>
          <w:p>
            <w:pPr>
              <w:pStyle w:val="TableContents"/>
              <w:spacing w:before="0" w:after="283"/>
              <w:rPr/>
            </w:pPr>
            <w:r>
              <w:rPr/>
              <w:t> </w:t>
            </w:r>
          </w:p>
        </w:tc>
      </w:tr>
      <w:tr>
        <w:trPr/>
        <w:tc>
          <w:tcPr>
            <w:tcW w:w="135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Missouri</w:t>
            </w:r>
          </w:p>
        </w:tc>
        <w:tc>
          <w:tcPr>
            <w:tcW w:w="120" w:type="dxa"/>
            <w:tcBorders/>
            <w:shd w:fill="CCEEFF" w:val="clear"/>
            <w:vAlign w:val="center"/>
          </w:tcPr>
          <w:p>
            <w:pPr>
              <w:pStyle w:val="TableContents"/>
              <w:spacing w:before="0" w:after="283"/>
              <w:rPr/>
            </w:pPr>
            <w:r>
              <w:rPr/>
              <w:t>  </w:t>
            </w:r>
          </w:p>
        </w:tc>
        <w:tc>
          <w:tcPr>
            <w:tcW w:w="76" w:type="dxa"/>
            <w:tcBorders/>
            <w:shd w:fill="CCEEFF" w:val="clear"/>
            <w:vAlign w:val="center"/>
          </w:tcPr>
          <w:p>
            <w:pPr>
              <w:pStyle w:val="TableContents"/>
              <w:spacing w:before="0" w:after="283"/>
              <w:rPr/>
            </w:pPr>
            <w:r>
              <w:rPr/>
              <w:t> </w:t>
            </w:r>
          </w:p>
        </w:tc>
        <w:tc>
          <w:tcPr>
            <w:tcW w:w="484" w:type="dxa"/>
            <w:tcBorders/>
            <w:shd w:fill="CCEEFF" w:val="clear"/>
            <w:vAlign w:val="center"/>
          </w:tcPr>
          <w:p>
            <w:pPr>
              <w:pStyle w:val="TableContents"/>
              <w:spacing w:before="0" w:after="283"/>
              <w:jc w:val="right"/>
              <w:rPr/>
            </w:pPr>
            <w:r>
              <w:rPr/>
              <w:t>1</w:t>
            </w:r>
          </w:p>
        </w:tc>
        <w:tc>
          <w:tcPr>
            <w:tcW w:w="75" w:type="dxa"/>
            <w:tcBorders/>
            <w:shd w:fill="CCEEFF" w:val="clear"/>
            <w:vAlign w:val="center"/>
          </w:tcPr>
          <w:p>
            <w:pPr>
              <w:pStyle w:val="TableContents"/>
              <w:spacing w:before="0" w:after="283"/>
              <w:rPr/>
            </w:pPr>
            <w:r>
              <w:rPr/>
              <w:t> </w:t>
            </w:r>
          </w:p>
        </w:tc>
      </w:tr>
      <w:tr>
        <w:trPr/>
        <w:tc>
          <w:tcPr>
            <w:tcW w:w="135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Nebraska</w:t>
            </w:r>
          </w:p>
        </w:tc>
        <w:tc>
          <w:tcPr>
            <w:tcW w:w="120" w:type="dxa"/>
            <w:tcBorders/>
            <w:shd w:fill="auto" w:val="clear"/>
            <w:vAlign w:val="center"/>
          </w:tcPr>
          <w:p>
            <w:pPr>
              <w:pStyle w:val="TableContents"/>
              <w:spacing w:before="0" w:after="283"/>
              <w:rPr/>
            </w:pPr>
            <w:r>
              <w:rPr/>
              <w:t>  </w:t>
            </w:r>
          </w:p>
        </w:tc>
        <w:tc>
          <w:tcPr>
            <w:tcW w:w="76" w:type="dxa"/>
            <w:tcBorders/>
            <w:shd w:fill="auto" w:val="clear"/>
            <w:vAlign w:val="center"/>
          </w:tcPr>
          <w:p>
            <w:pPr>
              <w:pStyle w:val="TableContents"/>
              <w:spacing w:before="0" w:after="283"/>
              <w:rPr/>
            </w:pPr>
            <w:r>
              <w:rPr/>
              <w:t> </w:t>
            </w:r>
          </w:p>
        </w:tc>
        <w:tc>
          <w:tcPr>
            <w:tcW w:w="484" w:type="dxa"/>
            <w:tcBorders/>
            <w:shd w:fill="auto" w:val="clear"/>
            <w:vAlign w:val="center"/>
          </w:tcPr>
          <w:p>
            <w:pPr>
              <w:pStyle w:val="TableContents"/>
              <w:spacing w:before="0" w:after="283"/>
              <w:jc w:val="right"/>
              <w:rPr/>
            </w:pPr>
            <w:r>
              <w:rPr/>
              <w:t>1</w:t>
            </w:r>
          </w:p>
        </w:tc>
        <w:tc>
          <w:tcPr>
            <w:tcW w:w="75" w:type="dxa"/>
            <w:tcBorders/>
            <w:shd w:fill="auto" w:val="clear"/>
            <w:vAlign w:val="center"/>
          </w:tcPr>
          <w:p>
            <w:pPr>
              <w:pStyle w:val="TableContents"/>
              <w:spacing w:before="0" w:after="283"/>
              <w:rPr/>
            </w:pPr>
            <w:r>
              <w:rPr/>
              <w:t> </w:t>
            </w:r>
          </w:p>
        </w:tc>
      </w:tr>
      <w:tr>
        <w:trPr/>
        <w:tc>
          <w:tcPr>
            <w:tcW w:w="135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Nevada</w:t>
            </w:r>
          </w:p>
        </w:tc>
        <w:tc>
          <w:tcPr>
            <w:tcW w:w="120" w:type="dxa"/>
            <w:tcBorders/>
            <w:shd w:fill="CCEEFF" w:val="clear"/>
            <w:vAlign w:val="center"/>
          </w:tcPr>
          <w:p>
            <w:pPr>
              <w:pStyle w:val="TableContents"/>
              <w:spacing w:before="0" w:after="283"/>
              <w:rPr/>
            </w:pPr>
            <w:r>
              <w:rPr/>
              <w:t>  </w:t>
            </w:r>
          </w:p>
        </w:tc>
        <w:tc>
          <w:tcPr>
            <w:tcW w:w="76" w:type="dxa"/>
            <w:tcBorders/>
            <w:shd w:fill="CCEEFF" w:val="clear"/>
            <w:vAlign w:val="center"/>
          </w:tcPr>
          <w:p>
            <w:pPr>
              <w:pStyle w:val="TableContents"/>
              <w:spacing w:before="0" w:after="283"/>
              <w:rPr/>
            </w:pPr>
            <w:r>
              <w:rPr/>
              <w:t> </w:t>
            </w:r>
          </w:p>
        </w:tc>
        <w:tc>
          <w:tcPr>
            <w:tcW w:w="484" w:type="dxa"/>
            <w:tcBorders/>
            <w:shd w:fill="CCEEFF" w:val="clear"/>
            <w:vAlign w:val="center"/>
          </w:tcPr>
          <w:p>
            <w:pPr>
              <w:pStyle w:val="TableContents"/>
              <w:spacing w:before="0" w:after="283"/>
              <w:jc w:val="right"/>
              <w:rPr/>
            </w:pPr>
            <w:r>
              <w:rPr/>
              <w:t>1</w:t>
            </w:r>
          </w:p>
        </w:tc>
        <w:tc>
          <w:tcPr>
            <w:tcW w:w="75" w:type="dxa"/>
            <w:tcBorders/>
            <w:shd w:fill="CCEEFF" w:val="clear"/>
            <w:vAlign w:val="center"/>
          </w:tcPr>
          <w:p>
            <w:pPr>
              <w:pStyle w:val="TableContents"/>
              <w:spacing w:before="0" w:after="283"/>
              <w:rPr/>
            </w:pPr>
            <w:r>
              <w:rPr/>
              <w:t> </w:t>
            </w:r>
          </w:p>
        </w:tc>
      </w:tr>
      <w:tr>
        <w:trPr/>
        <w:tc>
          <w:tcPr>
            <w:tcW w:w="135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New Hampshire</w:t>
            </w:r>
          </w:p>
        </w:tc>
        <w:tc>
          <w:tcPr>
            <w:tcW w:w="120" w:type="dxa"/>
            <w:tcBorders/>
            <w:shd w:fill="auto" w:val="clear"/>
            <w:vAlign w:val="center"/>
          </w:tcPr>
          <w:p>
            <w:pPr>
              <w:pStyle w:val="TableContents"/>
              <w:spacing w:before="0" w:after="283"/>
              <w:rPr/>
            </w:pPr>
            <w:r>
              <w:rPr/>
              <w:t>  </w:t>
            </w:r>
          </w:p>
        </w:tc>
        <w:tc>
          <w:tcPr>
            <w:tcW w:w="76" w:type="dxa"/>
            <w:tcBorders/>
            <w:shd w:fill="auto" w:val="clear"/>
            <w:vAlign w:val="center"/>
          </w:tcPr>
          <w:p>
            <w:pPr>
              <w:pStyle w:val="TableContents"/>
              <w:spacing w:before="0" w:after="283"/>
              <w:rPr/>
            </w:pPr>
            <w:r>
              <w:rPr/>
              <w:t> </w:t>
            </w:r>
          </w:p>
        </w:tc>
        <w:tc>
          <w:tcPr>
            <w:tcW w:w="484" w:type="dxa"/>
            <w:tcBorders/>
            <w:shd w:fill="auto" w:val="clear"/>
            <w:vAlign w:val="center"/>
          </w:tcPr>
          <w:p>
            <w:pPr>
              <w:pStyle w:val="TableContents"/>
              <w:spacing w:before="0" w:after="283"/>
              <w:jc w:val="right"/>
              <w:rPr/>
            </w:pPr>
            <w:r>
              <w:rPr/>
              <w:t>1</w:t>
            </w:r>
          </w:p>
        </w:tc>
        <w:tc>
          <w:tcPr>
            <w:tcW w:w="75" w:type="dxa"/>
            <w:tcBorders/>
            <w:shd w:fill="auto" w:val="clear"/>
            <w:vAlign w:val="center"/>
          </w:tcPr>
          <w:p>
            <w:pPr>
              <w:pStyle w:val="TableContents"/>
              <w:spacing w:before="0" w:after="283"/>
              <w:rPr/>
            </w:pPr>
            <w:r>
              <w:rPr/>
              <w:t> </w:t>
            </w:r>
          </w:p>
        </w:tc>
      </w:tr>
      <w:tr>
        <w:trPr/>
        <w:tc>
          <w:tcPr>
            <w:tcW w:w="135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New Jersey</w:t>
            </w:r>
          </w:p>
        </w:tc>
        <w:tc>
          <w:tcPr>
            <w:tcW w:w="120" w:type="dxa"/>
            <w:tcBorders/>
            <w:shd w:fill="CCEEFF" w:val="clear"/>
            <w:vAlign w:val="center"/>
          </w:tcPr>
          <w:p>
            <w:pPr>
              <w:pStyle w:val="TableContents"/>
              <w:spacing w:before="0" w:after="283"/>
              <w:rPr/>
            </w:pPr>
            <w:r>
              <w:rPr/>
              <w:t>  </w:t>
            </w:r>
          </w:p>
        </w:tc>
        <w:tc>
          <w:tcPr>
            <w:tcW w:w="76" w:type="dxa"/>
            <w:tcBorders/>
            <w:shd w:fill="CCEEFF" w:val="clear"/>
            <w:vAlign w:val="center"/>
          </w:tcPr>
          <w:p>
            <w:pPr>
              <w:pStyle w:val="TableContents"/>
              <w:spacing w:before="0" w:after="283"/>
              <w:rPr/>
            </w:pPr>
            <w:r>
              <w:rPr/>
              <w:t> </w:t>
            </w:r>
          </w:p>
        </w:tc>
        <w:tc>
          <w:tcPr>
            <w:tcW w:w="484" w:type="dxa"/>
            <w:tcBorders/>
            <w:shd w:fill="CCEEFF" w:val="clear"/>
            <w:vAlign w:val="center"/>
          </w:tcPr>
          <w:p>
            <w:pPr>
              <w:pStyle w:val="TableContents"/>
              <w:spacing w:before="0" w:after="283"/>
              <w:jc w:val="right"/>
              <w:rPr/>
            </w:pPr>
            <w:r>
              <w:rPr/>
              <w:t>3</w:t>
            </w:r>
          </w:p>
        </w:tc>
        <w:tc>
          <w:tcPr>
            <w:tcW w:w="75" w:type="dxa"/>
            <w:tcBorders/>
            <w:shd w:fill="CCEEFF" w:val="clear"/>
            <w:vAlign w:val="center"/>
          </w:tcPr>
          <w:p>
            <w:pPr>
              <w:pStyle w:val="TableContents"/>
              <w:spacing w:before="0" w:after="283"/>
              <w:rPr/>
            </w:pPr>
            <w:r>
              <w:rPr/>
              <w:t> </w:t>
            </w:r>
          </w:p>
        </w:tc>
      </w:tr>
      <w:tr>
        <w:trPr/>
        <w:tc>
          <w:tcPr>
            <w:tcW w:w="135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New Mexico</w:t>
            </w:r>
          </w:p>
        </w:tc>
        <w:tc>
          <w:tcPr>
            <w:tcW w:w="120" w:type="dxa"/>
            <w:tcBorders/>
            <w:shd w:fill="auto" w:val="clear"/>
            <w:vAlign w:val="center"/>
          </w:tcPr>
          <w:p>
            <w:pPr>
              <w:pStyle w:val="TableContents"/>
              <w:spacing w:before="0" w:after="283"/>
              <w:rPr/>
            </w:pPr>
            <w:r>
              <w:rPr/>
              <w:t>  </w:t>
            </w:r>
          </w:p>
        </w:tc>
        <w:tc>
          <w:tcPr>
            <w:tcW w:w="76" w:type="dxa"/>
            <w:tcBorders/>
            <w:shd w:fill="auto" w:val="clear"/>
            <w:vAlign w:val="center"/>
          </w:tcPr>
          <w:p>
            <w:pPr>
              <w:pStyle w:val="TableContents"/>
              <w:spacing w:before="0" w:after="283"/>
              <w:rPr/>
            </w:pPr>
            <w:r>
              <w:rPr/>
              <w:t> </w:t>
            </w:r>
          </w:p>
        </w:tc>
        <w:tc>
          <w:tcPr>
            <w:tcW w:w="484" w:type="dxa"/>
            <w:tcBorders/>
            <w:shd w:fill="auto" w:val="clear"/>
            <w:vAlign w:val="center"/>
          </w:tcPr>
          <w:p>
            <w:pPr>
              <w:pStyle w:val="TableContents"/>
              <w:spacing w:before="0" w:after="283"/>
              <w:jc w:val="right"/>
              <w:rPr/>
            </w:pPr>
            <w:r>
              <w:rPr/>
              <w:t>1</w:t>
            </w:r>
          </w:p>
        </w:tc>
        <w:tc>
          <w:tcPr>
            <w:tcW w:w="75" w:type="dxa"/>
            <w:tcBorders/>
            <w:shd w:fill="auto" w:val="clear"/>
            <w:vAlign w:val="center"/>
          </w:tcPr>
          <w:p>
            <w:pPr>
              <w:pStyle w:val="TableContents"/>
              <w:spacing w:before="0" w:after="283"/>
              <w:rPr/>
            </w:pPr>
            <w:r>
              <w:rPr/>
              <w:t> </w:t>
            </w:r>
          </w:p>
        </w:tc>
      </w:tr>
      <w:tr>
        <w:trPr/>
        <w:tc>
          <w:tcPr>
            <w:tcW w:w="135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New York</w:t>
            </w:r>
          </w:p>
        </w:tc>
        <w:tc>
          <w:tcPr>
            <w:tcW w:w="120" w:type="dxa"/>
            <w:tcBorders/>
            <w:shd w:fill="CCEEFF" w:val="clear"/>
            <w:vAlign w:val="center"/>
          </w:tcPr>
          <w:p>
            <w:pPr>
              <w:pStyle w:val="TableContents"/>
              <w:spacing w:before="0" w:after="283"/>
              <w:rPr/>
            </w:pPr>
            <w:r>
              <w:rPr/>
              <w:t>  </w:t>
            </w:r>
          </w:p>
        </w:tc>
        <w:tc>
          <w:tcPr>
            <w:tcW w:w="76" w:type="dxa"/>
            <w:tcBorders/>
            <w:shd w:fill="CCEEFF" w:val="clear"/>
            <w:vAlign w:val="center"/>
          </w:tcPr>
          <w:p>
            <w:pPr>
              <w:pStyle w:val="TableContents"/>
              <w:spacing w:before="0" w:after="283"/>
              <w:rPr/>
            </w:pPr>
            <w:r>
              <w:rPr/>
              <w:t> </w:t>
            </w:r>
          </w:p>
        </w:tc>
        <w:tc>
          <w:tcPr>
            <w:tcW w:w="484" w:type="dxa"/>
            <w:tcBorders/>
            <w:shd w:fill="CCEEFF" w:val="clear"/>
            <w:vAlign w:val="center"/>
          </w:tcPr>
          <w:p>
            <w:pPr>
              <w:pStyle w:val="TableContents"/>
              <w:spacing w:before="0" w:after="283"/>
              <w:jc w:val="right"/>
              <w:rPr/>
            </w:pPr>
            <w:r>
              <w:rPr/>
              <w:t>11</w:t>
            </w:r>
          </w:p>
        </w:tc>
        <w:tc>
          <w:tcPr>
            <w:tcW w:w="75" w:type="dxa"/>
            <w:tcBorders/>
            <w:shd w:fill="CCEEFF" w:val="clear"/>
            <w:vAlign w:val="center"/>
          </w:tcPr>
          <w:p>
            <w:pPr>
              <w:pStyle w:val="TableContents"/>
              <w:spacing w:before="0" w:after="283"/>
              <w:rPr/>
            </w:pPr>
            <w:r>
              <w:rPr/>
              <w:t> </w:t>
            </w:r>
          </w:p>
        </w:tc>
      </w:tr>
      <w:tr>
        <w:trPr/>
        <w:tc>
          <w:tcPr>
            <w:tcW w:w="135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North Carolina</w:t>
            </w:r>
          </w:p>
        </w:tc>
        <w:tc>
          <w:tcPr>
            <w:tcW w:w="120" w:type="dxa"/>
            <w:tcBorders/>
            <w:shd w:fill="auto" w:val="clear"/>
            <w:vAlign w:val="center"/>
          </w:tcPr>
          <w:p>
            <w:pPr>
              <w:pStyle w:val="TableContents"/>
              <w:spacing w:before="0" w:after="283"/>
              <w:rPr/>
            </w:pPr>
            <w:r>
              <w:rPr/>
              <w:t>  </w:t>
            </w:r>
          </w:p>
        </w:tc>
        <w:tc>
          <w:tcPr>
            <w:tcW w:w="76" w:type="dxa"/>
            <w:tcBorders/>
            <w:shd w:fill="auto" w:val="clear"/>
            <w:vAlign w:val="center"/>
          </w:tcPr>
          <w:p>
            <w:pPr>
              <w:pStyle w:val="TableContents"/>
              <w:spacing w:before="0" w:after="283"/>
              <w:rPr/>
            </w:pPr>
            <w:r>
              <w:rPr/>
              <w:t> </w:t>
            </w:r>
          </w:p>
        </w:tc>
        <w:tc>
          <w:tcPr>
            <w:tcW w:w="484" w:type="dxa"/>
            <w:tcBorders/>
            <w:shd w:fill="auto" w:val="clear"/>
            <w:vAlign w:val="center"/>
          </w:tcPr>
          <w:p>
            <w:pPr>
              <w:pStyle w:val="TableContents"/>
              <w:spacing w:before="0" w:after="283"/>
              <w:jc w:val="right"/>
              <w:rPr/>
            </w:pPr>
            <w:r>
              <w:rPr/>
              <w:t>4</w:t>
            </w:r>
          </w:p>
        </w:tc>
        <w:tc>
          <w:tcPr>
            <w:tcW w:w="75" w:type="dxa"/>
            <w:tcBorders/>
            <w:shd w:fill="auto" w:val="clear"/>
            <w:vAlign w:val="center"/>
          </w:tcPr>
          <w:p>
            <w:pPr>
              <w:pStyle w:val="TableContents"/>
              <w:spacing w:before="0" w:after="283"/>
              <w:rPr/>
            </w:pPr>
            <w:r>
              <w:rPr/>
              <w:t> </w:t>
            </w:r>
          </w:p>
        </w:tc>
      </w:tr>
      <w:tr>
        <w:trPr/>
        <w:tc>
          <w:tcPr>
            <w:tcW w:w="135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Ohio</w:t>
            </w:r>
          </w:p>
        </w:tc>
        <w:tc>
          <w:tcPr>
            <w:tcW w:w="120" w:type="dxa"/>
            <w:tcBorders/>
            <w:shd w:fill="CCEEFF" w:val="clear"/>
            <w:vAlign w:val="center"/>
          </w:tcPr>
          <w:p>
            <w:pPr>
              <w:pStyle w:val="TableContents"/>
              <w:spacing w:before="0" w:after="283"/>
              <w:rPr/>
            </w:pPr>
            <w:r>
              <w:rPr/>
              <w:t>  </w:t>
            </w:r>
          </w:p>
        </w:tc>
        <w:tc>
          <w:tcPr>
            <w:tcW w:w="76" w:type="dxa"/>
            <w:tcBorders/>
            <w:shd w:fill="CCEEFF" w:val="clear"/>
            <w:vAlign w:val="center"/>
          </w:tcPr>
          <w:p>
            <w:pPr>
              <w:pStyle w:val="TableContents"/>
              <w:spacing w:before="0" w:after="283"/>
              <w:rPr/>
            </w:pPr>
            <w:r>
              <w:rPr/>
              <w:t> </w:t>
            </w:r>
          </w:p>
        </w:tc>
        <w:tc>
          <w:tcPr>
            <w:tcW w:w="484" w:type="dxa"/>
            <w:tcBorders/>
            <w:shd w:fill="CCEEFF" w:val="clear"/>
            <w:vAlign w:val="center"/>
          </w:tcPr>
          <w:p>
            <w:pPr>
              <w:pStyle w:val="TableContents"/>
              <w:spacing w:before="0" w:after="283"/>
              <w:jc w:val="right"/>
              <w:rPr/>
            </w:pPr>
            <w:r>
              <w:rPr/>
              <w:t>6</w:t>
            </w:r>
          </w:p>
        </w:tc>
        <w:tc>
          <w:tcPr>
            <w:tcW w:w="75" w:type="dxa"/>
            <w:tcBorders/>
            <w:shd w:fill="CCEEFF" w:val="clear"/>
            <w:vAlign w:val="center"/>
          </w:tcPr>
          <w:p>
            <w:pPr>
              <w:pStyle w:val="TableContents"/>
              <w:spacing w:before="0" w:after="283"/>
              <w:rPr/>
            </w:pPr>
            <w:r>
              <w:rPr/>
              <w:t> </w:t>
            </w:r>
          </w:p>
        </w:tc>
      </w:tr>
      <w:tr>
        <w:trPr/>
        <w:tc>
          <w:tcPr>
            <w:tcW w:w="135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Oklahoma</w:t>
            </w:r>
          </w:p>
        </w:tc>
        <w:tc>
          <w:tcPr>
            <w:tcW w:w="120" w:type="dxa"/>
            <w:tcBorders/>
            <w:shd w:fill="auto" w:val="clear"/>
            <w:vAlign w:val="center"/>
          </w:tcPr>
          <w:p>
            <w:pPr>
              <w:pStyle w:val="TableContents"/>
              <w:spacing w:before="0" w:after="283"/>
              <w:rPr/>
            </w:pPr>
            <w:r>
              <w:rPr/>
              <w:t>  </w:t>
            </w:r>
          </w:p>
        </w:tc>
        <w:tc>
          <w:tcPr>
            <w:tcW w:w="76" w:type="dxa"/>
            <w:tcBorders/>
            <w:shd w:fill="auto" w:val="clear"/>
            <w:vAlign w:val="center"/>
          </w:tcPr>
          <w:p>
            <w:pPr>
              <w:pStyle w:val="TableContents"/>
              <w:spacing w:before="0" w:after="283"/>
              <w:rPr/>
            </w:pPr>
            <w:r>
              <w:rPr/>
              <w:t> </w:t>
            </w:r>
          </w:p>
        </w:tc>
        <w:tc>
          <w:tcPr>
            <w:tcW w:w="484" w:type="dxa"/>
            <w:tcBorders/>
            <w:shd w:fill="auto" w:val="clear"/>
            <w:vAlign w:val="center"/>
          </w:tcPr>
          <w:p>
            <w:pPr>
              <w:pStyle w:val="TableContents"/>
              <w:spacing w:before="0" w:after="283"/>
              <w:jc w:val="right"/>
              <w:rPr/>
            </w:pPr>
            <w:r>
              <w:rPr/>
              <w:t>2</w:t>
            </w:r>
          </w:p>
        </w:tc>
        <w:tc>
          <w:tcPr>
            <w:tcW w:w="75" w:type="dxa"/>
            <w:tcBorders/>
            <w:shd w:fill="auto" w:val="clear"/>
            <w:vAlign w:val="center"/>
          </w:tcPr>
          <w:p>
            <w:pPr>
              <w:pStyle w:val="TableContents"/>
              <w:spacing w:before="0" w:after="283"/>
              <w:rPr/>
            </w:pPr>
            <w:r>
              <w:rPr/>
              <w:t> </w:t>
            </w:r>
          </w:p>
        </w:tc>
      </w:tr>
      <w:tr>
        <w:trPr/>
        <w:tc>
          <w:tcPr>
            <w:tcW w:w="135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Oregon</w:t>
            </w:r>
          </w:p>
        </w:tc>
        <w:tc>
          <w:tcPr>
            <w:tcW w:w="120" w:type="dxa"/>
            <w:tcBorders/>
            <w:shd w:fill="CCEEFF" w:val="clear"/>
            <w:vAlign w:val="center"/>
          </w:tcPr>
          <w:p>
            <w:pPr>
              <w:pStyle w:val="TableContents"/>
              <w:spacing w:before="0" w:after="283"/>
              <w:rPr/>
            </w:pPr>
            <w:r>
              <w:rPr/>
              <w:t>  </w:t>
            </w:r>
          </w:p>
        </w:tc>
        <w:tc>
          <w:tcPr>
            <w:tcW w:w="76" w:type="dxa"/>
            <w:tcBorders/>
            <w:shd w:fill="CCEEFF" w:val="clear"/>
            <w:vAlign w:val="center"/>
          </w:tcPr>
          <w:p>
            <w:pPr>
              <w:pStyle w:val="TableContents"/>
              <w:spacing w:before="0" w:after="283"/>
              <w:rPr/>
            </w:pPr>
            <w:r>
              <w:rPr/>
              <w:t> </w:t>
            </w:r>
          </w:p>
        </w:tc>
        <w:tc>
          <w:tcPr>
            <w:tcW w:w="484" w:type="dxa"/>
            <w:tcBorders/>
            <w:shd w:fill="CCEEFF" w:val="clear"/>
            <w:vAlign w:val="center"/>
          </w:tcPr>
          <w:p>
            <w:pPr>
              <w:pStyle w:val="TableContents"/>
              <w:spacing w:before="0" w:after="283"/>
              <w:jc w:val="right"/>
              <w:rPr/>
            </w:pPr>
            <w:r>
              <w:rPr/>
              <w:t>1</w:t>
            </w:r>
          </w:p>
        </w:tc>
        <w:tc>
          <w:tcPr>
            <w:tcW w:w="75" w:type="dxa"/>
            <w:tcBorders/>
            <w:shd w:fill="CCEEFF" w:val="clear"/>
            <w:vAlign w:val="center"/>
          </w:tcPr>
          <w:p>
            <w:pPr>
              <w:pStyle w:val="TableContents"/>
              <w:spacing w:before="0" w:after="283"/>
              <w:rPr/>
            </w:pPr>
            <w:r>
              <w:rPr/>
              <w:t> </w:t>
            </w:r>
          </w:p>
        </w:tc>
      </w:tr>
      <w:tr>
        <w:trPr/>
        <w:tc>
          <w:tcPr>
            <w:tcW w:w="135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Pennsylvania</w:t>
            </w:r>
          </w:p>
        </w:tc>
        <w:tc>
          <w:tcPr>
            <w:tcW w:w="120" w:type="dxa"/>
            <w:tcBorders/>
            <w:shd w:fill="auto" w:val="clear"/>
            <w:vAlign w:val="center"/>
          </w:tcPr>
          <w:p>
            <w:pPr>
              <w:pStyle w:val="TableContents"/>
              <w:spacing w:before="0" w:after="283"/>
              <w:rPr/>
            </w:pPr>
            <w:r>
              <w:rPr/>
              <w:t>  </w:t>
            </w:r>
          </w:p>
        </w:tc>
        <w:tc>
          <w:tcPr>
            <w:tcW w:w="76" w:type="dxa"/>
            <w:tcBorders/>
            <w:shd w:fill="auto" w:val="clear"/>
            <w:vAlign w:val="center"/>
          </w:tcPr>
          <w:p>
            <w:pPr>
              <w:pStyle w:val="TableContents"/>
              <w:spacing w:before="0" w:after="283"/>
              <w:rPr/>
            </w:pPr>
            <w:r>
              <w:rPr/>
              <w:t> </w:t>
            </w:r>
          </w:p>
        </w:tc>
        <w:tc>
          <w:tcPr>
            <w:tcW w:w="484" w:type="dxa"/>
            <w:tcBorders/>
            <w:shd w:fill="auto" w:val="clear"/>
            <w:vAlign w:val="center"/>
          </w:tcPr>
          <w:p>
            <w:pPr>
              <w:pStyle w:val="TableContents"/>
              <w:spacing w:before="0" w:after="283"/>
              <w:jc w:val="right"/>
              <w:rPr/>
            </w:pPr>
            <w:r>
              <w:rPr/>
              <w:t>7</w:t>
            </w:r>
          </w:p>
        </w:tc>
        <w:tc>
          <w:tcPr>
            <w:tcW w:w="75" w:type="dxa"/>
            <w:tcBorders/>
            <w:shd w:fill="auto" w:val="clear"/>
            <w:vAlign w:val="center"/>
          </w:tcPr>
          <w:p>
            <w:pPr>
              <w:pStyle w:val="TableContents"/>
              <w:spacing w:before="0" w:after="283"/>
              <w:rPr/>
            </w:pPr>
            <w:r>
              <w:rPr/>
              <w:t> </w:t>
            </w:r>
          </w:p>
        </w:tc>
      </w:tr>
      <w:tr>
        <w:trPr/>
        <w:tc>
          <w:tcPr>
            <w:tcW w:w="135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Rhode Island</w:t>
            </w:r>
          </w:p>
        </w:tc>
        <w:tc>
          <w:tcPr>
            <w:tcW w:w="120" w:type="dxa"/>
            <w:tcBorders/>
            <w:shd w:fill="CCEEFF" w:val="clear"/>
            <w:vAlign w:val="center"/>
          </w:tcPr>
          <w:p>
            <w:pPr>
              <w:pStyle w:val="TableContents"/>
              <w:spacing w:before="0" w:after="283"/>
              <w:rPr/>
            </w:pPr>
            <w:r>
              <w:rPr/>
              <w:t>  </w:t>
            </w:r>
          </w:p>
        </w:tc>
        <w:tc>
          <w:tcPr>
            <w:tcW w:w="76" w:type="dxa"/>
            <w:tcBorders/>
            <w:shd w:fill="CCEEFF" w:val="clear"/>
            <w:vAlign w:val="center"/>
          </w:tcPr>
          <w:p>
            <w:pPr>
              <w:pStyle w:val="TableContents"/>
              <w:spacing w:before="0" w:after="283"/>
              <w:rPr/>
            </w:pPr>
            <w:r>
              <w:rPr/>
              <w:t> </w:t>
            </w:r>
          </w:p>
        </w:tc>
        <w:tc>
          <w:tcPr>
            <w:tcW w:w="484" w:type="dxa"/>
            <w:tcBorders/>
            <w:shd w:fill="CCEEFF" w:val="clear"/>
            <w:vAlign w:val="center"/>
          </w:tcPr>
          <w:p>
            <w:pPr>
              <w:pStyle w:val="TableContents"/>
              <w:spacing w:before="0" w:after="283"/>
              <w:jc w:val="right"/>
              <w:rPr/>
            </w:pPr>
            <w:r>
              <w:rPr/>
              <w:t>1</w:t>
            </w:r>
          </w:p>
        </w:tc>
        <w:tc>
          <w:tcPr>
            <w:tcW w:w="75" w:type="dxa"/>
            <w:tcBorders/>
            <w:shd w:fill="CCEEFF" w:val="clear"/>
            <w:vAlign w:val="center"/>
          </w:tcPr>
          <w:p>
            <w:pPr>
              <w:pStyle w:val="TableContents"/>
              <w:spacing w:before="0" w:after="283"/>
              <w:rPr/>
            </w:pPr>
            <w:r>
              <w:rPr/>
              <w:t> </w:t>
            </w:r>
          </w:p>
        </w:tc>
      </w:tr>
      <w:tr>
        <w:trPr/>
        <w:tc>
          <w:tcPr>
            <w:tcW w:w="135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South Carolina</w:t>
            </w:r>
          </w:p>
        </w:tc>
        <w:tc>
          <w:tcPr>
            <w:tcW w:w="120" w:type="dxa"/>
            <w:tcBorders/>
            <w:shd w:fill="auto" w:val="clear"/>
            <w:vAlign w:val="center"/>
          </w:tcPr>
          <w:p>
            <w:pPr>
              <w:pStyle w:val="TableContents"/>
              <w:spacing w:before="0" w:after="283"/>
              <w:rPr/>
            </w:pPr>
            <w:r>
              <w:rPr/>
              <w:t>  </w:t>
            </w:r>
          </w:p>
        </w:tc>
        <w:tc>
          <w:tcPr>
            <w:tcW w:w="76" w:type="dxa"/>
            <w:tcBorders/>
            <w:shd w:fill="auto" w:val="clear"/>
            <w:vAlign w:val="center"/>
          </w:tcPr>
          <w:p>
            <w:pPr>
              <w:pStyle w:val="TableContents"/>
              <w:spacing w:before="0" w:after="283"/>
              <w:rPr/>
            </w:pPr>
            <w:r>
              <w:rPr/>
              <w:t> </w:t>
            </w:r>
          </w:p>
        </w:tc>
        <w:tc>
          <w:tcPr>
            <w:tcW w:w="484" w:type="dxa"/>
            <w:tcBorders/>
            <w:shd w:fill="auto" w:val="clear"/>
            <w:vAlign w:val="center"/>
          </w:tcPr>
          <w:p>
            <w:pPr>
              <w:pStyle w:val="TableContents"/>
              <w:spacing w:before="0" w:after="283"/>
              <w:jc w:val="right"/>
              <w:rPr/>
            </w:pPr>
            <w:r>
              <w:rPr/>
              <w:t>3</w:t>
            </w:r>
          </w:p>
        </w:tc>
        <w:tc>
          <w:tcPr>
            <w:tcW w:w="75" w:type="dxa"/>
            <w:tcBorders/>
            <w:shd w:fill="auto" w:val="clear"/>
            <w:vAlign w:val="center"/>
          </w:tcPr>
          <w:p>
            <w:pPr>
              <w:pStyle w:val="TableContents"/>
              <w:spacing w:before="0" w:after="283"/>
              <w:rPr/>
            </w:pPr>
            <w:r>
              <w:rPr/>
              <w:t> </w:t>
            </w:r>
          </w:p>
        </w:tc>
      </w:tr>
      <w:tr>
        <w:trPr/>
        <w:tc>
          <w:tcPr>
            <w:tcW w:w="135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Tennessee</w:t>
            </w:r>
          </w:p>
        </w:tc>
        <w:tc>
          <w:tcPr>
            <w:tcW w:w="120" w:type="dxa"/>
            <w:tcBorders/>
            <w:shd w:fill="CCEEFF" w:val="clear"/>
            <w:vAlign w:val="center"/>
          </w:tcPr>
          <w:p>
            <w:pPr>
              <w:pStyle w:val="TableContents"/>
              <w:spacing w:before="0" w:after="283"/>
              <w:rPr/>
            </w:pPr>
            <w:r>
              <w:rPr/>
              <w:t>  </w:t>
            </w:r>
          </w:p>
        </w:tc>
        <w:tc>
          <w:tcPr>
            <w:tcW w:w="76" w:type="dxa"/>
            <w:tcBorders/>
            <w:shd w:fill="CCEEFF" w:val="clear"/>
            <w:vAlign w:val="center"/>
          </w:tcPr>
          <w:p>
            <w:pPr>
              <w:pStyle w:val="TableContents"/>
              <w:spacing w:before="0" w:after="283"/>
              <w:rPr/>
            </w:pPr>
            <w:r>
              <w:rPr/>
              <w:t> </w:t>
            </w:r>
          </w:p>
        </w:tc>
        <w:tc>
          <w:tcPr>
            <w:tcW w:w="484" w:type="dxa"/>
            <w:tcBorders/>
            <w:shd w:fill="CCEEFF" w:val="clear"/>
            <w:vAlign w:val="center"/>
          </w:tcPr>
          <w:p>
            <w:pPr>
              <w:pStyle w:val="TableContents"/>
              <w:spacing w:before="0" w:after="283"/>
              <w:jc w:val="right"/>
              <w:rPr/>
            </w:pPr>
            <w:r>
              <w:rPr/>
              <w:t>4</w:t>
            </w:r>
          </w:p>
        </w:tc>
        <w:tc>
          <w:tcPr>
            <w:tcW w:w="75" w:type="dxa"/>
            <w:tcBorders/>
            <w:shd w:fill="CCEEFF" w:val="clear"/>
            <w:vAlign w:val="center"/>
          </w:tcPr>
          <w:p>
            <w:pPr>
              <w:pStyle w:val="TableContents"/>
              <w:spacing w:before="0" w:after="283"/>
              <w:rPr/>
            </w:pPr>
            <w:r>
              <w:rPr/>
              <w:t> </w:t>
            </w:r>
          </w:p>
        </w:tc>
      </w:tr>
      <w:tr>
        <w:trPr/>
        <w:tc>
          <w:tcPr>
            <w:tcW w:w="135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Texas</w:t>
            </w:r>
          </w:p>
        </w:tc>
        <w:tc>
          <w:tcPr>
            <w:tcW w:w="120" w:type="dxa"/>
            <w:tcBorders/>
            <w:shd w:fill="auto" w:val="clear"/>
            <w:vAlign w:val="center"/>
          </w:tcPr>
          <w:p>
            <w:pPr>
              <w:pStyle w:val="TableContents"/>
              <w:spacing w:before="0" w:after="283"/>
              <w:rPr/>
            </w:pPr>
            <w:r>
              <w:rPr/>
              <w:t>  </w:t>
            </w:r>
          </w:p>
        </w:tc>
        <w:tc>
          <w:tcPr>
            <w:tcW w:w="76" w:type="dxa"/>
            <w:tcBorders/>
            <w:shd w:fill="auto" w:val="clear"/>
            <w:vAlign w:val="center"/>
          </w:tcPr>
          <w:p>
            <w:pPr>
              <w:pStyle w:val="TableContents"/>
              <w:spacing w:before="0" w:after="283"/>
              <w:rPr/>
            </w:pPr>
            <w:r>
              <w:rPr/>
              <w:t> </w:t>
            </w:r>
          </w:p>
        </w:tc>
        <w:tc>
          <w:tcPr>
            <w:tcW w:w="484" w:type="dxa"/>
            <w:tcBorders/>
            <w:shd w:fill="auto" w:val="clear"/>
            <w:vAlign w:val="center"/>
          </w:tcPr>
          <w:p>
            <w:pPr>
              <w:pStyle w:val="TableContents"/>
              <w:spacing w:before="0" w:after="283"/>
              <w:jc w:val="right"/>
              <w:rPr/>
            </w:pPr>
            <w:r>
              <w:rPr/>
              <w:t>13</w:t>
            </w:r>
          </w:p>
        </w:tc>
        <w:tc>
          <w:tcPr>
            <w:tcW w:w="75" w:type="dxa"/>
            <w:tcBorders/>
            <w:shd w:fill="auto" w:val="clear"/>
            <w:vAlign w:val="center"/>
          </w:tcPr>
          <w:p>
            <w:pPr>
              <w:pStyle w:val="TableContents"/>
              <w:spacing w:before="0" w:after="283"/>
              <w:rPr/>
            </w:pPr>
            <w:r>
              <w:rPr/>
              <w:t> </w:t>
            </w:r>
          </w:p>
        </w:tc>
      </w:tr>
      <w:tr>
        <w:trPr/>
        <w:tc>
          <w:tcPr>
            <w:tcW w:w="135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Utah</w:t>
            </w:r>
          </w:p>
        </w:tc>
        <w:tc>
          <w:tcPr>
            <w:tcW w:w="120" w:type="dxa"/>
            <w:tcBorders/>
            <w:shd w:fill="CCEEFF" w:val="clear"/>
            <w:vAlign w:val="center"/>
          </w:tcPr>
          <w:p>
            <w:pPr>
              <w:pStyle w:val="TableContents"/>
              <w:spacing w:before="0" w:after="283"/>
              <w:rPr/>
            </w:pPr>
            <w:r>
              <w:rPr/>
              <w:t>  </w:t>
            </w:r>
          </w:p>
        </w:tc>
        <w:tc>
          <w:tcPr>
            <w:tcW w:w="76" w:type="dxa"/>
            <w:tcBorders/>
            <w:shd w:fill="CCEEFF" w:val="clear"/>
            <w:vAlign w:val="center"/>
          </w:tcPr>
          <w:p>
            <w:pPr>
              <w:pStyle w:val="TableContents"/>
              <w:spacing w:before="0" w:after="283"/>
              <w:rPr/>
            </w:pPr>
            <w:r>
              <w:rPr/>
              <w:t> </w:t>
            </w:r>
          </w:p>
        </w:tc>
        <w:tc>
          <w:tcPr>
            <w:tcW w:w="484" w:type="dxa"/>
            <w:tcBorders/>
            <w:shd w:fill="CCEEFF" w:val="clear"/>
            <w:vAlign w:val="center"/>
          </w:tcPr>
          <w:p>
            <w:pPr>
              <w:pStyle w:val="TableContents"/>
              <w:spacing w:before="0" w:after="283"/>
              <w:jc w:val="right"/>
              <w:rPr/>
            </w:pPr>
            <w:r>
              <w:rPr/>
              <w:t>1</w:t>
            </w:r>
          </w:p>
        </w:tc>
        <w:tc>
          <w:tcPr>
            <w:tcW w:w="75" w:type="dxa"/>
            <w:tcBorders/>
            <w:shd w:fill="CCEEFF" w:val="clear"/>
            <w:vAlign w:val="center"/>
          </w:tcPr>
          <w:p>
            <w:pPr>
              <w:pStyle w:val="TableContents"/>
              <w:spacing w:before="0" w:after="283"/>
              <w:rPr/>
            </w:pPr>
            <w:r>
              <w:rPr/>
              <w:t> </w:t>
            </w:r>
          </w:p>
        </w:tc>
      </w:tr>
      <w:tr>
        <w:trPr/>
        <w:tc>
          <w:tcPr>
            <w:tcW w:w="135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Virginia</w:t>
            </w:r>
          </w:p>
        </w:tc>
        <w:tc>
          <w:tcPr>
            <w:tcW w:w="120" w:type="dxa"/>
            <w:tcBorders/>
            <w:shd w:fill="auto" w:val="clear"/>
            <w:vAlign w:val="center"/>
          </w:tcPr>
          <w:p>
            <w:pPr>
              <w:pStyle w:val="TableContents"/>
              <w:spacing w:before="0" w:after="283"/>
              <w:rPr/>
            </w:pPr>
            <w:r>
              <w:rPr/>
              <w:t>  </w:t>
            </w:r>
          </w:p>
        </w:tc>
        <w:tc>
          <w:tcPr>
            <w:tcW w:w="76" w:type="dxa"/>
            <w:tcBorders/>
            <w:shd w:fill="auto" w:val="clear"/>
            <w:vAlign w:val="center"/>
          </w:tcPr>
          <w:p>
            <w:pPr>
              <w:pStyle w:val="TableContents"/>
              <w:spacing w:before="0" w:after="283"/>
              <w:rPr/>
            </w:pPr>
            <w:r>
              <w:rPr/>
              <w:t> </w:t>
            </w:r>
          </w:p>
        </w:tc>
        <w:tc>
          <w:tcPr>
            <w:tcW w:w="484" w:type="dxa"/>
            <w:tcBorders/>
            <w:shd w:fill="auto" w:val="clear"/>
            <w:vAlign w:val="center"/>
          </w:tcPr>
          <w:p>
            <w:pPr>
              <w:pStyle w:val="TableContents"/>
              <w:spacing w:before="0" w:after="283"/>
              <w:jc w:val="right"/>
              <w:rPr/>
            </w:pPr>
            <w:r>
              <w:rPr/>
              <w:t>4</w:t>
            </w:r>
          </w:p>
        </w:tc>
        <w:tc>
          <w:tcPr>
            <w:tcW w:w="75" w:type="dxa"/>
            <w:tcBorders/>
            <w:shd w:fill="auto" w:val="clear"/>
            <w:vAlign w:val="center"/>
          </w:tcPr>
          <w:p>
            <w:pPr>
              <w:pStyle w:val="TableContents"/>
              <w:spacing w:before="0" w:after="283"/>
              <w:rPr/>
            </w:pPr>
            <w:r>
              <w:rPr/>
              <w:t> </w:t>
            </w:r>
          </w:p>
        </w:tc>
      </w:tr>
      <w:tr>
        <w:trPr/>
        <w:tc>
          <w:tcPr>
            <w:tcW w:w="135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Washington</w:t>
            </w:r>
          </w:p>
        </w:tc>
        <w:tc>
          <w:tcPr>
            <w:tcW w:w="120" w:type="dxa"/>
            <w:tcBorders/>
            <w:shd w:fill="CCEEFF" w:val="clear"/>
            <w:vAlign w:val="center"/>
          </w:tcPr>
          <w:p>
            <w:pPr>
              <w:pStyle w:val="TableContents"/>
              <w:spacing w:before="0" w:after="283"/>
              <w:rPr/>
            </w:pPr>
            <w:r>
              <w:rPr/>
              <w:t>  </w:t>
            </w:r>
          </w:p>
        </w:tc>
        <w:tc>
          <w:tcPr>
            <w:tcW w:w="76" w:type="dxa"/>
            <w:tcBorders/>
            <w:shd w:fill="CCEEFF" w:val="clear"/>
            <w:vAlign w:val="center"/>
          </w:tcPr>
          <w:p>
            <w:pPr>
              <w:pStyle w:val="TableContents"/>
              <w:spacing w:before="0" w:after="283"/>
              <w:rPr/>
            </w:pPr>
            <w:r>
              <w:rPr/>
              <w:t> </w:t>
            </w:r>
          </w:p>
        </w:tc>
        <w:tc>
          <w:tcPr>
            <w:tcW w:w="484" w:type="dxa"/>
            <w:tcBorders/>
            <w:shd w:fill="CCEEFF" w:val="clear"/>
            <w:vAlign w:val="center"/>
          </w:tcPr>
          <w:p>
            <w:pPr>
              <w:pStyle w:val="TableContents"/>
              <w:spacing w:before="0" w:after="283"/>
              <w:jc w:val="right"/>
              <w:rPr/>
            </w:pPr>
            <w:r>
              <w:rPr/>
              <w:t>1</w:t>
            </w:r>
          </w:p>
        </w:tc>
        <w:tc>
          <w:tcPr>
            <w:tcW w:w="75" w:type="dxa"/>
            <w:tcBorders/>
            <w:shd w:fill="CCEEFF" w:val="clear"/>
            <w:vAlign w:val="center"/>
          </w:tcPr>
          <w:p>
            <w:pPr>
              <w:pStyle w:val="TableContents"/>
              <w:spacing w:before="0" w:after="283"/>
              <w:rPr/>
            </w:pPr>
            <w:r>
              <w:rPr/>
              <w:t> </w:t>
            </w:r>
          </w:p>
        </w:tc>
      </w:tr>
      <w:tr>
        <w:trPr/>
        <w:tc>
          <w:tcPr>
            <w:tcW w:w="135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Wisconsin</w:t>
            </w:r>
          </w:p>
        </w:tc>
        <w:tc>
          <w:tcPr>
            <w:tcW w:w="120" w:type="dxa"/>
            <w:tcBorders/>
            <w:shd w:fill="auto" w:val="clear"/>
            <w:vAlign w:val="center"/>
          </w:tcPr>
          <w:p>
            <w:pPr>
              <w:pStyle w:val="TableContents"/>
              <w:spacing w:before="0" w:after="283"/>
              <w:rPr/>
            </w:pPr>
            <w:r>
              <w:rPr/>
              <w:t>  </w:t>
            </w:r>
          </w:p>
        </w:tc>
        <w:tc>
          <w:tcPr>
            <w:tcW w:w="76" w:type="dxa"/>
            <w:tcBorders/>
            <w:shd w:fill="auto" w:val="clear"/>
            <w:vAlign w:val="center"/>
          </w:tcPr>
          <w:p>
            <w:pPr>
              <w:pStyle w:val="TableContents"/>
              <w:spacing w:before="0" w:after="283"/>
              <w:rPr/>
            </w:pPr>
            <w:r>
              <w:rPr/>
              <w:t> </w:t>
            </w:r>
          </w:p>
        </w:tc>
        <w:tc>
          <w:tcPr>
            <w:tcW w:w="484" w:type="dxa"/>
            <w:tcBorders/>
            <w:shd w:fill="auto" w:val="clear"/>
            <w:vAlign w:val="center"/>
          </w:tcPr>
          <w:p>
            <w:pPr>
              <w:pStyle w:val="TableContents"/>
              <w:spacing w:before="0" w:after="283"/>
              <w:jc w:val="right"/>
              <w:rPr/>
            </w:pPr>
            <w:r>
              <w:rPr/>
              <w:t>3</w:t>
            </w:r>
          </w:p>
        </w:tc>
        <w:tc>
          <w:tcPr>
            <w:tcW w:w="75" w:type="dxa"/>
            <w:tcBorders/>
            <w:shd w:fill="auto" w:val="clear"/>
            <w:vAlign w:val="center"/>
          </w:tcPr>
          <w:p>
            <w:pPr>
              <w:pStyle w:val="TableContents"/>
              <w:spacing w:before="0" w:after="283"/>
              <w:rPr/>
            </w:pPr>
            <w:r>
              <w:rPr/>
              <w:t> </w:t>
            </w:r>
          </w:p>
        </w:tc>
      </w:tr>
      <w:tr>
        <w:trPr/>
        <w:tc>
          <w:tcPr>
            <w:tcW w:w="135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Puerto Rico</w:t>
            </w:r>
          </w:p>
        </w:tc>
        <w:tc>
          <w:tcPr>
            <w:tcW w:w="120" w:type="dxa"/>
            <w:tcBorders/>
            <w:shd w:fill="CCEEFF" w:val="clear"/>
            <w:vAlign w:val="center"/>
          </w:tcPr>
          <w:p>
            <w:pPr>
              <w:pStyle w:val="TableContents"/>
              <w:spacing w:before="0" w:after="283"/>
              <w:rPr/>
            </w:pPr>
            <w:r>
              <w:rPr/>
              <w:t>  </w:t>
            </w:r>
          </w:p>
        </w:tc>
        <w:tc>
          <w:tcPr>
            <w:tcW w:w="76" w:type="dxa"/>
            <w:tcBorders/>
            <w:shd w:fill="CCEEFF" w:val="clear"/>
            <w:vAlign w:val="center"/>
          </w:tcPr>
          <w:p>
            <w:pPr>
              <w:pStyle w:val="TableContents"/>
              <w:spacing w:before="0" w:after="283"/>
              <w:rPr/>
            </w:pPr>
            <w:r>
              <w:rPr/>
              <w:t> </w:t>
            </w:r>
          </w:p>
        </w:tc>
        <w:tc>
          <w:tcPr>
            <w:tcW w:w="484" w:type="dxa"/>
            <w:tcBorders/>
            <w:shd w:fill="CCEEFF" w:val="clear"/>
            <w:vAlign w:val="center"/>
          </w:tcPr>
          <w:p>
            <w:pPr>
              <w:pStyle w:val="TableContents"/>
              <w:spacing w:before="0" w:after="283"/>
              <w:jc w:val="right"/>
              <w:rPr/>
            </w:pPr>
            <w:r>
              <w:rPr/>
              <w:t>1</w:t>
            </w:r>
          </w:p>
        </w:tc>
        <w:tc>
          <w:tcPr>
            <w:tcW w:w="75" w:type="dxa"/>
            <w:tcBorders/>
            <w:shd w:fill="CCEEFF" w:val="clear"/>
            <w:vAlign w:val="center"/>
          </w:tcPr>
          <w:p>
            <w:pPr>
              <w:pStyle w:val="TableContents"/>
              <w:spacing w:before="0" w:after="283"/>
              <w:rPr/>
            </w:pPr>
            <w:r>
              <w:rPr/>
              <w:t> </w:t>
            </w:r>
          </w:p>
        </w:tc>
      </w:tr>
      <w:tr>
        <w:trPr/>
        <w:tc>
          <w:tcPr>
            <w:tcW w:w="135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Ontario, Canada</w:t>
            </w:r>
          </w:p>
        </w:tc>
        <w:tc>
          <w:tcPr>
            <w:tcW w:w="120" w:type="dxa"/>
            <w:tcBorders/>
            <w:shd w:fill="auto" w:val="clear"/>
            <w:vAlign w:val="center"/>
          </w:tcPr>
          <w:p>
            <w:pPr>
              <w:pStyle w:val="TableContents"/>
              <w:spacing w:before="0" w:after="283"/>
              <w:rPr/>
            </w:pPr>
            <w:r>
              <w:rPr/>
              <w:t>  </w:t>
            </w:r>
          </w:p>
        </w:tc>
        <w:tc>
          <w:tcPr>
            <w:tcW w:w="76" w:type="dxa"/>
            <w:tcBorders/>
            <w:shd w:fill="auto" w:val="clear"/>
            <w:vAlign w:val="center"/>
          </w:tcPr>
          <w:p>
            <w:pPr>
              <w:pStyle w:val="TableContents"/>
              <w:spacing w:before="0" w:after="283"/>
              <w:rPr/>
            </w:pPr>
            <w:r>
              <w:rPr/>
              <w:t> </w:t>
            </w:r>
          </w:p>
        </w:tc>
        <w:tc>
          <w:tcPr>
            <w:tcW w:w="484" w:type="dxa"/>
            <w:tcBorders/>
            <w:shd w:fill="auto" w:val="clear"/>
            <w:vAlign w:val="center"/>
          </w:tcPr>
          <w:p>
            <w:pPr>
              <w:pStyle w:val="TableContents"/>
              <w:spacing w:before="0" w:after="283"/>
              <w:jc w:val="right"/>
              <w:rPr/>
            </w:pPr>
            <w:r>
              <w:rPr/>
              <w:t>2</w:t>
            </w:r>
          </w:p>
        </w:tc>
        <w:tc>
          <w:tcPr>
            <w:tcW w:w="75" w:type="dxa"/>
            <w:tcBorders/>
            <w:shd w:fill="auto" w:val="clear"/>
            <w:vAlign w:val="center"/>
          </w:tcPr>
          <w:p>
            <w:pPr>
              <w:pStyle w:val="TableContents"/>
              <w:spacing w:before="0" w:after="283"/>
              <w:rPr/>
            </w:pPr>
            <w:r>
              <w:rPr/>
              <w:t> </w:t>
            </w:r>
          </w:p>
        </w:tc>
      </w:tr>
      <w:tr>
        <w:trPr/>
        <w:tc>
          <w:tcPr>
            <w:tcW w:w="13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76" w:type="dxa"/>
            <w:tcBorders/>
            <w:shd w:fill="auto" w:val="clear"/>
            <w:vAlign w:val="center"/>
          </w:tcPr>
          <w:p>
            <w:pPr>
              <w:pStyle w:val="TableContents"/>
              <w:spacing w:before="0" w:after="0"/>
              <w:rPr>
                <w:bdr w:val="single" w:sz="2" w:space="1" w:color="000000"/>
              </w:rPr>
            </w:pPr>
            <w:r>
              <w:rPr>
                <w:bdr w:val="single" w:sz="2" w:space="1" w:color="000000"/>
              </w:rPr>
              <w:t> </w:t>
            </w:r>
          </w:p>
        </w:tc>
        <w:tc>
          <w:tcPr>
            <w:tcW w:w="484" w:type="dxa"/>
            <w:tcBorders/>
            <w:shd w:fill="auto" w:val="clear"/>
            <w:vAlign w:val="center"/>
          </w:tcPr>
          <w:p>
            <w:pPr>
              <w:pStyle w:val="TableContents"/>
              <w:spacing w:before="0" w:after="0"/>
              <w:rPr>
                <w:bdr w:val="single" w:sz="2" w:space="1" w:color="000000"/>
              </w:rPr>
            </w:pPr>
            <w:r>
              <w:rPr>
                <w:bdr w:val="single" w:sz="2" w:space="1" w:color="000000"/>
              </w:rPr>
              <w:t> </w:t>
            </w:r>
          </w:p>
        </w:tc>
        <w:tc>
          <w:tcPr>
            <w:tcW w:w="75" w:type="dxa"/>
            <w:tcBorders/>
            <w:shd w:fill="auto" w:val="clear"/>
            <w:vAlign w:val="center"/>
          </w:tcPr>
          <w:p>
            <w:pPr>
              <w:pStyle w:val="TableContents"/>
              <w:spacing w:before="0" w:after="283"/>
              <w:rPr/>
            </w:pPr>
            <w:r>
              <w:rPr/>
              <w:t> </w:t>
            </w:r>
          </w:p>
        </w:tc>
      </w:tr>
      <w:tr>
        <w:trPr/>
        <w:tc>
          <w:tcPr>
            <w:tcW w:w="135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Total</w:t>
            </w:r>
          </w:p>
        </w:tc>
        <w:tc>
          <w:tcPr>
            <w:tcW w:w="120" w:type="dxa"/>
            <w:tcBorders/>
            <w:shd w:fill="CCEEFF" w:val="clear"/>
            <w:vAlign w:val="center"/>
          </w:tcPr>
          <w:p>
            <w:pPr>
              <w:pStyle w:val="TableContents"/>
              <w:spacing w:before="0" w:after="283"/>
              <w:rPr/>
            </w:pPr>
            <w:r>
              <w:rPr/>
              <w:t>  </w:t>
            </w:r>
          </w:p>
        </w:tc>
        <w:tc>
          <w:tcPr>
            <w:tcW w:w="76" w:type="dxa"/>
            <w:tcBorders/>
            <w:shd w:fill="CCEEFF" w:val="clear"/>
            <w:vAlign w:val="center"/>
          </w:tcPr>
          <w:p>
            <w:pPr>
              <w:pStyle w:val="TableContents"/>
              <w:spacing w:before="0" w:after="283"/>
              <w:rPr/>
            </w:pPr>
            <w:r>
              <w:rPr/>
              <w:t> </w:t>
            </w:r>
          </w:p>
        </w:tc>
        <w:tc>
          <w:tcPr>
            <w:tcW w:w="484" w:type="dxa"/>
            <w:tcBorders/>
            <w:shd w:fill="CCEEFF" w:val="clear"/>
            <w:vAlign w:val="center"/>
          </w:tcPr>
          <w:p>
            <w:pPr>
              <w:pStyle w:val="TableContents"/>
              <w:spacing w:before="0" w:after="283"/>
              <w:jc w:val="right"/>
              <w:rPr/>
            </w:pPr>
            <w:r>
              <w:rPr/>
              <w:t>140</w:t>
            </w:r>
          </w:p>
        </w:tc>
        <w:tc>
          <w:tcPr>
            <w:tcW w:w="75" w:type="dxa"/>
            <w:tcBorders/>
            <w:shd w:fill="CCEEFF" w:val="clear"/>
            <w:vAlign w:val="center"/>
          </w:tcPr>
          <w:p>
            <w:pPr>
              <w:pStyle w:val="TableContents"/>
              <w:spacing w:before="0" w:after="283"/>
              <w:rPr/>
            </w:pPr>
            <w:r>
              <w:rPr/>
              <w:t> </w:t>
            </w:r>
          </w:p>
        </w:tc>
      </w:tr>
    </w:tbl>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30 </w:t>
      </w:r>
    </w:p>
    <w:p>
      <w:pPr>
        <w:pStyle w:val="HorizontalLine"/>
        <w:rPr/>
      </w:pPr>
      <w:r>
        <w:rPr/>
      </w:r>
    </w:p>
    <w:p>
      <w:pPr>
        <w:pStyle w:val="TextBody"/>
        <w:spacing w:before="0" w:after="0"/>
        <w:rPr/>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As of March 28, 2021, fifteen of our 141 operating stores (including our one store which opened on February 8, 2021) continue to remain closed to </w:t>
      </w:r>
    </w:p>
    <w:p>
      <w:pPr>
        <w:pStyle w:val="TextBody"/>
        <w:spacing w:before="0" w:after="0"/>
        <w:jc w:val="left"/>
        <w:rPr>
          <w:rFonts w:ascii="Times New Roman" w:hAnsi="Times New Roman"/>
          <w:spacing w:val="0"/>
          <w:sz w:val="20"/>
        </w:rPr>
      </w:pPr>
      <w:r>
        <w:rPr>
          <w:rFonts w:ascii="Times New Roman" w:hAnsi="Times New Roman"/>
          <w:spacing w:val="0"/>
          <w:sz w:val="20"/>
        </w:rPr>
        <w:t>in-person</w:t>
      </w:r>
    </w:p>
    <w:p>
      <w:pPr>
        <w:pStyle w:val="TextBody"/>
        <w:spacing w:before="0" w:after="0"/>
        <w:jc w:val="left"/>
        <w:rPr>
          <w:rFonts w:ascii="Times New Roman" w:hAnsi="Times New Roman"/>
          <w:sz w:val="20"/>
        </w:rPr>
      </w:pPr>
      <w:r>
        <w:rPr>
          <w:rFonts w:ascii="Times New Roman" w:hAnsi="Times New Roman"/>
          <w:sz w:val="20"/>
        </w:rPr>
        <w:t xml:space="preserve">customers as a result of state and local </w:t>
      </w:r>
    </w:p>
    <w:p>
      <w:pPr>
        <w:pStyle w:val="TextBody"/>
        <w:spacing w:before="0" w:after="0"/>
        <w:jc w:val="left"/>
        <w:rPr>
          <w:rFonts w:ascii="Times New Roman" w:hAnsi="Times New Roman"/>
          <w:spacing w:val="0"/>
          <w:sz w:val="20"/>
        </w:rPr>
      </w:pPr>
      <w:r>
        <w:rPr>
          <w:rFonts w:ascii="Times New Roman" w:hAnsi="Times New Roman"/>
          <w:spacing w:val="0"/>
          <w:sz w:val="20"/>
        </w:rPr>
        <w:t>COVID-19</w:t>
      </w:r>
    </w:p>
    <w:p>
      <w:pPr>
        <w:pStyle w:val="TextBody"/>
        <w:spacing w:before="0" w:after="0"/>
        <w:jc w:val="left"/>
        <w:rPr>
          <w:rFonts w:ascii="Times New Roman" w:hAnsi="Times New Roman"/>
          <w:sz w:val="20"/>
        </w:rPr>
      </w:pPr>
      <w:r>
        <w:rPr>
          <w:rFonts w:ascii="Times New Roman" w:hAnsi="Times New Roman"/>
          <w:sz w:val="20"/>
        </w:rPr>
        <w:t xml:space="preserve">restrictions, and we anticipate the majority of these stores will </w:t>
      </w:r>
    </w:p>
    <w:p>
      <w:pPr>
        <w:pStyle w:val="TextBody"/>
        <w:spacing w:before="0" w:after="0"/>
        <w:jc w:val="left"/>
        <w:rPr>
          <w:rFonts w:ascii="Times New Roman" w:hAnsi="Times New Roman"/>
          <w:spacing w:val="0"/>
          <w:sz w:val="20"/>
        </w:rPr>
      </w:pPr>
      <w:r>
        <w:rPr>
          <w:rFonts w:ascii="Times New Roman" w:hAnsi="Times New Roman"/>
          <w:spacing w:val="0"/>
          <w:sz w:val="20"/>
        </w:rPr>
        <w:t>re-open</w:t>
      </w:r>
    </w:p>
    <w:p>
      <w:pPr>
        <w:pStyle w:val="TextBody"/>
        <w:spacing w:before="0" w:after="0"/>
        <w:jc w:val="left"/>
        <w:rPr>
          <w:rFonts w:ascii="Times New Roman" w:hAnsi="Times New Roman"/>
          <w:sz w:val="20"/>
        </w:rPr>
      </w:pPr>
      <w:r>
        <w:rPr>
          <w:rFonts w:ascii="Times New Roman" w:hAnsi="Times New Roman"/>
          <w:sz w:val="20"/>
        </w:rPr>
        <w:t xml:space="preserve">in some capacity by the end of the our first quarter of fiscal 2021. </w:t>
      </w:r>
    </w:p>
    <w:p>
      <w:pPr>
        <w:pStyle w:val="TextBody"/>
        <w:spacing w:before="0" w:after="0"/>
        <w:jc w:val="left"/>
        <w:rPr>
          <w:spacing w:val="0"/>
        </w:rPr>
      </w:pPr>
      <w:r>
        <w:rPr>
          <w:spacing w:val="0"/>
        </w:rPr>
        <w:t> </w:t>
      </w:r>
    </w:p>
    <w:tbl>
      <w:tblPr>
        <w:tblW w:w="2575" w:type="dxa"/>
        <w:jc w:val="left"/>
        <w:tblInd w:w="0" w:type="dxa"/>
        <w:tblCellMar>
          <w:top w:w="0" w:type="dxa"/>
          <w:left w:w="0" w:type="dxa"/>
          <w:bottom w:w="0" w:type="dxa"/>
          <w:right w:w="0" w:type="dxa"/>
        </w:tblCellMar>
      </w:tblPr>
      <w:tblGrid>
        <w:gridCol w:w="920"/>
        <w:gridCol w:w="1655"/>
      </w:tblGrid>
      <w:tr>
        <w:trPr/>
        <w:tc>
          <w:tcPr>
            <w:tcW w:w="920" w:type="dxa"/>
            <w:tcBorders/>
            <w:shd w:fill="auto" w:val="clear"/>
            <w:vAlign w:val="center"/>
          </w:tcPr>
          <w:p>
            <w:pPr>
              <w:pStyle w:val="TableContents"/>
              <w:spacing w:before="0" w:after="0"/>
              <w:jc w:val="left"/>
              <w:rPr>
                <w:b/>
                <w:spacing w:val="0"/>
              </w:rPr>
            </w:pPr>
            <w:bookmarkStart w:id="6" w:name="tx120247_5"/>
            <w:bookmarkEnd w:id="6"/>
            <w:r>
              <w:rPr>
                <w:b/>
                <w:spacing w:val="0"/>
              </w:rPr>
              <w:t>ITEM 3.</w:t>
            </w:r>
          </w:p>
        </w:tc>
        <w:tc>
          <w:tcPr>
            <w:tcW w:w="1655" w:type="dxa"/>
            <w:tcBorders/>
            <w:shd w:fill="auto" w:val="clear"/>
            <w:vAlign w:val="center"/>
          </w:tcPr>
          <w:p>
            <w:pPr>
              <w:pStyle w:val="TableContents"/>
              <w:spacing w:before="0" w:after="0"/>
              <w:jc w:val="left"/>
              <w:rPr>
                <w:rFonts w:ascii="Times New Roman" w:hAnsi="Times New Roman"/>
                <w:b/>
                <w:spacing w:val="0"/>
                <w:sz w:val="20"/>
              </w:rPr>
            </w:pPr>
            <w:r>
              <w:rPr>
                <w:rFonts w:ascii="Times New Roman" w:hAnsi="Times New Roman"/>
                <w:b/>
                <w:spacing w:val="0"/>
                <w:sz w:val="20"/>
              </w:rPr>
              <w:t xml:space="preserve">Legal Proceedings </w:t>
            </w:r>
          </w:p>
        </w:tc>
      </w:tr>
    </w:tbl>
    <w:p>
      <w:pPr>
        <w:pStyle w:val="TextBody"/>
        <w:spacing w:before="120" w:after="0"/>
        <w:jc w:val="left"/>
        <w:rPr>
          <w:rFonts w:ascii="Times New Roman" w:hAnsi="Times New Roman"/>
          <w:spacing w:val="0"/>
          <w:sz w:val="20"/>
        </w:rPr>
      </w:pPr>
      <w:r>
        <w:rPr>
          <w:rFonts w:ascii="Times New Roman" w:hAnsi="Times New Roman"/>
          <w:spacing w:val="0"/>
          <w:sz w:val="20"/>
        </w:rPr>
        <w:t xml:space="preserve">We are subject to certain legal proceedings and claims that arise in the ordinary course of our business, including intellectual property disputes, miscellaneous premises liability, employment-related claims and dram shop claims. In the opinion of management, based upon consultation with legal counsel, the amount of ultimate liability with respect to, or an adverse outcome in any such legal proceedings or claims will not materially affect our business, the consolidated results of our operations or our financial condition. Refer to Note 10 of Notes to Consolidated Financial Statements for a summary of legal proceedings. </w:t>
      </w:r>
    </w:p>
    <w:p>
      <w:pPr>
        <w:pStyle w:val="TextBody"/>
        <w:spacing w:before="0" w:after="0"/>
        <w:jc w:val="left"/>
        <w:rPr>
          <w:spacing w:val="0"/>
        </w:rPr>
      </w:pPr>
      <w:r>
        <w:rPr>
          <w:spacing w:val="0"/>
        </w:rPr>
        <w:t> </w:t>
      </w:r>
    </w:p>
    <w:tbl>
      <w:tblPr>
        <w:tblW w:w="3010" w:type="dxa"/>
        <w:jc w:val="left"/>
        <w:tblInd w:w="0" w:type="dxa"/>
        <w:tblCellMar>
          <w:top w:w="0" w:type="dxa"/>
          <w:left w:w="0" w:type="dxa"/>
          <w:bottom w:w="0" w:type="dxa"/>
          <w:right w:w="0" w:type="dxa"/>
        </w:tblCellMar>
      </w:tblPr>
      <w:tblGrid>
        <w:gridCol w:w="920"/>
        <w:gridCol w:w="2090"/>
      </w:tblGrid>
      <w:tr>
        <w:trPr/>
        <w:tc>
          <w:tcPr>
            <w:tcW w:w="920" w:type="dxa"/>
            <w:tcBorders/>
            <w:shd w:fill="auto" w:val="clear"/>
            <w:vAlign w:val="center"/>
          </w:tcPr>
          <w:p>
            <w:pPr>
              <w:pStyle w:val="TableContents"/>
              <w:spacing w:before="0" w:after="0"/>
              <w:jc w:val="left"/>
              <w:rPr>
                <w:b/>
                <w:spacing w:val="0"/>
              </w:rPr>
            </w:pPr>
            <w:bookmarkStart w:id="7" w:name="tx120247_6"/>
            <w:bookmarkEnd w:id="7"/>
            <w:r>
              <w:rPr>
                <w:b/>
                <w:spacing w:val="0"/>
              </w:rPr>
              <w:t>ITEM 4.</w:t>
            </w:r>
          </w:p>
        </w:tc>
        <w:tc>
          <w:tcPr>
            <w:tcW w:w="2090" w:type="dxa"/>
            <w:tcBorders/>
            <w:shd w:fill="auto" w:val="clear"/>
            <w:vAlign w:val="center"/>
          </w:tcPr>
          <w:p>
            <w:pPr>
              <w:pStyle w:val="TableContents"/>
              <w:spacing w:before="0" w:after="0"/>
              <w:jc w:val="left"/>
              <w:rPr>
                <w:rFonts w:ascii="Times New Roman" w:hAnsi="Times New Roman"/>
                <w:b/>
                <w:spacing w:val="0"/>
                <w:sz w:val="20"/>
              </w:rPr>
            </w:pPr>
            <w:r>
              <w:rPr>
                <w:rFonts w:ascii="Times New Roman" w:hAnsi="Times New Roman"/>
                <w:b/>
                <w:spacing w:val="0"/>
                <w:sz w:val="20"/>
              </w:rPr>
              <w:t xml:space="preserve">Mine Safety Disclosures </w:t>
            </w:r>
          </w:p>
        </w:tc>
      </w:tr>
    </w:tbl>
    <w:p>
      <w:pPr>
        <w:pStyle w:val="TextBody"/>
        <w:spacing w:before="120" w:after="0"/>
        <w:jc w:val="left"/>
        <w:rPr>
          <w:rFonts w:ascii="Times New Roman" w:hAnsi="Times New Roman"/>
          <w:spacing w:val="0"/>
          <w:sz w:val="20"/>
        </w:rPr>
      </w:pPr>
      <w:r>
        <w:rPr>
          <w:rFonts w:ascii="Times New Roman" w:hAnsi="Times New Roman"/>
          <w:spacing w:val="0"/>
          <w:sz w:val="20"/>
        </w:rPr>
        <w:t xml:space="preserve">None.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31 </w:t>
      </w:r>
    </w:p>
    <w:p>
      <w:pPr>
        <w:pStyle w:val="HorizontalLine"/>
        <w:rPr/>
      </w:pPr>
      <w:r>
        <w:rPr/>
      </w:r>
    </w:p>
    <w:p>
      <w:pPr>
        <w:pStyle w:val="TextBody"/>
        <w:spacing w:before="0" w:after="0"/>
        <w:rPr/>
      </w:pPr>
      <w:hyperlink w:anchor="toc">
        <w:r>
          <w:rPr>
            <w:rStyle w:val="InternetLink"/>
            <w:b/>
            <w:sz w:val="20"/>
          </w:rPr>
          <w:t>Table of Contents</w:t>
        </w:r>
      </w:hyperlink>
    </w:p>
    <w:p>
      <w:pPr>
        <w:pStyle w:val="TextBody"/>
        <w:spacing w:before="0" w:after="0"/>
        <w:jc w:val="center"/>
        <w:rPr>
          <w:rFonts w:ascii="Times New Roman" w:hAnsi="Times New Roman"/>
          <w:b/>
          <w:spacing w:val="0"/>
          <w:sz w:val="20"/>
        </w:rPr>
      </w:pPr>
      <w:r>
        <w:rPr>
          <w:rFonts w:ascii="Times New Roman" w:hAnsi="Times New Roman"/>
          <w:b/>
          <w:spacing w:val="0"/>
          <w:sz w:val="20"/>
        </w:rPr>
        <w:t xml:space="preserve">PART II </w:t>
      </w:r>
    </w:p>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918"/>
        <w:gridCol w:w="9287"/>
      </w:tblGrid>
      <w:tr>
        <w:trPr/>
        <w:tc>
          <w:tcPr>
            <w:tcW w:w="918" w:type="dxa"/>
            <w:tcBorders/>
            <w:shd w:fill="auto" w:val="clear"/>
            <w:vAlign w:val="center"/>
          </w:tcPr>
          <w:p>
            <w:pPr>
              <w:pStyle w:val="TableContents"/>
              <w:spacing w:before="0" w:after="0"/>
              <w:jc w:val="left"/>
              <w:rPr>
                <w:b/>
                <w:spacing w:val="0"/>
              </w:rPr>
            </w:pPr>
            <w:bookmarkStart w:id="8" w:name="tx120247_7"/>
            <w:bookmarkEnd w:id="8"/>
            <w:r>
              <w:rPr>
                <w:b/>
                <w:spacing w:val="0"/>
              </w:rPr>
              <w:t>ITEM 5.</w:t>
            </w:r>
          </w:p>
        </w:tc>
        <w:tc>
          <w:tcPr>
            <w:tcW w:w="9287" w:type="dxa"/>
            <w:tcBorders/>
            <w:shd w:fill="auto" w:val="clear"/>
            <w:vAlign w:val="center"/>
          </w:tcPr>
          <w:p>
            <w:pPr>
              <w:pStyle w:val="TableContents"/>
              <w:spacing w:before="0" w:after="0"/>
              <w:jc w:val="left"/>
              <w:rPr>
                <w:rFonts w:ascii="Times New Roman" w:hAnsi="Times New Roman"/>
                <w:b/>
                <w:spacing w:val="0"/>
                <w:sz w:val="20"/>
              </w:rPr>
            </w:pPr>
            <w:r>
              <w:rPr>
                <w:rFonts w:ascii="Times New Roman" w:hAnsi="Times New Roman"/>
                <w:b/>
                <w:spacing w:val="0"/>
                <w:sz w:val="20"/>
              </w:rPr>
              <w:t xml:space="preserve">Market for Registrant’s Common Equity, Related Stockholder Matters and Issuer Purchases of Equity Securities </w:t>
            </w:r>
          </w:p>
        </w:tc>
      </w:tr>
    </w:tbl>
    <w:p>
      <w:pPr>
        <w:pStyle w:val="TextBody"/>
        <w:spacing w:before="120" w:after="0"/>
        <w:jc w:val="left"/>
        <w:rPr>
          <w:rFonts w:ascii="Times New Roman" w:hAnsi="Times New Roman"/>
          <w:b/>
          <w:spacing w:val="0"/>
          <w:sz w:val="20"/>
        </w:rPr>
      </w:pPr>
      <w:r>
        <w:rPr>
          <w:rFonts w:ascii="Times New Roman" w:hAnsi="Times New Roman"/>
          <w:b/>
          <w:spacing w:val="0"/>
          <w:sz w:val="20"/>
        </w:rPr>
        <w:t xml:space="preserve">Market Information and Dividend Policy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The Company’s common stock trades under the symbol PLAY and is listed on the NASDAQ Global Market (“NASDAQ”).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The number of shareholders of record of the Company’s common stock as of March 28, 2021 was estimated to be approximately 400. </w:t>
      </w:r>
    </w:p>
    <w:p>
      <w:pPr>
        <w:pStyle w:val="TextBody"/>
        <w:spacing w:before="240" w:after="0"/>
        <w:jc w:val="left"/>
        <w:rPr>
          <w:rFonts w:ascii="Times New Roman" w:hAnsi="Times New Roman"/>
          <w:sz w:val="20"/>
        </w:rPr>
      </w:pPr>
      <w:r>
        <w:rPr>
          <w:rFonts w:ascii="Times New Roman" w:hAnsi="Times New Roman"/>
          <w:sz w:val="20"/>
        </w:rPr>
        <w:t xml:space="preserve">As a result of the impacts to our business arising from the </w:t>
      </w:r>
    </w:p>
    <w:p>
      <w:pPr>
        <w:pStyle w:val="TextBody"/>
        <w:spacing w:before="240" w:after="0"/>
        <w:jc w:val="left"/>
        <w:rPr>
          <w:rFonts w:ascii="Times New Roman" w:hAnsi="Times New Roman"/>
          <w:spacing w:val="0"/>
          <w:sz w:val="20"/>
        </w:rPr>
      </w:pPr>
      <w:r>
        <w:rPr>
          <w:rFonts w:ascii="Times New Roman" w:hAnsi="Times New Roman"/>
          <w:spacing w:val="0"/>
          <w:sz w:val="20"/>
        </w:rPr>
        <w:t>COVID-19</w:t>
      </w:r>
    </w:p>
    <w:p>
      <w:pPr>
        <w:pStyle w:val="TextBody"/>
        <w:spacing w:before="240" w:after="0"/>
        <w:jc w:val="left"/>
        <w:rPr>
          <w:rFonts w:ascii="Times New Roman" w:hAnsi="Times New Roman"/>
          <w:sz w:val="20"/>
        </w:rPr>
      </w:pPr>
      <w:r>
        <w:rPr>
          <w:rFonts w:ascii="Times New Roman" w:hAnsi="Times New Roman"/>
          <w:sz w:val="20"/>
        </w:rPr>
        <w:t xml:space="preserve">pandemic, share purchases and dividend payments were indefinitely suspended during the first quarter of fiscal 2020.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During the third and fourth quarters of fiscal 2019, our Board of Directors authorized and declared a quarterly cash dividend of $0.16 per share of common stock. The fourth quarter dividend was paid subsequent to the end of fiscal 2019. During the first and second quarters of fiscal 2019 and the last two quarters of fiscal 2018, our Board of Directors authorized and declared a quarterly cash dividend of $0.15 per share of common stock. </w:t>
      </w:r>
    </w:p>
    <w:p>
      <w:pPr>
        <w:pStyle w:val="TextBody"/>
        <w:spacing w:before="360" w:after="0"/>
        <w:jc w:val="left"/>
        <w:rPr>
          <w:rFonts w:ascii="Times New Roman" w:hAnsi="Times New Roman"/>
          <w:b/>
          <w:spacing w:val="0"/>
          <w:sz w:val="20"/>
        </w:rPr>
      </w:pPr>
      <w:r>
        <w:rPr>
          <w:rFonts w:ascii="Times New Roman" w:hAnsi="Times New Roman"/>
          <w:b/>
          <w:spacing w:val="0"/>
          <w:sz w:val="20"/>
        </w:rPr>
        <w:t xml:space="preserve">Issuer Purchases of Equity Securities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There were no repurchases of our common stock during fiscal 2020, and the Company’s share repurchase authorization expired at the end of fiscal 2020. </w:t>
      </w:r>
    </w:p>
    <w:p>
      <w:pPr>
        <w:pStyle w:val="TextBody"/>
        <w:spacing w:before="360" w:after="0"/>
        <w:jc w:val="left"/>
        <w:rPr>
          <w:rFonts w:ascii="Times New Roman" w:hAnsi="Times New Roman"/>
          <w:b/>
          <w:spacing w:val="0"/>
          <w:sz w:val="20"/>
        </w:rPr>
      </w:pPr>
      <w:r>
        <w:rPr>
          <w:rFonts w:ascii="Times New Roman" w:hAnsi="Times New Roman"/>
          <w:b/>
          <w:spacing w:val="0"/>
          <w:sz w:val="20"/>
        </w:rPr>
        <w:t xml:space="preserve">Performance Graph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The following performance graph depicts the total returns to shareholders for the period from February 1, 2016 through January 31, 2021, relative to the performance of the NASDAQ Composite Index, Standard &amp; Poor’s (“S&amp;P”) 600 Small Cap Index and S&amp;P’s 600 Consumer Discretionary Index. All indices shown in the graph have been set at a base of 100 as of February 1, 2016 and assume an investment of $100 on that date and the reinvestment of dividends paid since that date. The stock price performance shown in the graph is not necessarily indicative of future price performance. </w:t>
      </w:r>
    </w:p>
    <w:p>
      <w:pPr>
        <w:pStyle w:val="TextBody"/>
        <w:spacing w:before="0" w:after="0"/>
        <w:jc w:val="center"/>
        <w:rPr/>
      </w:pPr>
      <w:r>
        <w:rPr/>
        <w:drawing>
          <wp:inline distT="0" distB="0" distL="0" distR="0">
            <wp:extent cx="5124450" cy="27622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5124450" cy="2762250"/>
                    </a:xfrm>
                    <a:prstGeom prst="rect">
                      <a:avLst/>
                    </a:prstGeom>
                  </pic:spPr>
                </pic:pic>
              </a:graphicData>
            </a:graphic>
          </wp:inline>
        </w:drawing>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32 </w:t>
      </w:r>
    </w:p>
    <w:p>
      <w:pPr>
        <w:pStyle w:val="HorizontalLine"/>
        <w:rPr/>
      </w:pPr>
      <w:r>
        <w:rPr/>
      </w:r>
    </w:p>
    <w:p>
      <w:pPr>
        <w:pStyle w:val="TextBody"/>
        <w:spacing w:before="0" w:after="0"/>
        <w:rPr/>
      </w:pPr>
      <w:hyperlink w:anchor="toc">
        <w:r>
          <w:rPr>
            <w:rStyle w:val="InternetLink"/>
            <w:b/>
            <w:sz w:val="20"/>
          </w:rPr>
          <w:t>Table of Contents</w:t>
        </w:r>
      </w:hyperlink>
    </w:p>
    <w:tbl>
      <w:tblPr>
        <w:tblW w:w="2995" w:type="dxa"/>
        <w:jc w:val="left"/>
        <w:tblInd w:w="0" w:type="dxa"/>
        <w:tblCellMar>
          <w:top w:w="0" w:type="dxa"/>
          <w:left w:w="0" w:type="dxa"/>
          <w:bottom w:w="0" w:type="dxa"/>
          <w:right w:w="0" w:type="dxa"/>
        </w:tblCellMar>
      </w:tblPr>
      <w:tblGrid>
        <w:gridCol w:w="920"/>
        <w:gridCol w:w="2075"/>
      </w:tblGrid>
      <w:tr>
        <w:trPr/>
        <w:tc>
          <w:tcPr>
            <w:tcW w:w="920" w:type="dxa"/>
            <w:tcBorders/>
            <w:shd w:fill="auto" w:val="clear"/>
            <w:vAlign w:val="center"/>
          </w:tcPr>
          <w:p>
            <w:pPr>
              <w:pStyle w:val="TableContents"/>
              <w:spacing w:before="0" w:after="0"/>
              <w:jc w:val="left"/>
              <w:rPr>
                <w:b/>
                <w:spacing w:val="0"/>
              </w:rPr>
            </w:pPr>
            <w:bookmarkStart w:id="9" w:name="tx120247_8"/>
            <w:bookmarkEnd w:id="9"/>
            <w:r>
              <w:rPr>
                <w:b/>
                <w:spacing w:val="0"/>
              </w:rPr>
              <w:t>ITEM 6.</w:t>
            </w:r>
          </w:p>
        </w:tc>
        <w:tc>
          <w:tcPr>
            <w:tcW w:w="2075" w:type="dxa"/>
            <w:tcBorders/>
            <w:shd w:fill="auto" w:val="clear"/>
            <w:vAlign w:val="center"/>
          </w:tcPr>
          <w:p>
            <w:pPr>
              <w:pStyle w:val="TableContents"/>
              <w:spacing w:before="0" w:after="0"/>
              <w:jc w:val="left"/>
              <w:rPr>
                <w:rFonts w:ascii="Times New Roman" w:hAnsi="Times New Roman"/>
                <w:b/>
                <w:spacing w:val="0"/>
                <w:sz w:val="20"/>
              </w:rPr>
            </w:pPr>
            <w:r>
              <w:rPr>
                <w:rFonts w:ascii="Times New Roman" w:hAnsi="Times New Roman"/>
                <w:b/>
                <w:spacing w:val="0"/>
                <w:sz w:val="20"/>
              </w:rPr>
              <w:t xml:space="preserve">Selected Financial Data </w:t>
            </w:r>
          </w:p>
        </w:tc>
      </w:tr>
    </w:tbl>
    <w:p>
      <w:pPr>
        <w:pStyle w:val="TextBody"/>
        <w:spacing w:before="240" w:after="0"/>
        <w:jc w:val="left"/>
        <w:rPr>
          <w:rFonts w:ascii="Times New Roman" w:hAnsi="Times New Roman"/>
          <w:spacing w:val="0"/>
          <w:sz w:val="20"/>
        </w:rPr>
      </w:pPr>
      <w:r>
        <w:rPr>
          <w:rFonts w:ascii="Times New Roman" w:hAnsi="Times New Roman"/>
          <w:spacing w:val="0"/>
          <w:sz w:val="20"/>
        </w:rPr>
        <w:t xml:space="preserve">The following selected financial data is qualified in its entirety by the consolidated financial statements (and the related Notes thereto) contained in Item 8 and should be read in conjunction with “Management’s Discussion and Analysis of Financial Condition and Results of Operations” in Item 7. The statement of operations and cash flows data for each of the fiscal years ended January 31, 2021, February 2, 2020, and February 3, 2019 and the balance sheet data as of January 31, 2021 and February 2, 2020 were derived from our audited consolidated financial statements included elsewhere in this report. The statement of operations and cash flows data for the fiscal year ended February 4, 2018 and January 29, 2017 and the balance sheet data as of February 3, 2019, February 4, 2018 and January 29, 2017 were derived from our audited consolidated financial statements that are not included elsewhere in this report. </w:t>
      </w:r>
    </w:p>
    <w:p>
      <w:pPr>
        <w:pStyle w:val="TextBody"/>
        <w:spacing w:before="240" w:after="0"/>
        <w:jc w:val="left"/>
        <w:rPr>
          <w:rFonts w:ascii="Times New Roman" w:hAnsi="Times New Roman"/>
          <w:sz w:val="20"/>
        </w:rPr>
      </w:pPr>
      <w:r>
        <w:rPr>
          <w:rFonts w:ascii="Times New Roman" w:hAnsi="Times New Roman"/>
          <w:sz w:val="20"/>
        </w:rPr>
        <w:t xml:space="preserve">The Company’s fiscal year consists of 52 or 53 weeks ending on the Sunday after the Saturday closest to January 31. Each quarterly period has 13 weeks, except in a </w:t>
      </w:r>
    </w:p>
    <w:p>
      <w:pPr>
        <w:pStyle w:val="TextBody"/>
        <w:spacing w:before="240" w:after="0"/>
        <w:jc w:val="left"/>
        <w:rPr>
          <w:rFonts w:ascii="Times New Roman" w:hAnsi="Times New Roman"/>
          <w:spacing w:val="0"/>
          <w:sz w:val="20"/>
        </w:rPr>
      </w:pPr>
      <w:r>
        <w:rPr>
          <w:rFonts w:ascii="Times New Roman" w:hAnsi="Times New Roman"/>
          <w:spacing w:val="0"/>
          <w:sz w:val="20"/>
        </w:rPr>
        <w:t>53-week</w:t>
      </w:r>
    </w:p>
    <w:p>
      <w:pPr>
        <w:pStyle w:val="TextBody"/>
        <w:spacing w:before="240" w:after="0"/>
        <w:jc w:val="left"/>
        <w:rPr>
          <w:rFonts w:ascii="Times New Roman" w:hAnsi="Times New Roman"/>
          <w:sz w:val="20"/>
        </w:rPr>
      </w:pPr>
      <w:r>
        <w:rPr>
          <w:rFonts w:ascii="Times New Roman" w:hAnsi="Times New Roman"/>
          <w:sz w:val="20"/>
        </w:rPr>
        <w:t xml:space="preserve">year when the fourth quarter has 14 weeks. All fiscal years presented herein consist of 52 weeks, except fiscal 2017 (ended February 4, 2018), which consists of 53 weeks. All dollar amounts are presented in thousands, unless otherwise noted, except share and per share amounts. </w:t>
      </w:r>
    </w:p>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2855"/>
        <w:gridCol w:w="120"/>
        <w:gridCol w:w="140"/>
        <w:gridCol w:w="1100"/>
        <w:gridCol w:w="155"/>
        <w:gridCol w:w="60"/>
        <w:gridCol w:w="140"/>
        <w:gridCol w:w="1100"/>
        <w:gridCol w:w="155"/>
        <w:gridCol w:w="60"/>
        <w:gridCol w:w="140"/>
        <w:gridCol w:w="1100"/>
        <w:gridCol w:w="155"/>
        <w:gridCol w:w="60"/>
        <w:gridCol w:w="140"/>
        <w:gridCol w:w="1100"/>
        <w:gridCol w:w="155"/>
        <w:gridCol w:w="60"/>
        <w:gridCol w:w="140"/>
        <w:gridCol w:w="1100"/>
        <w:gridCol w:w="170"/>
      </w:tblGrid>
      <w:tr>
        <w:trPr/>
        <w:tc>
          <w:tcPr>
            <w:tcW w:w="285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100"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100"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100"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100"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100"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r>
      <w:tr>
        <w:trPr/>
        <w:tc>
          <w:tcPr>
            <w:tcW w:w="2855" w:type="dxa"/>
            <w:vMerge w:val="restart"/>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7060" w:type="dxa"/>
            <w:gridSpan w:val="18"/>
            <w:tcBorders/>
            <w:shd w:fill="auto" w:val="clear"/>
            <w:vAlign w:val="center"/>
          </w:tcPr>
          <w:p>
            <w:pPr>
              <w:pStyle w:val="TableContents"/>
              <w:spacing w:before="0" w:after="0"/>
              <w:jc w:val="center"/>
              <w:rPr>
                <w:b/>
                <w:spacing w:val="0"/>
              </w:rPr>
            </w:pPr>
            <w:r>
              <w:rPr>
                <w:b/>
                <w:spacing w:val="0"/>
              </w:rPr>
              <w:t>Fiscal Year Ended</w:t>
            </w:r>
          </w:p>
        </w:tc>
        <w:tc>
          <w:tcPr>
            <w:tcW w:w="170" w:type="dxa"/>
            <w:tcBorders/>
            <w:shd w:fill="auto" w:val="clear"/>
            <w:vAlign w:val="center"/>
          </w:tcPr>
          <w:p>
            <w:pPr>
              <w:pStyle w:val="TableContents"/>
              <w:spacing w:before="0" w:after="283"/>
              <w:rPr/>
            </w:pPr>
            <w:r>
              <w:rPr/>
              <w:t> </w:t>
            </w:r>
          </w:p>
        </w:tc>
      </w:tr>
      <w:tr>
        <w:trPr/>
        <w:tc>
          <w:tcPr>
            <w:tcW w:w="2855" w:type="dxa"/>
            <w:vMerge w:val="continue"/>
            <w:tcBorders/>
            <w:shd w:fill="auto" w:val="clear"/>
            <w:vAlign w:val="center"/>
          </w:tcPr>
          <w:p>
            <w:pPr>
              <w:pStyle w:val="Normal"/>
              <w:rPr/>
            </w:pPr>
            <w:r>
              <w:rPr/>
            </w:r>
          </w:p>
        </w:tc>
        <w:tc>
          <w:tcPr>
            <w:tcW w:w="120" w:type="dxa"/>
            <w:tcBorders/>
            <w:shd w:fill="auto" w:val="clear"/>
            <w:vAlign w:val="center"/>
          </w:tcPr>
          <w:p>
            <w:pPr>
              <w:pStyle w:val="TableContents"/>
              <w:spacing w:before="0" w:after="283"/>
              <w:rPr/>
            </w:pPr>
            <w:r>
              <w:rPr/>
              <w:t>  </w:t>
            </w:r>
          </w:p>
        </w:tc>
        <w:tc>
          <w:tcPr>
            <w:tcW w:w="1240" w:type="dxa"/>
            <w:gridSpan w:val="2"/>
            <w:tcBorders/>
            <w:shd w:fill="auto" w:val="clear"/>
            <w:vAlign w:val="center"/>
          </w:tcPr>
          <w:p>
            <w:pPr>
              <w:pStyle w:val="TableContents"/>
              <w:spacing w:before="0" w:after="0"/>
              <w:jc w:val="center"/>
              <w:rPr>
                <w:b/>
                <w:spacing w:val="0"/>
              </w:rPr>
            </w:pPr>
            <w:r>
              <w:rPr>
                <w:b/>
                <w:spacing w:val="0"/>
              </w:rPr>
              <w:t>January 31,</w:t>
              <w:br/>
              <w:t>2021</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40" w:type="dxa"/>
            <w:gridSpan w:val="2"/>
            <w:tcBorders/>
            <w:shd w:fill="auto" w:val="clear"/>
            <w:vAlign w:val="center"/>
          </w:tcPr>
          <w:p>
            <w:pPr>
              <w:pStyle w:val="TableContents"/>
              <w:spacing w:before="0" w:after="0"/>
              <w:jc w:val="center"/>
              <w:rPr>
                <w:b/>
                <w:spacing w:val="0"/>
              </w:rPr>
            </w:pPr>
            <w:r>
              <w:rPr>
                <w:b/>
                <w:spacing w:val="0"/>
              </w:rPr>
              <w:t>February 2,</w:t>
              <w:br/>
              <w:t>2020</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40" w:type="dxa"/>
            <w:gridSpan w:val="2"/>
            <w:tcBorders/>
            <w:shd w:fill="auto" w:val="clear"/>
            <w:vAlign w:val="center"/>
          </w:tcPr>
          <w:p>
            <w:pPr>
              <w:pStyle w:val="TableContents"/>
              <w:spacing w:before="0" w:after="0"/>
              <w:jc w:val="center"/>
              <w:rPr>
                <w:b/>
                <w:spacing w:val="0"/>
              </w:rPr>
            </w:pPr>
            <w:r>
              <w:rPr>
                <w:b/>
                <w:spacing w:val="0"/>
              </w:rPr>
              <w:t>February 3,</w:t>
              <w:br/>
              <w:t>2019</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40" w:type="dxa"/>
            <w:gridSpan w:val="2"/>
            <w:tcBorders/>
            <w:shd w:fill="auto" w:val="clear"/>
            <w:vAlign w:val="center"/>
          </w:tcPr>
          <w:p>
            <w:pPr>
              <w:pStyle w:val="TableContents"/>
              <w:spacing w:before="0" w:after="0"/>
              <w:jc w:val="center"/>
              <w:rPr>
                <w:b/>
                <w:spacing w:val="0"/>
              </w:rPr>
            </w:pPr>
            <w:r>
              <w:rPr>
                <w:b/>
                <w:spacing w:val="0"/>
              </w:rPr>
              <w:t>February 4,</w:t>
              <w:br/>
              <w:t>2018</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40" w:type="dxa"/>
            <w:gridSpan w:val="2"/>
            <w:tcBorders/>
            <w:shd w:fill="auto" w:val="clear"/>
            <w:vAlign w:val="center"/>
          </w:tcPr>
          <w:p>
            <w:pPr>
              <w:pStyle w:val="TableContents"/>
              <w:spacing w:before="0" w:after="0"/>
              <w:jc w:val="center"/>
              <w:rPr>
                <w:b/>
                <w:spacing w:val="0"/>
              </w:rPr>
            </w:pPr>
            <w:r>
              <w:rPr>
                <w:b/>
                <w:spacing w:val="0"/>
              </w:rPr>
              <w:t>January 29,</w:t>
            </w:r>
          </w:p>
          <w:p>
            <w:pPr>
              <w:pStyle w:val="TableContents"/>
              <w:spacing w:before="0" w:after="0"/>
              <w:jc w:val="center"/>
              <w:rPr/>
            </w:pPr>
            <w:r>
              <w:rPr/>
            </w:r>
          </w:p>
          <w:p>
            <w:pPr>
              <w:pStyle w:val="TableContents"/>
              <w:spacing w:before="0" w:after="0"/>
              <w:jc w:val="center"/>
              <w:rPr>
                <w:b/>
                <w:spacing w:val="0"/>
              </w:rPr>
            </w:pPr>
            <w:r>
              <w:rPr>
                <w:b/>
                <w:spacing w:val="0"/>
              </w:rPr>
              <w:t>2017</w:t>
            </w:r>
          </w:p>
        </w:tc>
        <w:tc>
          <w:tcPr>
            <w:tcW w:w="170" w:type="dxa"/>
            <w:tcBorders/>
            <w:shd w:fill="auto" w:val="clear"/>
            <w:vAlign w:val="center"/>
          </w:tcPr>
          <w:p>
            <w:pPr>
              <w:pStyle w:val="TableContents"/>
              <w:spacing w:before="0" w:after="283"/>
              <w:rPr/>
            </w:pPr>
            <w:r>
              <w:rPr/>
              <w:t> </w:t>
            </w:r>
          </w:p>
        </w:tc>
      </w:tr>
      <w:tr>
        <w:trPr/>
        <w:tc>
          <w:tcPr>
            <w:tcW w:w="28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rPr/>
            </w:pPr>
            <w:r>
              <w:rPr/>
              <w:t> </w:t>
            </w:r>
          </w:p>
        </w:tc>
        <w:tc>
          <w:tcPr>
            <w:tcW w:w="170" w:type="dxa"/>
            <w:tcBorders/>
            <w:shd w:fill="CCEEFF" w:val="clear"/>
            <w:vAlign w:val="center"/>
          </w:tcPr>
          <w:p>
            <w:pPr>
              <w:pStyle w:val="TableContents"/>
              <w:spacing w:before="0" w:after="283"/>
              <w:rPr/>
            </w:pPr>
            <w:r>
              <w:rPr/>
              <w:t> </w:t>
            </w:r>
          </w:p>
        </w:tc>
      </w:tr>
      <w:tr>
        <w:trPr/>
        <w:tc>
          <w:tcPr>
            <w:tcW w:w="2855" w:type="dxa"/>
            <w:tcBorders/>
            <w:shd w:fill="auto" w:val="clear"/>
            <w:vAlign w:val="center"/>
          </w:tcPr>
          <w:p>
            <w:pPr>
              <w:pStyle w:val="TableContents"/>
              <w:spacing w:before="0" w:after="0"/>
              <w:rPr>
                <w:rFonts w:ascii="Times New Roman" w:hAnsi="Times New Roman"/>
                <w:b/>
                <w:spacing w:val="0"/>
                <w:sz w:val="20"/>
              </w:rPr>
            </w:pPr>
            <w:r>
              <w:rPr>
                <w:rFonts w:ascii="Times New Roman" w:hAnsi="Times New Roman"/>
                <w:b/>
                <w:spacing w:val="0"/>
                <w:sz w:val="20"/>
              </w:rPr>
              <w:t>Statement of Operations Data:</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 </w:t>
            </w:r>
          </w:p>
        </w:tc>
      </w:tr>
      <w:tr>
        <w:trPr/>
        <w:tc>
          <w:tcPr>
            <w:tcW w:w="285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Total revenues</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1100" w:type="dxa"/>
            <w:tcBorders/>
            <w:shd w:fill="CCEEFF" w:val="clear"/>
            <w:vAlign w:val="center"/>
          </w:tcPr>
          <w:p>
            <w:pPr>
              <w:pStyle w:val="TableContents"/>
              <w:spacing w:before="0" w:after="283"/>
              <w:jc w:val="right"/>
              <w:rPr/>
            </w:pPr>
            <w:r>
              <w:rPr/>
              <w:t>436,512</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1100" w:type="dxa"/>
            <w:tcBorders/>
            <w:shd w:fill="CCEEFF" w:val="clear"/>
            <w:vAlign w:val="center"/>
          </w:tcPr>
          <w:p>
            <w:pPr>
              <w:pStyle w:val="TableContents"/>
              <w:spacing w:before="0" w:after="283"/>
              <w:jc w:val="right"/>
              <w:rPr/>
            </w:pPr>
            <w:r>
              <w:rPr/>
              <w:t>1,354,691</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1100" w:type="dxa"/>
            <w:tcBorders/>
            <w:shd w:fill="CCEEFF" w:val="clear"/>
            <w:vAlign w:val="center"/>
          </w:tcPr>
          <w:p>
            <w:pPr>
              <w:pStyle w:val="TableContents"/>
              <w:spacing w:before="0" w:after="283"/>
              <w:jc w:val="right"/>
              <w:rPr/>
            </w:pPr>
            <w:r>
              <w:rPr/>
              <w:t>1,265,301</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1100" w:type="dxa"/>
            <w:tcBorders/>
            <w:shd w:fill="CCEEFF" w:val="clear"/>
            <w:vAlign w:val="center"/>
          </w:tcPr>
          <w:p>
            <w:pPr>
              <w:pStyle w:val="TableContents"/>
              <w:spacing w:before="0" w:after="283"/>
              <w:jc w:val="right"/>
              <w:rPr/>
            </w:pPr>
            <w:r>
              <w:rPr/>
              <w:t>1,139,791</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1100" w:type="dxa"/>
            <w:tcBorders/>
            <w:shd w:fill="CCEEFF" w:val="clear"/>
            <w:vAlign w:val="center"/>
          </w:tcPr>
          <w:p>
            <w:pPr>
              <w:pStyle w:val="TableContents"/>
              <w:spacing w:before="0" w:after="283"/>
              <w:jc w:val="right"/>
              <w:rPr/>
            </w:pPr>
            <w:r>
              <w:rPr/>
              <w:t>1,005,158</w:t>
            </w:r>
          </w:p>
        </w:tc>
        <w:tc>
          <w:tcPr>
            <w:tcW w:w="170" w:type="dxa"/>
            <w:tcBorders/>
            <w:shd w:fill="CCEEFF" w:val="clear"/>
            <w:vAlign w:val="center"/>
          </w:tcPr>
          <w:p>
            <w:pPr>
              <w:pStyle w:val="TableContents"/>
              <w:spacing w:before="0" w:after="283"/>
              <w:rPr/>
            </w:pPr>
            <w:r>
              <w:rPr/>
              <w:t> </w:t>
            </w:r>
          </w:p>
        </w:tc>
      </w:tr>
      <w:tr>
        <w:trPr/>
        <w:tc>
          <w:tcPr>
            <w:tcW w:w="285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Operating income (loss)</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(252,612</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148,079</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161,000</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165,772</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150,516</w:t>
            </w:r>
          </w:p>
        </w:tc>
        <w:tc>
          <w:tcPr>
            <w:tcW w:w="170" w:type="dxa"/>
            <w:tcBorders/>
            <w:shd w:fill="auto" w:val="clear"/>
            <w:vAlign w:val="center"/>
          </w:tcPr>
          <w:p>
            <w:pPr>
              <w:pStyle w:val="TableContents"/>
              <w:spacing w:before="0" w:after="283"/>
              <w:rPr/>
            </w:pPr>
            <w:r>
              <w:rPr/>
              <w:t> </w:t>
            </w:r>
          </w:p>
        </w:tc>
      </w:tr>
      <w:tr>
        <w:trPr/>
        <w:tc>
          <w:tcPr>
            <w:tcW w:w="285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Net income (loss)</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(206,974</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100,263</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117,221</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120,949</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90,795</w:t>
            </w:r>
          </w:p>
        </w:tc>
        <w:tc>
          <w:tcPr>
            <w:tcW w:w="170" w:type="dxa"/>
            <w:tcBorders/>
            <w:shd w:fill="CCEEFF" w:val="clear"/>
            <w:vAlign w:val="center"/>
          </w:tcPr>
          <w:p>
            <w:pPr>
              <w:pStyle w:val="TableContents"/>
              <w:spacing w:before="0" w:after="283"/>
              <w:rPr/>
            </w:pPr>
            <w:r>
              <w:rPr/>
              <w:t> </w:t>
            </w:r>
          </w:p>
        </w:tc>
      </w:tr>
      <w:tr>
        <w:trPr/>
        <w:tc>
          <w:tcPr>
            <w:tcW w:w="2855" w:type="dxa"/>
            <w:tcBorders/>
            <w:shd w:fill="auto" w:val="clear"/>
            <w:vAlign w:val="center"/>
          </w:tcPr>
          <w:p>
            <w:pPr>
              <w:pStyle w:val="TableContents"/>
              <w:spacing w:before="0" w:after="0"/>
              <w:rPr>
                <w:rFonts w:ascii="Times New Roman" w:hAnsi="Times New Roman"/>
                <w:b/>
                <w:spacing w:val="0"/>
                <w:sz w:val="20"/>
              </w:rPr>
            </w:pPr>
            <w:r>
              <w:rPr>
                <w:rFonts w:ascii="Times New Roman" w:hAnsi="Times New Roman"/>
                <w:b/>
                <w:spacing w:val="0"/>
                <w:sz w:val="20"/>
              </w:rPr>
              <w:t>Balance sheet data (as of end of period):</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 </w:t>
            </w:r>
          </w:p>
        </w:tc>
      </w:tr>
      <w:tr>
        <w:trPr/>
        <w:tc>
          <w:tcPr>
            <w:tcW w:w="285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Cash and cash equivalents</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11,891</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24,655</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21,585</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18,795</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20,083</w:t>
            </w:r>
          </w:p>
        </w:tc>
        <w:tc>
          <w:tcPr>
            <w:tcW w:w="170" w:type="dxa"/>
            <w:tcBorders/>
            <w:shd w:fill="CCEEFF" w:val="clear"/>
            <w:vAlign w:val="center"/>
          </w:tcPr>
          <w:p>
            <w:pPr>
              <w:pStyle w:val="TableContents"/>
              <w:spacing w:before="0" w:after="283"/>
              <w:rPr/>
            </w:pPr>
            <w:r>
              <w:rPr/>
              <w:t> </w:t>
            </w:r>
          </w:p>
        </w:tc>
      </w:tr>
      <w:tr>
        <w:trPr/>
        <w:tc>
          <w:tcPr>
            <w:tcW w:w="285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 xml:space="preserve">Working capital (deficit) </w:t>
            </w:r>
          </w:p>
          <w:p>
            <w:pPr>
              <w:pStyle w:val="TableContents"/>
              <w:spacing w:before="0" w:after="0"/>
              <w:rPr>
                <w:rFonts w:ascii="Times New Roman" w:hAnsi="Times New Roman"/>
                <w:spacing w:val="0"/>
                <w:sz w:val="14"/>
              </w:rPr>
            </w:pPr>
            <w:r>
              <w:rPr>
                <w:rFonts w:ascii="Times New Roman" w:hAnsi="Times New Roman"/>
                <w:spacing w:val="0"/>
                <w:sz w:val="14"/>
              </w:rPr>
              <w:t>(1)</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(152,765</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(211,888</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(153,297</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(112,918</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(102,193</w:t>
            </w:r>
          </w:p>
        </w:tc>
        <w:tc>
          <w:tcPr>
            <w:tcW w:w="170" w:type="dxa"/>
            <w:tcBorders/>
            <w:shd w:fill="auto" w:val="clear"/>
            <w:vAlign w:val="center"/>
          </w:tcPr>
          <w:p>
            <w:pPr>
              <w:pStyle w:val="TableContents"/>
              <w:spacing w:before="0" w:after="283"/>
              <w:rPr/>
            </w:pPr>
            <w:r>
              <w:rPr/>
              <w:t>) </w:t>
            </w:r>
          </w:p>
        </w:tc>
      </w:tr>
      <w:tr>
        <w:trPr/>
        <w:tc>
          <w:tcPr>
            <w:tcW w:w="285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Property and equipment, net</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815,027</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900,637</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805,337</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726,455</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606,865</w:t>
            </w:r>
          </w:p>
        </w:tc>
        <w:tc>
          <w:tcPr>
            <w:tcW w:w="170" w:type="dxa"/>
            <w:tcBorders/>
            <w:shd w:fill="CCEEFF" w:val="clear"/>
            <w:vAlign w:val="center"/>
          </w:tcPr>
          <w:p>
            <w:pPr>
              <w:pStyle w:val="TableContents"/>
              <w:spacing w:before="0" w:after="283"/>
              <w:rPr/>
            </w:pPr>
            <w:r>
              <w:rPr/>
              <w:t> </w:t>
            </w:r>
          </w:p>
        </w:tc>
      </w:tr>
      <w:tr>
        <w:trPr/>
        <w:tc>
          <w:tcPr>
            <w:tcW w:w="285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Total assets</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2,352,824</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2,370,139</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1,273,187</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1,197,030</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1,052,733</w:t>
            </w:r>
          </w:p>
        </w:tc>
        <w:tc>
          <w:tcPr>
            <w:tcW w:w="170" w:type="dxa"/>
            <w:tcBorders/>
            <w:shd w:fill="auto" w:val="clear"/>
            <w:vAlign w:val="center"/>
          </w:tcPr>
          <w:p>
            <w:pPr>
              <w:pStyle w:val="TableContents"/>
              <w:spacing w:before="0" w:after="283"/>
              <w:rPr/>
            </w:pPr>
            <w:r>
              <w:rPr/>
              <w:t> </w:t>
            </w:r>
          </w:p>
        </w:tc>
      </w:tr>
      <w:tr>
        <w:trPr/>
        <w:tc>
          <w:tcPr>
            <w:tcW w:w="285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Total debt, net</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596,388</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647,689</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393,469</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366,249</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264,128</w:t>
            </w:r>
          </w:p>
        </w:tc>
        <w:tc>
          <w:tcPr>
            <w:tcW w:w="170" w:type="dxa"/>
            <w:tcBorders/>
            <w:shd w:fill="CCEEFF" w:val="clear"/>
            <w:vAlign w:val="center"/>
          </w:tcPr>
          <w:p>
            <w:pPr>
              <w:pStyle w:val="TableContents"/>
              <w:spacing w:before="0" w:after="283"/>
              <w:rPr/>
            </w:pPr>
            <w:r>
              <w:rPr/>
              <w:t> </w:t>
            </w:r>
          </w:p>
        </w:tc>
      </w:tr>
      <w:tr>
        <w:trPr/>
        <w:tc>
          <w:tcPr>
            <w:tcW w:w="285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Stockholders’ equity</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153,232</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169,650</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387,837</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421,646</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439,452</w:t>
            </w:r>
          </w:p>
        </w:tc>
        <w:tc>
          <w:tcPr>
            <w:tcW w:w="170" w:type="dxa"/>
            <w:tcBorders/>
            <w:shd w:fill="auto" w:val="clear"/>
            <w:vAlign w:val="center"/>
          </w:tcPr>
          <w:p>
            <w:pPr>
              <w:pStyle w:val="TableContents"/>
              <w:spacing w:before="0" w:after="283"/>
              <w:rPr/>
            </w:pPr>
            <w:r>
              <w:rPr/>
              <w:t> </w:t>
            </w:r>
          </w:p>
        </w:tc>
      </w:tr>
      <w:tr>
        <w:trPr/>
        <w:tc>
          <w:tcPr>
            <w:tcW w:w="2855" w:type="dxa"/>
            <w:tcBorders/>
            <w:shd w:fill="CCEEFF" w:val="clear"/>
            <w:vAlign w:val="center"/>
          </w:tcPr>
          <w:p>
            <w:pPr>
              <w:pStyle w:val="TableContents"/>
              <w:spacing w:before="0" w:after="0"/>
              <w:rPr>
                <w:rFonts w:ascii="Times New Roman" w:hAnsi="Times New Roman"/>
                <w:b/>
                <w:spacing w:val="0"/>
                <w:sz w:val="20"/>
              </w:rPr>
            </w:pPr>
            <w:r>
              <w:rPr>
                <w:rFonts w:ascii="Times New Roman" w:hAnsi="Times New Roman"/>
                <w:b/>
                <w:spacing w:val="0"/>
                <w:sz w:val="20"/>
              </w:rPr>
              <w:t>Other data:</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rPr/>
            </w:pPr>
            <w:r>
              <w:rPr/>
              <w:t> </w:t>
            </w:r>
          </w:p>
        </w:tc>
        <w:tc>
          <w:tcPr>
            <w:tcW w:w="170" w:type="dxa"/>
            <w:tcBorders/>
            <w:shd w:fill="CCEEFF" w:val="clear"/>
            <w:vAlign w:val="center"/>
          </w:tcPr>
          <w:p>
            <w:pPr>
              <w:pStyle w:val="TableContents"/>
              <w:spacing w:before="0" w:after="283"/>
              <w:rPr/>
            </w:pPr>
            <w:r>
              <w:rPr/>
              <w:t> </w:t>
            </w:r>
          </w:p>
        </w:tc>
      </w:tr>
      <w:tr>
        <w:trPr/>
        <w:tc>
          <w:tcPr>
            <w:tcW w:w="285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Capital expenditures</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1100" w:type="dxa"/>
            <w:tcBorders/>
            <w:shd w:fill="auto" w:val="clear"/>
            <w:vAlign w:val="center"/>
          </w:tcPr>
          <w:p>
            <w:pPr>
              <w:pStyle w:val="TableContents"/>
              <w:spacing w:before="0" w:after="283"/>
              <w:jc w:val="right"/>
              <w:rPr/>
            </w:pPr>
            <w:r>
              <w:rPr/>
              <w:t>83,016</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1100" w:type="dxa"/>
            <w:tcBorders/>
            <w:shd w:fill="auto" w:val="clear"/>
            <w:vAlign w:val="center"/>
          </w:tcPr>
          <w:p>
            <w:pPr>
              <w:pStyle w:val="TableContents"/>
              <w:spacing w:before="0" w:after="283"/>
              <w:jc w:val="right"/>
              <w:rPr/>
            </w:pPr>
            <w:r>
              <w:rPr/>
              <w:t>228,091</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1100" w:type="dxa"/>
            <w:tcBorders/>
            <w:shd w:fill="auto" w:val="clear"/>
            <w:vAlign w:val="center"/>
          </w:tcPr>
          <w:p>
            <w:pPr>
              <w:pStyle w:val="TableContents"/>
              <w:spacing w:before="0" w:after="283"/>
              <w:jc w:val="right"/>
              <w:rPr/>
            </w:pPr>
            <w:r>
              <w:rPr/>
              <w:t>216,286</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1100" w:type="dxa"/>
            <w:tcBorders/>
            <w:shd w:fill="auto" w:val="clear"/>
            <w:vAlign w:val="center"/>
          </w:tcPr>
          <w:p>
            <w:pPr>
              <w:pStyle w:val="TableContents"/>
              <w:spacing w:before="0" w:after="283"/>
              <w:jc w:val="right"/>
              <w:rPr/>
            </w:pPr>
            <w:r>
              <w:rPr/>
              <w:t>219,901</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1100" w:type="dxa"/>
            <w:tcBorders/>
            <w:shd w:fill="auto" w:val="clear"/>
            <w:vAlign w:val="center"/>
          </w:tcPr>
          <w:p>
            <w:pPr>
              <w:pStyle w:val="TableContents"/>
              <w:spacing w:before="0" w:after="283"/>
              <w:jc w:val="right"/>
              <w:rPr/>
            </w:pPr>
            <w:r>
              <w:rPr/>
              <w:t>180,577</w:t>
            </w:r>
          </w:p>
        </w:tc>
        <w:tc>
          <w:tcPr>
            <w:tcW w:w="170" w:type="dxa"/>
            <w:tcBorders/>
            <w:shd w:fill="auto" w:val="clear"/>
            <w:vAlign w:val="center"/>
          </w:tcPr>
          <w:p>
            <w:pPr>
              <w:pStyle w:val="TableContents"/>
              <w:spacing w:before="0" w:after="283"/>
              <w:rPr/>
            </w:pPr>
            <w:r>
              <w:rPr/>
              <w:t> </w:t>
            </w:r>
          </w:p>
        </w:tc>
      </w:tr>
      <w:tr>
        <w:trPr/>
        <w:tc>
          <w:tcPr>
            <w:tcW w:w="285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Company-owned stores at end of period</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140</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136</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121</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106</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92</w:t>
            </w:r>
          </w:p>
        </w:tc>
        <w:tc>
          <w:tcPr>
            <w:tcW w:w="170" w:type="dxa"/>
            <w:tcBorders/>
            <w:shd w:fill="CCEEFF" w:val="clear"/>
            <w:vAlign w:val="center"/>
          </w:tcPr>
          <w:p>
            <w:pPr>
              <w:pStyle w:val="TableContents"/>
              <w:spacing w:before="0" w:after="283"/>
              <w:rPr/>
            </w:pPr>
            <w:r>
              <w:rPr/>
              <w:t> </w:t>
            </w:r>
          </w:p>
        </w:tc>
      </w:tr>
      <w:tr>
        <w:trPr/>
        <w:tc>
          <w:tcPr>
            <w:tcW w:w="285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Stores closed during period</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2</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1</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  </w:t>
            </w:r>
          </w:p>
        </w:tc>
        <w:tc>
          <w:tcPr>
            <w:tcW w:w="170" w:type="dxa"/>
            <w:tcBorders/>
            <w:shd w:fill="auto" w:val="clear"/>
            <w:vAlign w:val="center"/>
          </w:tcPr>
          <w:p>
            <w:pPr>
              <w:pStyle w:val="TableContents"/>
              <w:spacing w:before="0" w:after="283"/>
              <w:rPr/>
            </w:pPr>
            <w:r>
              <w:rPr/>
              <w:t> </w:t>
            </w:r>
          </w:p>
        </w:tc>
      </w:tr>
      <w:tr>
        <w:trPr/>
        <w:tc>
          <w:tcPr>
            <w:tcW w:w="285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Cash dividends declared per share</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1100"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1100" w:type="dxa"/>
            <w:tcBorders/>
            <w:shd w:fill="CCEEFF" w:val="clear"/>
            <w:vAlign w:val="center"/>
          </w:tcPr>
          <w:p>
            <w:pPr>
              <w:pStyle w:val="TableContents"/>
              <w:spacing w:before="0" w:after="283"/>
              <w:jc w:val="right"/>
              <w:rPr/>
            </w:pPr>
            <w:r>
              <w:rPr/>
              <w:t>0.62</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1100" w:type="dxa"/>
            <w:tcBorders/>
            <w:shd w:fill="CCEEFF" w:val="clear"/>
            <w:vAlign w:val="center"/>
          </w:tcPr>
          <w:p>
            <w:pPr>
              <w:pStyle w:val="TableContents"/>
              <w:spacing w:before="0" w:after="283"/>
              <w:jc w:val="right"/>
              <w:rPr/>
            </w:pPr>
            <w:r>
              <w:rPr/>
              <w:t>0.30</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1100"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1100" w:type="dxa"/>
            <w:tcBorders/>
            <w:shd w:fill="CCEEFF" w:val="clear"/>
            <w:vAlign w:val="center"/>
          </w:tcPr>
          <w:p>
            <w:pPr>
              <w:pStyle w:val="TableContents"/>
              <w:spacing w:before="0" w:after="283"/>
              <w:jc w:val="right"/>
              <w:rPr/>
            </w:pPr>
            <w:r>
              <w:rPr/>
              <w:t>—  </w:t>
            </w:r>
          </w:p>
        </w:tc>
        <w:tc>
          <w:tcPr>
            <w:tcW w:w="170" w:type="dxa"/>
            <w:tcBorders/>
            <w:shd w:fill="CCEEFF" w:val="clear"/>
            <w:vAlign w:val="center"/>
          </w:tcPr>
          <w:p>
            <w:pPr>
              <w:pStyle w:val="TableContents"/>
              <w:spacing w:before="0" w:after="283"/>
              <w:rPr/>
            </w:pPr>
            <w:r>
              <w:rPr/>
              <w:t> </w:t>
            </w:r>
          </w:p>
        </w:tc>
      </w:tr>
      <w:tr>
        <w:trPr/>
        <w:tc>
          <w:tcPr>
            <w:tcW w:w="285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Net income (loss) per share of common stock:</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 </w:t>
            </w:r>
          </w:p>
        </w:tc>
      </w:tr>
      <w:tr>
        <w:trPr/>
        <w:tc>
          <w:tcPr>
            <w:tcW w:w="285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Basic</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1100" w:type="dxa"/>
            <w:tcBorders/>
            <w:shd w:fill="CCEEFF" w:val="clear"/>
            <w:vAlign w:val="center"/>
          </w:tcPr>
          <w:p>
            <w:pPr>
              <w:pStyle w:val="TableContents"/>
              <w:spacing w:before="0" w:after="283"/>
              <w:jc w:val="right"/>
              <w:rPr/>
            </w:pPr>
            <w:r>
              <w:rPr/>
              <w:t>(4.75</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1100" w:type="dxa"/>
            <w:tcBorders/>
            <w:shd w:fill="CCEEFF" w:val="clear"/>
            <w:vAlign w:val="center"/>
          </w:tcPr>
          <w:p>
            <w:pPr>
              <w:pStyle w:val="TableContents"/>
              <w:spacing w:before="0" w:after="283"/>
              <w:jc w:val="right"/>
              <w:rPr/>
            </w:pPr>
            <w:r>
              <w:rPr/>
              <w:t>3.00</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1100" w:type="dxa"/>
            <w:tcBorders/>
            <w:shd w:fill="CCEEFF" w:val="clear"/>
            <w:vAlign w:val="center"/>
          </w:tcPr>
          <w:p>
            <w:pPr>
              <w:pStyle w:val="TableContents"/>
              <w:spacing w:before="0" w:after="283"/>
              <w:jc w:val="right"/>
              <w:rPr/>
            </w:pPr>
            <w:r>
              <w:rPr/>
              <w:t>3.00</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1100" w:type="dxa"/>
            <w:tcBorders/>
            <w:shd w:fill="CCEEFF" w:val="clear"/>
            <w:vAlign w:val="center"/>
          </w:tcPr>
          <w:p>
            <w:pPr>
              <w:pStyle w:val="TableContents"/>
              <w:spacing w:before="0" w:after="283"/>
              <w:jc w:val="right"/>
              <w:rPr/>
            </w:pPr>
            <w:r>
              <w:rPr/>
              <w:t>2.93</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1100" w:type="dxa"/>
            <w:tcBorders/>
            <w:shd w:fill="CCEEFF" w:val="clear"/>
            <w:vAlign w:val="center"/>
          </w:tcPr>
          <w:p>
            <w:pPr>
              <w:pStyle w:val="TableContents"/>
              <w:spacing w:before="0" w:after="283"/>
              <w:jc w:val="right"/>
              <w:rPr/>
            </w:pPr>
            <w:r>
              <w:rPr/>
              <w:t>2.16</w:t>
            </w:r>
          </w:p>
        </w:tc>
        <w:tc>
          <w:tcPr>
            <w:tcW w:w="170" w:type="dxa"/>
            <w:tcBorders/>
            <w:shd w:fill="CCEEFF" w:val="clear"/>
            <w:vAlign w:val="center"/>
          </w:tcPr>
          <w:p>
            <w:pPr>
              <w:pStyle w:val="TableContents"/>
              <w:spacing w:before="0" w:after="283"/>
              <w:rPr/>
            </w:pPr>
            <w:r>
              <w:rPr/>
              <w:t> </w:t>
            </w:r>
          </w:p>
        </w:tc>
      </w:tr>
      <w:tr>
        <w:trPr/>
        <w:tc>
          <w:tcPr>
            <w:tcW w:w="285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Diluted</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1100" w:type="dxa"/>
            <w:tcBorders/>
            <w:shd w:fill="auto" w:val="clear"/>
            <w:vAlign w:val="center"/>
          </w:tcPr>
          <w:p>
            <w:pPr>
              <w:pStyle w:val="TableContents"/>
              <w:spacing w:before="0" w:after="283"/>
              <w:jc w:val="right"/>
              <w:rPr/>
            </w:pPr>
            <w:r>
              <w:rPr/>
              <w:t>(4.75</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1100" w:type="dxa"/>
            <w:tcBorders/>
            <w:shd w:fill="auto" w:val="clear"/>
            <w:vAlign w:val="center"/>
          </w:tcPr>
          <w:p>
            <w:pPr>
              <w:pStyle w:val="TableContents"/>
              <w:spacing w:before="0" w:after="283"/>
              <w:jc w:val="right"/>
              <w:rPr/>
            </w:pPr>
            <w:r>
              <w:rPr/>
              <w:t>2.94</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1100" w:type="dxa"/>
            <w:tcBorders/>
            <w:shd w:fill="auto" w:val="clear"/>
            <w:vAlign w:val="center"/>
          </w:tcPr>
          <w:p>
            <w:pPr>
              <w:pStyle w:val="TableContents"/>
              <w:spacing w:before="0" w:after="283"/>
              <w:jc w:val="right"/>
              <w:rPr/>
            </w:pPr>
            <w:r>
              <w:rPr/>
              <w:t>2.93</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1100" w:type="dxa"/>
            <w:tcBorders/>
            <w:shd w:fill="auto" w:val="clear"/>
            <w:vAlign w:val="center"/>
          </w:tcPr>
          <w:p>
            <w:pPr>
              <w:pStyle w:val="TableContents"/>
              <w:spacing w:before="0" w:after="283"/>
              <w:jc w:val="right"/>
              <w:rPr/>
            </w:pPr>
            <w:r>
              <w:rPr/>
              <w:t>2.84</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1100" w:type="dxa"/>
            <w:tcBorders/>
            <w:shd w:fill="auto" w:val="clear"/>
            <w:vAlign w:val="center"/>
          </w:tcPr>
          <w:p>
            <w:pPr>
              <w:pStyle w:val="TableContents"/>
              <w:spacing w:before="0" w:after="283"/>
              <w:jc w:val="right"/>
              <w:rPr/>
            </w:pPr>
            <w:r>
              <w:rPr/>
              <w:t>2.10</w:t>
            </w:r>
          </w:p>
        </w:tc>
        <w:tc>
          <w:tcPr>
            <w:tcW w:w="170" w:type="dxa"/>
            <w:tcBorders/>
            <w:shd w:fill="auto" w:val="clear"/>
            <w:vAlign w:val="center"/>
          </w:tcPr>
          <w:p>
            <w:pPr>
              <w:pStyle w:val="TableContents"/>
              <w:spacing w:before="0" w:after="283"/>
              <w:rPr/>
            </w:pPr>
            <w:r>
              <w:rPr/>
              <w:t> </w:t>
            </w:r>
          </w:p>
        </w:tc>
      </w:tr>
      <w:tr>
        <w:trPr/>
        <w:tc>
          <w:tcPr>
            <w:tcW w:w="285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Weighted average number of shares outstanding:</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rPr/>
            </w:pPr>
            <w:r>
              <w:rPr/>
              <w:t> </w:t>
            </w:r>
          </w:p>
        </w:tc>
        <w:tc>
          <w:tcPr>
            <w:tcW w:w="170" w:type="dxa"/>
            <w:tcBorders/>
            <w:shd w:fill="CCEEFF" w:val="clear"/>
            <w:vAlign w:val="center"/>
          </w:tcPr>
          <w:p>
            <w:pPr>
              <w:pStyle w:val="TableContents"/>
              <w:spacing w:before="0" w:after="283"/>
              <w:rPr/>
            </w:pPr>
            <w:r>
              <w:rPr/>
              <w:t> </w:t>
            </w:r>
          </w:p>
        </w:tc>
      </w:tr>
      <w:tr>
        <w:trPr/>
        <w:tc>
          <w:tcPr>
            <w:tcW w:w="285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Basic</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43,549,887</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33,450,217</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39,047,106</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41,276,314</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41,951,770</w:t>
            </w:r>
          </w:p>
        </w:tc>
        <w:tc>
          <w:tcPr>
            <w:tcW w:w="170" w:type="dxa"/>
            <w:tcBorders/>
            <w:shd w:fill="auto" w:val="clear"/>
            <w:vAlign w:val="center"/>
          </w:tcPr>
          <w:p>
            <w:pPr>
              <w:pStyle w:val="TableContents"/>
              <w:spacing w:before="0" w:after="283"/>
              <w:rPr/>
            </w:pPr>
            <w:r>
              <w:rPr/>
              <w:t> </w:t>
            </w:r>
          </w:p>
        </w:tc>
      </w:tr>
      <w:tr>
        <w:trPr/>
        <w:tc>
          <w:tcPr>
            <w:tcW w:w="285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Diluted</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43,549,887</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34,099,378</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39,975,122</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42,583,009</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43,288,592</w:t>
            </w:r>
          </w:p>
        </w:tc>
        <w:tc>
          <w:tcPr>
            <w:tcW w:w="170" w:type="dxa"/>
            <w:tcBorders/>
            <w:shd w:fill="CCEEFF" w:val="clear"/>
            <w:vAlign w:val="center"/>
          </w:tcPr>
          <w:p>
            <w:pPr>
              <w:pStyle w:val="TableContents"/>
              <w:spacing w:before="0" w:after="283"/>
              <w:rPr/>
            </w:pPr>
            <w:r>
              <w:rPr/>
              <w:t> </w:t>
            </w:r>
          </w:p>
        </w:tc>
      </w:tr>
    </w:tbl>
    <w:p>
      <w:pPr>
        <w:pStyle w:val="TextBody"/>
        <w:spacing w:before="0" w:after="0"/>
        <w:jc w:val="left"/>
        <w:rPr>
          <w:spacing w:val="0"/>
        </w:rPr>
      </w:pPr>
      <w:r>
        <w:rPr>
          <w:spacing w:val="0"/>
        </w:rPr>
        <w:t> </w:t>
      </w:r>
    </w:p>
    <w:tbl>
      <w:tblPr>
        <w:tblW w:w="5125" w:type="dxa"/>
        <w:jc w:val="left"/>
        <w:tblInd w:w="0" w:type="dxa"/>
        <w:tblCellMar>
          <w:top w:w="0" w:type="dxa"/>
          <w:left w:w="0" w:type="dxa"/>
          <w:bottom w:w="0" w:type="dxa"/>
          <w:right w:w="0" w:type="dxa"/>
        </w:tblCellMar>
      </w:tblPr>
      <w:tblGrid>
        <w:gridCol w:w="200"/>
        <w:gridCol w:w="4925"/>
      </w:tblGrid>
      <w:tr>
        <w:trPr/>
        <w:tc>
          <w:tcPr>
            <w:tcW w:w="200" w:type="dxa"/>
            <w:tcBorders/>
            <w:shd w:fill="auto" w:val="clear"/>
            <w:vAlign w:val="center"/>
          </w:tcPr>
          <w:p>
            <w:pPr>
              <w:pStyle w:val="TableContents"/>
              <w:spacing w:before="0" w:after="0"/>
              <w:jc w:val="left"/>
              <w:rPr>
                <w:sz w:val="14"/>
              </w:rPr>
            </w:pPr>
            <w:r>
              <w:rPr>
                <w:sz w:val="14"/>
              </w:rPr>
              <w:t>(1)</w:t>
            </w:r>
          </w:p>
          <w:p>
            <w:pPr>
              <w:pStyle w:val="TableContents"/>
              <w:spacing w:before="0" w:after="0"/>
              <w:jc w:val="left"/>
              <w:rPr/>
            </w:pPr>
            <w:r>
              <w:rPr/>
              <w:t> </w:t>
            </w:r>
          </w:p>
        </w:tc>
        <w:tc>
          <w:tcPr>
            <w:tcW w:w="4925"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Defined as total current assets minus total current liabilities. </w:t>
            </w:r>
          </w:p>
        </w:tc>
      </w:tr>
    </w:tbl>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33 </w:t>
      </w:r>
    </w:p>
    <w:p>
      <w:pPr>
        <w:pStyle w:val="HorizontalLine"/>
        <w:rPr/>
      </w:pPr>
      <w:r>
        <w:rPr/>
      </w:r>
    </w:p>
    <w:p>
      <w:pPr>
        <w:pStyle w:val="TextBody"/>
        <w:spacing w:before="0" w:after="0"/>
        <w:rPr/>
      </w:pPr>
      <w:hyperlink w:anchor="toc">
        <w:r>
          <w:rPr>
            <w:rStyle w:val="InternetLink"/>
            <w:b/>
            <w:sz w:val="20"/>
          </w:rPr>
          <w:t>Table of Contents</w:t>
        </w:r>
      </w:hyperlink>
    </w:p>
    <w:tbl>
      <w:tblPr>
        <w:tblW w:w="8455" w:type="dxa"/>
        <w:jc w:val="left"/>
        <w:tblInd w:w="0" w:type="dxa"/>
        <w:tblCellMar>
          <w:top w:w="0" w:type="dxa"/>
          <w:left w:w="0" w:type="dxa"/>
          <w:bottom w:w="0" w:type="dxa"/>
          <w:right w:w="0" w:type="dxa"/>
        </w:tblCellMar>
      </w:tblPr>
      <w:tblGrid>
        <w:gridCol w:w="920"/>
        <w:gridCol w:w="7535"/>
      </w:tblGrid>
      <w:tr>
        <w:trPr/>
        <w:tc>
          <w:tcPr>
            <w:tcW w:w="920" w:type="dxa"/>
            <w:tcBorders/>
            <w:shd w:fill="auto" w:val="clear"/>
            <w:vAlign w:val="center"/>
          </w:tcPr>
          <w:p>
            <w:pPr>
              <w:pStyle w:val="TableContents"/>
              <w:spacing w:before="0" w:after="0"/>
              <w:jc w:val="left"/>
              <w:rPr>
                <w:b/>
                <w:spacing w:val="0"/>
              </w:rPr>
            </w:pPr>
            <w:bookmarkStart w:id="10" w:name="tx120247_9"/>
            <w:bookmarkEnd w:id="10"/>
            <w:r>
              <w:rPr>
                <w:b/>
                <w:spacing w:val="0"/>
              </w:rPr>
              <w:t>ITEM 7.</w:t>
            </w:r>
          </w:p>
        </w:tc>
        <w:tc>
          <w:tcPr>
            <w:tcW w:w="7535" w:type="dxa"/>
            <w:tcBorders/>
            <w:shd w:fill="auto" w:val="clear"/>
            <w:vAlign w:val="center"/>
          </w:tcPr>
          <w:p>
            <w:pPr>
              <w:pStyle w:val="TableContents"/>
              <w:spacing w:before="0" w:after="0"/>
              <w:jc w:val="left"/>
              <w:rPr>
                <w:rFonts w:ascii="Times New Roman" w:hAnsi="Times New Roman"/>
                <w:b/>
                <w:spacing w:val="0"/>
                <w:sz w:val="20"/>
              </w:rPr>
            </w:pPr>
            <w:r>
              <w:rPr>
                <w:rFonts w:ascii="Times New Roman" w:hAnsi="Times New Roman"/>
                <w:b/>
                <w:spacing w:val="0"/>
                <w:sz w:val="20"/>
              </w:rPr>
              <w:t xml:space="preserve">Management’s Discussion and Analysis of Financial Condition and Results of Operations </w:t>
            </w:r>
          </w:p>
        </w:tc>
      </w:tr>
    </w:tbl>
    <w:p>
      <w:pPr>
        <w:pStyle w:val="TextBody"/>
        <w:spacing w:before="120" w:after="0"/>
        <w:jc w:val="left"/>
        <w:rPr>
          <w:rFonts w:ascii="Times New Roman" w:hAnsi="Times New Roman"/>
          <w:spacing w:val="0"/>
          <w:sz w:val="20"/>
        </w:rPr>
      </w:pPr>
      <w:r>
        <w:rPr>
          <w:rFonts w:ascii="Times New Roman" w:hAnsi="Times New Roman"/>
          <w:spacing w:val="0"/>
          <w:sz w:val="20"/>
        </w:rPr>
        <w:t xml:space="preserve">The following discussion and analysis of our financial condition and results of operations should be read together with our audited consolidated financial statements and related notes included herein. Unless otherwise specified, the meanings of all defined terms in “Management’s Discussion and Analysis of Financial Condition and Results of Operations” are consistent with the meanings of such terms as defined in the Notes to Consolidated Financial Statements. All dollar amounts are presented in thousands, unless otherwise noted, except share and per share amounts. </w:t>
      </w:r>
    </w:p>
    <w:p>
      <w:pPr>
        <w:pStyle w:val="TextBody"/>
        <w:spacing w:before="360" w:after="0"/>
        <w:jc w:val="left"/>
        <w:rPr>
          <w:rFonts w:ascii="Times New Roman" w:hAnsi="Times New Roman"/>
          <w:b/>
          <w:spacing w:val="0"/>
          <w:sz w:val="20"/>
        </w:rPr>
      </w:pPr>
      <w:r>
        <w:rPr>
          <w:rFonts w:ascii="Times New Roman" w:hAnsi="Times New Roman"/>
          <w:b/>
          <w:spacing w:val="0"/>
          <w:sz w:val="20"/>
        </w:rPr>
        <w:t xml:space="preserve">Recent Developments </w:t>
      </w:r>
    </w:p>
    <w:p>
      <w:pPr>
        <w:pStyle w:val="TextBody"/>
        <w:spacing w:before="120" w:after="0"/>
        <w:jc w:val="left"/>
        <w:rPr>
          <w:rFonts w:ascii="Times New Roman" w:hAnsi="Times New Roman"/>
          <w:sz w:val="20"/>
        </w:rPr>
      </w:pPr>
      <w:r>
        <w:rPr>
          <w:rFonts w:ascii="Times New Roman" w:hAnsi="Times New Roman"/>
          <w:sz w:val="20"/>
        </w:rPr>
        <w:t xml:space="preserve">On March 11, 2020, the World Health Organization declared the </w:t>
      </w:r>
    </w:p>
    <w:p>
      <w:pPr>
        <w:pStyle w:val="TextBody"/>
        <w:spacing w:before="120" w:after="0"/>
        <w:jc w:val="left"/>
        <w:rPr>
          <w:rFonts w:ascii="Times New Roman" w:hAnsi="Times New Roman"/>
          <w:spacing w:val="0"/>
          <w:sz w:val="20"/>
        </w:rPr>
      </w:pPr>
      <w:r>
        <w:rPr>
          <w:rFonts w:ascii="Times New Roman" w:hAnsi="Times New Roman"/>
          <w:spacing w:val="0"/>
          <w:sz w:val="20"/>
        </w:rPr>
        <w:t>COVID-19</w:t>
      </w:r>
    </w:p>
    <w:p>
      <w:pPr>
        <w:pStyle w:val="TextBody"/>
        <w:spacing w:before="120" w:after="0"/>
        <w:jc w:val="left"/>
        <w:rPr>
          <w:rFonts w:ascii="Times New Roman" w:hAnsi="Times New Roman"/>
          <w:sz w:val="20"/>
        </w:rPr>
      </w:pPr>
      <w:r>
        <w:rPr>
          <w:rFonts w:ascii="Times New Roman" w:hAnsi="Times New Roman"/>
          <w:sz w:val="20"/>
        </w:rPr>
        <w:t xml:space="preserve">outbreak to be a global pandemic and on March 13, 2020, the United States declared a National Public Health Emergency. As a result, several state and local mandates were implemented that encouraged the practice of social distancing, placed restrictions from individuals gathering in groups and, in many areas, placed complete restrictions on </w:t>
      </w:r>
    </w:p>
    <w:p>
      <w:pPr>
        <w:pStyle w:val="TextBody"/>
        <w:spacing w:before="120" w:after="0"/>
        <w:jc w:val="left"/>
        <w:rPr>
          <w:rFonts w:ascii="Times New Roman" w:hAnsi="Times New Roman"/>
          <w:spacing w:val="0"/>
          <w:sz w:val="20"/>
        </w:rPr>
      </w:pPr>
      <w:r>
        <w:rPr>
          <w:rFonts w:ascii="Times New Roman" w:hAnsi="Times New Roman"/>
          <w:spacing w:val="0"/>
          <w:sz w:val="20"/>
        </w:rPr>
        <w:t>non-essential</w:t>
      </w:r>
    </w:p>
    <w:p>
      <w:pPr>
        <w:pStyle w:val="TextBody"/>
        <w:spacing w:before="120" w:after="0"/>
        <w:jc w:val="left"/>
        <w:rPr>
          <w:rFonts w:ascii="Times New Roman" w:hAnsi="Times New Roman"/>
          <w:sz w:val="20"/>
        </w:rPr>
      </w:pPr>
      <w:r>
        <w:rPr>
          <w:rFonts w:ascii="Times New Roman" w:hAnsi="Times New Roman"/>
          <w:sz w:val="20"/>
        </w:rPr>
        <w:t xml:space="preserve">movement outside of the home. Shortly after the national emergency declaration, state and local officials began placing restrictions on businesses, some of which allowed </w:t>
      </w:r>
    </w:p>
    <w:p>
      <w:pPr>
        <w:pStyle w:val="TextBody"/>
        <w:spacing w:before="120" w:after="0"/>
        <w:jc w:val="left"/>
        <w:rPr>
          <w:rFonts w:ascii="Times New Roman" w:hAnsi="Times New Roman"/>
          <w:spacing w:val="0"/>
          <w:sz w:val="20"/>
        </w:rPr>
      </w:pPr>
      <w:r>
        <w:rPr>
          <w:rFonts w:ascii="Times New Roman" w:hAnsi="Times New Roman"/>
          <w:spacing w:val="0"/>
          <w:sz w:val="20"/>
        </w:rPr>
        <w:t>To-Go</w:t>
      </w:r>
    </w:p>
    <w:p>
      <w:pPr>
        <w:pStyle w:val="TextBody"/>
        <w:spacing w:before="120" w:after="0"/>
        <w:jc w:val="left"/>
        <w:rPr>
          <w:rFonts w:ascii="Times New Roman" w:hAnsi="Times New Roman"/>
          <w:sz w:val="20"/>
        </w:rPr>
      </w:pPr>
      <w:r>
        <w:rPr>
          <w:rFonts w:ascii="Times New Roman" w:hAnsi="Times New Roman"/>
          <w:sz w:val="20"/>
        </w:rPr>
        <w:t xml:space="preserve">or curbside service only while others limited capacity in the dining room or midway. By March 20, 2020, all of our 137 operating stores were temporarily closed (including our one new store that opened on March 16, 2020). </w:t>
      </w:r>
    </w:p>
    <w:p>
      <w:pPr>
        <w:pStyle w:val="TextBody"/>
        <w:spacing w:before="240" w:after="0"/>
        <w:jc w:val="left"/>
        <w:rPr>
          <w:rFonts w:ascii="Times New Roman" w:hAnsi="Times New Roman"/>
          <w:sz w:val="20"/>
        </w:rPr>
      </w:pPr>
      <w:r>
        <w:rPr>
          <w:rFonts w:ascii="Times New Roman" w:hAnsi="Times New Roman"/>
          <w:sz w:val="20"/>
        </w:rPr>
        <w:t xml:space="preserve">On April 30, 2020, our first store </w:t>
      </w:r>
    </w:p>
    <w:p>
      <w:pPr>
        <w:pStyle w:val="TextBody"/>
        <w:spacing w:before="240" w:after="0"/>
        <w:jc w:val="left"/>
        <w:rPr>
          <w:rFonts w:ascii="Times New Roman" w:hAnsi="Times New Roman"/>
          <w:spacing w:val="0"/>
          <w:sz w:val="20"/>
        </w:rPr>
      </w:pPr>
      <w:r>
        <w:rPr>
          <w:rFonts w:ascii="Times New Roman" w:hAnsi="Times New Roman"/>
          <w:spacing w:val="0"/>
          <w:sz w:val="20"/>
        </w:rPr>
        <w:t>re-opened</w:t>
      </w:r>
    </w:p>
    <w:p>
      <w:pPr>
        <w:pStyle w:val="TextBody"/>
        <w:spacing w:before="240" w:after="0"/>
        <w:jc w:val="left"/>
        <w:rPr>
          <w:rFonts w:ascii="Times New Roman" w:hAnsi="Times New Roman"/>
          <w:sz w:val="20"/>
        </w:rPr>
      </w:pPr>
      <w:r>
        <w:rPr>
          <w:rFonts w:ascii="Times New Roman" w:hAnsi="Times New Roman"/>
          <w:sz w:val="20"/>
        </w:rPr>
        <w:t xml:space="preserve">to the public, as state and local guidelines began to allow dining rooms and arcades to open at limited capacity and/or limited hours of operation. By the end of fiscal 2020, we had progressively </w:t>
      </w:r>
    </w:p>
    <w:p>
      <w:pPr>
        <w:pStyle w:val="TextBody"/>
        <w:spacing w:before="240" w:after="0"/>
        <w:jc w:val="left"/>
        <w:rPr>
          <w:rFonts w:ascii="Times New Roman" w:hAnsi="Times New Roman"/>
          <w:spacing w:val="0"/>
          <w:sz w:val="20"/>
        </w:rPr>
      </w:pPr>
      <w:r>
        <w:rPr>
          <w:rFonts w:ascii="Times New Roman" w:hAnsi="Times New Roman"/>
          <w:spacing w:val="0"/>
          <w:sz w:val="20"/>
        </w:rPr>
        <w:t>re-opened</w:t>
      </w:r>
    </w:p>
    <w:p>
      <w:pPr>
        <w:pStyle w:val="TextBody"/>
        <w:spacing w:before="240" w:after="0"/>
        <w:jc w:val="left"/>
        <w:rPr>
          <w:rFonts w:ascii="Times New Roman" w:hAnsi="Times New Roman"/>
          <w:sz w:val="20"/>
        </w:rPr>
      </w:pPr>
      <w:r>
        <w:rPr>
          <w:rFonts w:ascii="Times New Roman" w:hAnsi="Times New Roman"/>
          <w:sz w:val="20"/>
        </w:rPr>
        <w:t xml:space="preserve">an additional 101 stores with limited operations. Many of these stores that were </w:t>
      </w:r>
    </w:p>
    <w:p>
      <w:pPr>
        <w:pStyle w:val="TextBody"/>
        <w:spacing w:before="240" w:after="0"/>
        <w:jc w:val="left"/>
        <w:rPr>
          <w:rFonts w:ascii="Times New Roman" w:hAnsi="Times New Roman"/>
          <w:spacing w:val="0"/>
          <w:sz w:val="20"/>
        </w:rPr>
      </w:pPr>
      <w:r>
        <w:rPr>
          <w:rFonts w:ascii="Times New Roman" w:hAnsi="Times New Roman"/>
          <w:spacing w:val="0"/>
          <w:sz w:val="20"/>
        </w:rPr>
        <w:t>re-opened</w:t>
      </w:r>
    </w:p>
    <w:p>
      <w:pPr>
        <w:pStyle w:val="TextBody"/>
        <w:spacing w:before="240" w:after="0"/>
        <w:jc w:val="left"/>
        <w:rPr>
          <w:rFonts w:ascii="Times New Roman" w:hAnsi="Times New Roman"/>
          <w:sz w:val="20"/>
        </w:rPr>
      </w:pPr>
      <w:r>
        <w:rPr>
          <w:rFonts w:ascii="Times New Roman" w:hAnsi="Times New Roman"/>
          <w:sz w:val="20"/>
        </w:rPr>
        <w:t xml:space="preserve">in limited capacity were required to temporarily close again in areas more severely impacted by the </w:t>
      </w:r>
    </w:p>
    <w:p>
      <w:pPr>
        <w:pStyle w:val="TextBody"/>
        <w:spacing w:before="240" w:after="0"/>
        <w:jc w:val="left"/>
        <w:rPr>
          <w:rFonts w:ascii="Times New Roman" w:hAnsi="Times New Roman"/>
          <w:spacing w:val="0"/>
          <w:sz w:val="20"/>
        </w:rPr>
      </w:pPr>
      <w:r>
        <w:rPr>
          <w:rFonts w:ascii="Times New Roman" w:hAnsi="Times New Roman"/>
          <w:spacing w:val="0"/>
          <w:sz w:val="20"/>
        </w:rPr>
        <w:t>COVID-19</w:t>
      </w:r>
    </w:p>
    <w:p>
      <w:pPr>
        <w:pStyle w:val="TextBody"/>
        <w:spacing w:before="240" w:after="0"/>
        <w:jc w:val="left"/>
        <w:rPr>
          <w:rFonts w:ascii="Times New Roman" w:hAnsi="Times New Roman"/>
          <w:sz w:val="20"/>
        </w:rPr>
      </w:pPr>
      <w:r>
        <w:rPr>
          <w:rFonts w:ascii="Times New Roman" w:hAnsi="Times New Roman"/>
          <w:sz w:val="20"/>
        </w:rPr>
        <w:t xml:space="preserve">pandemic, particularly during the fourth quarter holiday season. The Company also opened five new stores in the second half of the fiscal year, all of which commenced construction prior to the outbreak of the </w:t>
      </w:r>
    </w:p>
    <w:p>
      <w:pPr>
        <w:pStyle w:val="TextBody"/>
        <w:spacing w:before="240" w:after="0"/>
        <w:jc w:val="left"/>
        <w:rPr>
          <w:rFonts w:ascii="Times New Roman" w:hAnsi="Times New Roman"/>
          <w:spacing w:val="0"/>
          <w:sz w:val="20"/>
        </w:rPr>
      </w:pPr>
      <w:r>
        <w:rPr>
          <w:rFonts w:ascii="Times New Roman" w:hAnsi="Times New Roman"/>
          <w:spacing w:val="0"/>
          <w:sz w:val="20"/>
        </w:rPr>
        <w:t>COVID-19</w:t>
      </w:r>
    </w:p>
    <w:p>
      <w:pPr>
        <w:pStyle w:val="TextBody"/>
        <w:spacing w:before="240" w:after="0"/>
        <w:jc w:val="left"/>
        <w:rPr>
          <w:rFonts w:ascii="Times New Roman" w:hAnsi="Times New Roman"/>
          <w:sz w:val="20"/>
        </w:rPr>
      </w:pPr>
      <w:r>
        <w:rPr>
          <w:rFonts w:ascii="Times New Roman" w:hAnsi="Times New Roman"/>
          <w:sz w:val="20"/>
        </w:rPr>
        <w:t xml:space="preserve">pandemic. As of January 31, 2021, 107 of our 140 stores were open and operating in limited capacity. As of March 28, 2021, fifteen stores continue to remain closed to </w:t>
      </w:r>
    </w:p>
    <w:p>
      <w:pPr>
        <w:pStyle w:val="TextBody"/>
        <w:spacing w:before="240" w:after="0"/>
        <w:jc w:val="left"/>
        <w:rPr>
          <w:rFonts w:ascii="Times New Roman" w:hAnsi="Times New Roman"/>
          <w:spacing w:val="0"/>
          <w:sz w:val="20"/>
        </w:rPr>
      </w:pPr>
      <w:r>
        <w:rPr>
          <w:rFonts w:ascii="Times New Roman" w:hAnsi="Times New Roman"/>
          <w:spacing w:val="0"/>
          <w:sz w:val="20"/>
        </w:rPr>
        <w:t>in-person</w:t>
      </w:r>
    </w:p>
    <w:p>
      <w:pPr>
        <w:pStyle w:val="TextBody"/>
        <w:spacing w:before="240" w:after="0"/>
        <w:jc w:val="left"/>
        <w:rPr>
          <w:rFonts w:ascii="Times New Roman" w:hAnsi="Times New Roman"/>
          <w:sz w:val="20"/>
        </w:rPr>
      </w:pPr>
      <w:r>
        <w:rPr>
          <w:rFonts w:ascii="Times New Roman" w:hAnsi="Times New Roman"/>
          <w:sz w:val="20"/>
        </w:rPr>
        <w:t xml:space="preserve">customers as a result of state and local </w:t>
      </w:r>
    </w:p>
    <w:p>
      <w:pPr>
        <w:pStyle w:val="TextBody"/>
        <w:spacing w:before="240" w:after="0"/>
        <w:jc w:val="left"/>
        <w:rPr>
          <w:rFonts w:ascii="Times New Roman" w:hAnsi="Times New Roman"/>
          <w:spacing w:val="0"/>
          <w:sz w:val="20"/>
        </w:rPr>
      </w:pPr>
      <w:r>
        <w:rPr>
          <w:rFonts w:ascii="Times New Roman" w:hAnsi="Times New Roman"/>
          <w:spacing w:val="0"/>
          <w:sz w:val="20"/>
        </w:rPr>
        <w:t>COVID-19</w:t>
      </w:r>
    </w:p>
    <w:p>
      <w:pPr>
        <w:pStyle w:val="TextBody"/>
        <w:spacing w:before="240" w:after="0"/>
        <w:jc w:val="left"/>
        <w:rPr>
          <w:rFonts w:ascii="Times New Roman" w:hAnsi="Times New Roman"/>
          <w:sz w:val="20"/>
        </w:rPr>
      </w:pPr>
      <w:r>
        <w:rPr>
          <w:rFonts w:ascii="Times New Roman" w:hAnsi="Times New Roman"/>
          <w:sz w:val="20"/>
        </w:rPr>
        <w:t xml:space="preserve">restrictions, and we anticipate the majority of these stores will </w:t>
      </w:r>
    </w:p>
    <w:p>
      <w:pPr>
        <w:pStyle w:val="TextBody"/>
        <w:spacing w:before="240" w:after="0"/>
        <w:jc w:val="left"/>
        <w:rPr>
          <w:rFonts w:ascii="Times New Roman" w:hAnsi="Times New Roman"/>
          <w:spacing w:val="0"/>
          <w:sz w:val="20"/>
        </w:rPr>
      </w:pPr>
      <w:r>
        <w:rPr>
          <w:rFonts w:ascii="Times New Roman" w:hAnsi="Times New Roman"/>
          <w:spacing w:val="0"/>
          <w:sz w:val="20"/>
        </w:rPr>
        <w:t>re-open</w:t>
      </w:r>
    </w:p>
    <w:p>
      <w:pPr>
        <w:pStyle w:val="TextBody"/>
        <w:spacing w:before="240" w:after="0"/>
        <w:jc w:val="left"/>
        <w:rPr>
          <w:rFonts w:ascii="Times New Roman" w:hAnsi="Times New Roman"/>
          <w:sz w:val="20"/>
        </w:rPr>
      </w:pPr>
      <w:r>
        <w:rPr>
          <w:rFonts w:ascii="Times New Roman" w:hAnsi="Times New Roman"/>
          <w:sz w:val="20"/>
        </w:rPr>
        <w:t xml:space="preserve">in some capacity by the end of the our first quarter of fiscal 2021. </w:t>
      </w:r>
    </w:p>
    <w:p>
      <w:pPr>
        <w:pStyle w:val="TextBody"/>
        <w:spacing w:before="240" w:after="0"/>
        <w:jc w:val="left"/>
        <w:rPr>
          <w:rFonts w:ascii="Times New Roman" w:hAnsi="Times New Roman"/>
          <w:sz w:val="20"/>
        </w:rPr>
      </w:pPr>
      <w:r>
        <w:rPr>
          <w:rFonts w:ascii="Times New Roman" w:hAnsi="Times New Roman"/>
          <w:sz w:val="20"/>
        </w:rPr>
        <w:t xml:space="preserve">As a result of these developments, the Company experienced a significant decrease in traffic which has impacted the Company’s operating results during fiscal 2020. We expect our operating results to continue to be severely impacted until such time that state and local restrictions are lifted, and our dining rooms and midways can </w:t>
      </w:r>
    </w:p>
    <w:p>
      <w:pPr>
        <w:pStyle w:val="TextBody"/>
        <w:spacing w:before="240" w:after="0"/>
        <w:jc w:val="left"/>
        <w:rPr>
          <w:rFonts w:ascii="Times New Roman" w:hAnsi="Times New Roman"/>
          <w:spacing w:val="0"/>
          <w:sz w:val="20"/>
        </w:rPr>
      </w:pPr>
      <w:r>
        <w:rPr>
          <w:rFonts w:ascii="Times New Roman" w:hAnsi="Times New Roman"/>
          <w:spacing w:val="0"/>
          <w:sz w:val="20"/>
        </w:rPr>
        <w:t>re-open</w:t>
      </w:r>
    </w:p>
    <w:p>
      <w:pPr>
        <w:pStyle w:val="TextBody"/>
        <w:spacing w:before="240" w:after="0"/>
        <w:jc w:val="left"/>
        <w:rPr>
          <w:rFonts w:ascii="Times New Roman" w:hAnsi="Times New Roman"/>
          <w:sz w:val="20"/>
        </w:rPr>
      </w:pPr>
      <w:r>
        <w:rPr>
          <w:rFonts w:ascii="Times New Roman" w:hAnsi="Times New Roman"/>
          <w:sz w:val="20"/>
        </w:rPr>
        <w:t xml:space="preserve">at full capacity. We cannot predict how long the pandemic will last or when the state and local restrictions will be lifted or potentially </w:t>
      </w:r>
    </w:p>
    <w:p>
      <w:pPr>
        <w:pStyle w:val="TextBody"/>
        <w:spacing w:before="240" w:after="0"/>
        <w:jc w:val="left"/>
        <w:rPr>
          <w:rFonts w:ascii="Times New Roman" w:hAnsi="Times New Roman"/>
          <w:spacing w:val="0"/>
          <w:sz w:val="20"/>
        </w:rPr>
      </w:pPr>
      <w:r>
        <w:rPr>
          <w:rFonts w:ascii="Times New Roman" w:hAnsi="Times New Roman"/>
          <w:spacing w:val="0"/>
          <w:sz w:val="20"/>
        </w:rPr>
        <w:t>re-imposed.</w:t>
      </w:r>
    </w:p>
    <w:p>
      <w:pPr>
        <w:pStyle w:val="TextBody"/>
        <w:spacing w:before="240" w:after="0"/>
        <w:jc w:val="left"/>
        <w:rPr>
          <w:rFonts w:ascii="Times New Roman" w:hAnsi="Times New Roman"/>
          <w:sz w:val="20"/>
        </w:rPr>
      </w:pPr>
      <w:r>
        <w:rPr>
          <w:rFonts w:ascii="Times New Roman" w:hAnsi="Times New Roman"/>
          <w:sz w:val="20"/>
        </w:rPr>
        <w:t xml:space="preserve">In addition, we cannot predict with certainty how quickly our customers will return to our stores once such restrictions have been lifted or the impact this will have on consumer spending habits.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In response to the ongoing pandemic, the Company and its Board of Directors implemented the following measures to enhance financial flexibility: </w:t>
      </w:r>
    </w:p>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reduced expenses broadly, including by furloughing all of our hourly store team members and approximately 94% of store management personnel, on or about March 19, 2020, while enacting </w:t>
            </w:r>
          </w:p>
          <w:p>
            <w:pPr>
              <w:pStyle w:val="TableContents"/>
              <w:spacing w:before="0" w:after="0"/>
              <w:jc w:val="left"/>
              <w:rPr>
                <w:rFonts w:ascii="Times New Roman" w:hAnsi="Times New Roman"/>
                <w:spacing w:val="0"/>
                <w:sz w:val="20"/>
              </w:rPr>
            </w:pPr>
            <w:r>
              <w:rPr>
                <w:rFonts w:ascii="Times New Roman" w:hAnsi="Times New Roman"/>
                <w:spacing w:val="0"/>
                <w:sz w:val="20"/>
              </w:rPr>
              <w:t>12-week</w:t>
            </w:r>
          </w:p>
          <w:p>
            <w:pPr>
              <w:pStyle w:val="TableContents"/>
              <w:spacing w:before="0" w:after="0"/>
              <w:jc w:val="left"/>
              <w:rPr>
                <w:rFonts w:ascii="Times New Roman" w:hAnsi="Times New Roman"/>
                <w:sz w:val="20"/>
              </w:rPr>
            </w:pPr>
            <w:r>
              <w:rPr>
                <w:rFonts w:ascii="Times New Roman" w:hAnsi="Times New Roman"/>
                <w:sz w:val="20"/>
              </w:rPr>
              <w:t xml:space="preserve">salary reductions for remaining managers. In addition, effective March 24, 2020, the Company furloughed all but a small team of essential corporate and administrative staff, enacted </w:t>
            </w:r>
          </w:p>
          <w:p>
            <w:pPr>
              <w:pStyle w:val="TableContents"/>
              <w:spacing w:before="0" w:after="0"/>
              <w:jc w:val="left"/>
              <w:rPr>
                <w:rFonts w:ascii="Times New Roman" w:hAnsi="Times New Roman"/>
                <w:spacing w:val="0"/>
                <w:sz w:val="20"/>
              </w:rPr>
            </w:pPr>
            <w:r>
              <w:rPr>
                <w:rFonts w:ascii="Times New Roman" w:hAnsi="Times New Roman"/>
                <w:spacing w:val="0"/>
                <w:sz w:val="20"/>
              </w:rPr>
              <w:t>12-week</w:t>
            </w:r>
          </w:p>
          <w:p>
            <w:pPr>
              <w:pStyle w:val="TableContents"/>
              <w:spacing w:before="0" w:after="0"/>
              <w:jc w:val="left"/>
              <w:rPr>
                <w:rFonts w:ascii="Times New Roman" w:hAnsi="Times New Roman"/>
                <w:sz w:val="20"/>
              </w:rPr>
            </w:pPr>
            <w:r>
              <w:rPr>
                <w:rFonts w:ascii="Times New Roman" w:hAnsi="Times New Roman"/>
                <w:sz w:val="20"/>
              </w:rPr>
              <w:t xml:space="preserve">salary reductions ranging from 10% to 50%, and suspended all cash board fees through the remainder of fiscal 2020. As stores reopen with a reduced workforce, a portion of the furloughed personnel at our stores and corporate office have returned to work; </w:t>
            </w:r>
          </w:p>
        </w:tc>
      </w:tr>
    </w:tbl>
    <w:p>
      <w:pPr>
        <w:pStyle w:val="TextBody"/>
        <w:spacing w:before="0" w:after="0"/>
        <w:jc w:val="left"/>
        <w:rPr>
          <w:spacing w:val="0"/>
        </w:rPr>
      </w:pPr>
      <w:r>
        <w:rPr>
          <w:spacing w:val="0"/>
        </w:rPr>
        <w:t> </w:t>
      </w:r>
    </w:p>
    <w:tbl>
      <w:tblPr>
        <w:tblW w:w="5020" w:type="dxa"/>
        <w:jc w:val="left"/>
        <w:tblInd w:w="0" w:type="dxa"/>
        <w:tblCellMar>
          <w:top w:w="0" w:type="dxa"/>
          <w:left w:w="0" w:type="dxa"/>
          <w:bottom w:w="0" w:type="dxa"/>
          <w:right w:w="0" w:type="dxa"/>
        </w:tblCellMar>
      </w:tblPr>
      <w:tblGrid>
        <w:gridCol w:w="75"/>
        <w:gridCol w:w="110"/>
        <w:gridCol w:w="60"/>
        <w:gridCol w:w="477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477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canceled or delayed all </w:t>
            </w:r>
          </w:p>
          <w:p>
            <w:pPr>
              <w:pStyle w:val="TableContents"/>
              <w:spacing w:before="0" w:after="0"/>
              <w:jc w:val="left"/>
              <w:rPr>
                <w:rFonts w:ascii="Times New Roman" w:hAnsi="Times New Roman"/>
                <w:spacing w:val="0"/>
                <w:sz w:val="20"/>
              </w:rPr>
            </w:pPr>
            <w:r>
              <w:rPr>
                <w:rFonts w:ascii="Times New Roman" w:hAnsi="Times New Roman"/>
                <w:spacing w:val="0"/>
                <w:sz w:val="20"/>
              </w:rPr>
              <w:t>non-essential</w:t>
            </w:r>
          </w:p>
          <w:p>
            <w:pPr>
              <w:pStyle w:val="TableContents"/>
              <w:spacing w:before="0" w:after="0"/>
              <w:jc w:val="left"/>
              <w:rPr>
                <w:rFonts w:ascii="Times New Roman" w:hAnsi="Times New Roman"/>
                <w:sz w:val="20"/>
              </w:rPr>
            </w:pPr>
            <w:r>
              <w:rPr>
                <w:rFonts w:ascii="Times New Roman" w:hAnsi="Times New Roman"/>
                <w:sz w:val="20"/>
              </w:rPr>
              <w:t xml:space="preserve">planned capital spending for the remainder of fiscal 2020; </w:t>
            </w:r>
          </w:p>
        </w:tc>
      </w:tr>
    </w:tbl>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halted or delayed planned store openings after our one store opening in Chattanooga, TN, on March 16, 2020, except five new stores which commenced construction prior to the pandemic that opened during the third and fourth quarter; </w:t>
            </w:r>
          </w:p>
        </w:tc>
      </w:tr>
    </w:tbl>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34 </w:t>
      </w:r>
    </w:p>
    <w:p>
      <w:pPr>
        <w:pStyle w:val="HorizontalLine"/>
        <w:rPr/>
      </w:pPr>
      <w:r>
        <w:rPr/>
      </w:r>
    </w:p>
    <w:p>
      <w:pPr>
        <w:pStyle w:val="TextBody"/>
        <w:spacing w:before="0" w:after="0"/>
        <w:rPr/>
      </w:pPr>
      <w:hyperlink w:anchor="toc">
        <w:r>
          <w:rPr>
            <w:rStyle w:val="InternetLink"/>
            <w:b/>
            <w:sz w:val="20"/>
          </w:rPr>
          <w:t>Table of Contents</w:t>
        </w:r>
      </w:hyperlink>
    </w:p>
    <w:tbl>
      <w:tblPr>
        <w:tblW w:w="9355" w:type="dxa"/>
        <w:jc w:val="left"/>
        <w:tblInd w:w="0" w:type="dxa"/>
        <w:tblCellMar>
          <w:top w:w="0" w:type="dxa"/>
          <w:left w:w="0" w:type="dxa"/>
          <w:bottom w:w="0" w:type="dxa"/>
          <w:right w:w="0" w:type="dxa"/>
        </w:tblCellMar>
      </w:tblPr>
      <w:tblGrid>
        <w:gridCol w:w="75"/>
        <w:gridCol w:w="110"/>
        <w:gridCol w:w="60"/>
        <w:gridCol w:w="911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11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stopped work on future planned sites and commenced negotiations to terminate related contracts, as applicable; </w:t>
            </w:r>
          </w:p>
        </w:tc>
      </w:tr>
    </w:tbl>
    <w:p>
      <w:pPr>
        <w:pStyle w:val="TextBody"/>
        <w:spacing w:before="0" w:after="0"/>
        <w:jc w:val="left"/>
        <w:rPr>
          <w:spacing w:val="0"/>
        </w:rPr>
      </w:pPr>
      <w:r>
        <w:rPr>
          <w:spacing w:val="0"/>
        </w:rPr>
        <w:t> </w:t>
      </w:r>
    </w:p>
    <w:tbl>
      <w:tblPr>
        <w:tblW w:w="6025" w:type="dxa"/>
        <w:jc w:val="left"/>
        <w:tblInd w:w="0" w:type="dxa"/>
        <w:tblCellMar>
          <w:top w:w="0" w:type="dxa"/>
          <w:left w:w="0" w:type="dxa"/>
          <w:bottom w:w="0" w:type="dxa"/>
          <w:right w:w="0" w:type="dxa"/>
        </w:tblCellMar>
      </w:tblPr>
      <w:tblGrid>
        <w:gridCol w:w="75"/>
        <w:gridCol w:w="110"/>
        <w:gridCol w:w="60"/>
        <w:gridCol w:w="578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578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suspended our share repurchase program and declaration of dividends; </w:t>
            </w:r>
          </w:p>
        </w:tc>
      </w:tr>
    </w:tbl>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negotiated amendments to our credit facility resulting in an extension of the maturity date of our revolving credit facility to August 17, 2024; </w:t>
            </w:r>
          </w:p>
        </w:tc>
      </w:tr>
    </w:tbl>
    <w:p>
      <w:pPr>
        <w:pStyle w:val="TextBody"/>
        <w:spacing w:before="0" w:after="0"/>
        <w:jc w:val="left"/>
        <w:rPr>
          <w:spacing w:val="0"/>
        </w:rPr>
      </w:pPr>
      <w:r>
        <w:rPr>
          <w:spacing w:val="0"/>
        </w:rPr>
        <w:t> </w:t>
      </w:r>
    </w:p>
    <w:tbl>
      <w:tblPr>
        <w:tblW w:w="5980" w:type="dxa"/>
        <w:jc w:val="left"/>
        <w:tblInd w:w="0" w:type="dxa"/>
        <w:tblCellMar>
          <w:top w:w="0" w:type="dxa"/>
          <w:left w:w="0" w:type="dxa"/>
          <w:bottom w:w="0" w:type="dxa"/>
          <w:right w:w="0" w:type="dxa"/>
        </w:tblCellMar>
      </w:tblPr>
      <w:tblGrid>
        <w:gridCol w:w="75"/>
        <w:gridCol w:w="110"/>
        <w:gridCol w:w="60"/>
        <w:gridCol w:w="573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5735"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issued $550,000 of senior secured notes, maturing November 1, 2025; </w:t>
            </w:r>
          </w:p>
        </w:tc>
      </w:tr>
    </w:tbl>
    <w:p>
      <w:pPr>
        <w:pStyle w:val="TextBody"/>
        <w:spacing w:before="0" w:after="0"/>
        <w:jc w:val="left"/>
        <w:rPr>
          <w:spacing w:val="0"/>
        </w:rPr>
      </w:pPr>
      <w:r>
        <w:rPr>
          <w:spacing w:val="0"/>
        </w:rPr>
        <w:t> </w:t>
      </w:r>
    </w:p>
    <w:tbl>
      <w:tblPr>
        <w:tblW w:w="8290" w:type="dxa"/>
        <w:jc w:val="left"/>
        <w:tblInd w:w="0" w:type="dxa"/>
        <w:tblCellMar>
          <w:top w:w="0" w:type="dxa"/>
          <w:left w:w="0" w:type="dxa"/>
          <w:bottom w:w="0" w:type="dxa"/>
          <w:right w:w="0" w:type="dxa"/>
        </w:tblCellMar>
      </w:tblPr>
      <w:tblGrid>
        <w:gridCol w:w="75"/>
        <w:gridCol w:w="110"/>
        <w:gridCol w:w="60"/>
        <w:gridCol w:w="804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8045"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sold shares of our common stock, which generated gross proceeds of approximately $185,600; and </w:t>
            </w:r>
          </w:p>
        </w:tc>
      </w:tr>
    </w:tbl>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negotiated with our landlords, vendors, and other business partners to temporarily reduce our lease and contract payments and obtain other concessions. During fiscal 2020, a total of 126 rent relief agreements related to our operating locations and corporate headquarters were initially executed, which generally provide for full deferral for three months beginning April 2020, with partial deferral continuing for periods of up to six months, at approximately 50% of those locations. As the pandemic continued to impact our business into the fourth quarter, the Company renewed negotiations with the majority of these landlords in order to provide additional rent relief, generally seeking to push out or extend the terms of deferral pay back periods and/or provide rent relief beyond the periods in the initial agreements. As of the end of fiscal 2020, the Company had executed 17 of these additional rent relief agreements. </w:t>
            </w:r>
          </w:p>
        </w:tc>
      </w:tr>
    </w:tbl>
    <w:p>
      <w:pPr>
        <w:pStyle w:val="TextBody"/>
        <w:spacing w:before="240" w:after="0"/>
        <w:jc w:val="left"/>
        <w:rPr>
          <w:rFonts w:ascii="Times New Roman" w:hAnsi="Times New Roman"/>
          <w:sz w:val="20"/>
        </w:rPr>
      </w:pPr>
      <w:r>
        <w:rPr>
          <w:rFonts w:ascii="Times New Roman" w:hAnsi="Times New Roman"/>
          <w:sz w:val="20"/>
        </w:rPr>
        <w:t xml:space="preserve">The </w:t>
      </w:r>
    </w:p>
    <w:p>
      <w:pPr>
        <w:pStyle w:val="TextBody"/>
        <w:spacing w:before="240" w:after="0"/>
        <w:jc w:val="left"/>
        <w:rPr>
          <w:rFonts w:ascii="Times New Roman" w:hAnsi="Times New Roman"/>
          <w:spacing w:val="0"/>
          <w:sz w:val="20"/>
        </w:rPr>
      </w:pPr>
      <w:r>
        <w:rPr>
          <w:rFonts w:ascii="Times New Roman" w:hAnsi="Times New Roman"/>
          <w:spacing w:val="0"/>
          <w:sz w:val="20"/>
        </w:rPr>
        <w:t>re-opening</w:t>
      </w:r>
    </w:p>
    <w:p>
      <w:pPr>
        <w:pStyle w:val="TextBody"/>
        <w:spacing w:before="240" w:after="0"/>
        <w:jc w:val="left"/>
        <w:rPr>
          <w:rFonts w:ascii="Times New Roman" w:hAnsi="Times New Roman"/>
          <w:sz w:val="20"/>
        </w:rPr>
      </w:pPr>
      <w:r>
        <w:rPr>
          <w:rFonts w:ascii="Times New Roman" w:hAnsi="Times New Roman"/>
          <w:sz w:val="20"/>
        </w:rPr>
        <w:t xml:space="preserve">process has been a gradual one with the safety of our team members and customers as our top priority. All of our </w:t>
      </w:r>
    </w:p>
    <w:p>
      <w:pPr>
        <w:pStyle w:val="TextBody"/>
        <w:spacing w:before="240" w:after="0"/>
        <w:jc w:val="left"/>
        <w:rPr>
          <w:rFonts w:ascii="Times New Roman" w:hAnsi="Times New Roman"/>
          <w:spacing w:val="0"/>
          <w:sz w:val="20"/>
        </w:rPr>
      </w:pPr>
      <w:r>
        <w:rPr>
          <w:rFonts w:ascii="Times New Roman" w:hAnsi="Times New Roman"/>
          <w:spacing w:val="0"/>
          <w:sz w:val="20"/>
        </w:rPr>
        <w:t>re-opened</w:t>
      </w:r>
    </w:p>
    <w:p>
      <w:pPr>
        <w:pStyle w:val="TextBody"/>
        <w:spacing w:before="240" w:after="0"/>
        <w:jc w:val="left"/>
        <w:rPr>
          <w:rFonts w:ascii="Times New Roman" w:hAnsi="Times New Roman"/>
          <w:sz w:val="20"/>
        </w:rPr>
      </w:pPr>
      <w:r>
        <w:rPr>
          <w:rFonts w:ascii="Times New Roman" w:hAnsi="Times New Roman"/>
          <w:sz w:val="20"/>
        </w:rPr>
        <w:t xml:space="preserve">stores are operating with some combination of streamlined menus, reduced games, new seating and game configurations, reduced operating hours, and reduced staff levels. As dining room and midway restrictions continue to ease and sales begin to improve, some labor inefficiencies and increased cleaning and supply costs are anticipated as stores adjust to improved sales volumes and enhanced health and safety protocols. On an ongoing basis, we will also continue to pursue long-term operating efficiencies and fixed cost restructuring opportunities. </w:t>
      </w:r>
    </w:p>
    <w:p>
      <w:pPr>
        <w:pStyle w:val="TextBody"/>
        <w:spacing w:before="360" w:after="0"/>
        <w:jc w:val="left"/>
        <w:rPr>
          <w:rFonts w:ascii="Times New Roman" w:hAnsi="Times New Roman"/>
          <w:b/>
          <w:spacing w:val="0"/>
          <w:sz w:val="20"/>
        </w:rPr>
      </w:pPr>
      <w:r>
        <w:rPr>
          <w:rFonts w:ascii="Times New Roman" w:hAnsi="Times New Roman"/>
          <w:b/>
          <w:spacing w:val="0"/>
          <w:sz w:val="20"/>
        </w:rPr>
        <w:t xml:space="preserve">General </w:t>
      </w:r>
    </w:p>
    <w:p>
      <w:pPr>
        <w:pStyle w:val="TextBody"/>
        <w:spacing w:before="120" w:after="0"/>
        <w:jc w:val="left"/>
        <w:rPr>
          <w:rFonts w:ascii="Times New Roman" w:hAnsi="Times New Roman"/>
          <w:sz w:val="20"/>
        </w:rPr>
      </w:pPr>
      <w:r>
        <w:rPr>
          <w:rFonts w:ascii="Times New Roman" w:hAnsi="Times New Roman"/>
          <w:sz w:val="20"/>
        </w:rPr>
        <w:t xml:space="preserve">We are a leading owner and operator of high-volume venues in North America that combine dining and entertainment for both adults and families under the name “Dave &amp; Buster’s”. Founded in 1982, the core of our concept is to offer our customers the opportunity to “Eat Drink Play and Watch” all in one location. Eat and Drink are offered through a full menu of entrées and appetizers and a full selection of </w:t>
      </w:r>
    </w:p>
    <w:p>
      <w:pPr>
        <w:pStyle w:val="TextBody"/>
        <w:spacing w:before="120" w:after="0"/>
        <w:jc w:val="left"/>
        <w:rPr>
          <w:rFonts w:ascii="Times New Roman" w:hAnsi="Times New Roman"/>
          <w:spacing w:val="0"/>
          <w:sz w:val="20"/>
        </w:rPr>
      </w:pPr>
      <w:r>
        <w:rPr>
          <w:rFonts w:ascii="Times New Roman" w:hAnsi="Times New Roman"/>
          <w:spacing w:val="0"/>
          <w:sz w:val="20"/>
        </w:rPr>
        <w:t>non-alcoholic</w:t>
      </w:r>
    </w:p>
    <w:p>
      <w:pPr>
        <w:pStyle w:val="TextBody"/>
        <w:spacing w:before="120" w:after="0"/>
        <w:jc w:val="left"/>
        <w:rPr>
          <w:rFonts w:ascii="Times New Roman" w:hAnsi="Times New Roman"/>
          <w:sz w:val="20"/>
        </w:rPr>
      </w:pPr>
      <w:r>
        <w:rPr>
          <w:rFonts w:ascii="Times New Roman" w:hAnsi="Times New Roman"/>
          <w:sz w:val="20"/>
        </w:rPr>
        <w:t xml:space="preserve">and alcoholic beverages. Our Play and Watch offerings provide an extensive assortment of entertainment attractions centered around playing games and watching live sports and other televised events. Our brand appeals to a relatively balanced mix of male and female adults, as well as families and teenagers. We believe we appeal to a diverse customer base by providing a highly customizable experience in a dynamic and fun setting. </w:t>
      </w:r>
    </w:p>
    <w:p>
      <w:pPr>
        <w:pStyle w:val="TextBody"/>
        <w:spacing w:before="240" w:after="0"/>
        <w:jc w:val="left"/>
        <w:rPr>
          <w:rFonts w:ascii="Times New Roman" w:hAnsi="Times New Roman"/>
          <w:sz w:val="20"/>
        </w:rPr>
      </w:pPr>
      <w:r>
        <w:rPr>
          <w:rFonts w:ascii="Times New Roman" w:hAnsi="Times New Roman"/>
          <w:sz w:val="20"/>
        </w:rPr>
        <w:t xml:space="preserve">Our stores average 40,000 square feet, range in size between 16,000 and 70,000 square feet. Prior to the </w:t>
      </w:r>
    </w:p>
    <w:p>
      <w:pPr>
        <w:pStyle w:val="TextBody"/>
        <w:spacing w:before="240" w:after="0"/>
        <w:jc w:val="left"/>
        <w:rPr>
          <w:rFonts w:ascii="Times New Roman" w:hAnsi="Times New Roman"/>
          <w:spacing w:val="0"/>
          <w:sz w:val="20"/>
        </w:rPr>
      </w:pPr>
      <w:r>
        <w:rPr>
          <w:rFonts w:ascii="Times New Roman" w:hAnsi="Times New Roman"/>
          <w:spacing w:val="0"/>
          <w:sz w:val="20"/>
        </w:rPr>
        <w:t>COVID-19</w:t>
      </w:r>
    </w:p>
    <w:p>
      <w:pPr>
        <w:pStyle w:val="TextBody"/>
        <w:spacing w:before="240" w:after="0"/>
        <w:jc w:val="left"/>
        <w:rPr>
          <w:rFonts w:ascii="Times New Roman" w:hAnsi="Times New Roman"/>
          <w:sz w:val="20"/>
        </w:rPr>
      </w:pPr>
      <w:r>
        <w:rPr>
          <w:rFonts w:ascii="Times New Roman" w:hAnsi="Times New Roman"/>
          <w:sz w:val="20"/>
        </w:rPr>
        <w:t xml:space="preserve">pandemic, our stores were generally open seven days a week, with normal hours of operation typically from 11:30 a.m. to midnight on Sunday through Thursday and 11:30 a.m. to 2:00 a.m. on Friday and Saturday. </w:t>
      </w:r>
    </w:p>
    <w:p>
      <w:pPr>
        <w:pStyle w:val="TextBody"/>
        <w:spacing w:before="360" w:after="0"/>
        <w:jc w:val="left"/>
        <w:rPr>
          <w:rFonts w:ascii="Times New Roman" w:hAnsi="Times New Roman"/>
          <w:b/>
          <w:spacing w:val="0"/>
          <w:sz w:val="20"/>
        </w:rPr>
      </w:pPr>
      <w:r>
        <w:rPr>
          <w:rFonts w:ascii="Times New Roman" w:hAnsi="Times New Roman"/>
          <w:b/>
          <w:spacing w:val="0"/>
          <w:sz w:val="20"/>
        </w:rPr>
        <w:t xml:space="preserve">Strategy </w:t>
      </w:r>
    </w:p>
    <w:p>
      <w:pPr>
        <w:pStyle w:val="TextBody"/>
        <w:spacing w:before="120" w:after="0"/>
        <w:jc w:val="left"/>
        <w:rPr>
          <w:rFonts w:ascii="Times New Roman" w:hAnsi="Times New Roman"/>
          <w:sz w:val="20"/>
        </w:rPr>
      </w:pPr>
      <w:r>
        <w:rPr>
          <w:rFonts w:ascii="Times New Roman" w:hAnsi="Times New Roman"/>
          <w:sz w:val="20"/>
        </w:rPr>
        <w:t xml:space="preserve">During fiscal 2020, we focused on the </w:t>
      </w:r>
    </w:p>
    <w:p>
      <w:pPr>
        <w:pStyle w:val="TextBody"/>
        <w:spacing w:before="120" w:after="0"/>
        <w:jc w:val="left"/>
        <w:rPr>
          <w:rFonts w:ascii="Times New Roman" w:hAnsi="Times New Roman"/>
          <w:spacing w:val="0"/>
          <w:sz w:val="20"/>
        </w:rPr>
      </w:pPr>
      <w:r>
        <w:rPr>
          <w:rFonts w:ascii="Times New Roman" w:hAnsi="Times New Roman"/>
          <w:spacing w:val="0"/>
          <w:sz w:val="20"/>
        </w:rPr>
        <w:t>re-opening</w:t>
      </w:r>
    </w:p>
    <w:p>
      <w:pPr>
        <w:pStyle w:val="TextBody"/>
        <w:spacing w:before="120" w:after="0"/>
        <w:jc w:val="left"/>
        <w:rPr>
          <w:rFonts w:ascii="Times New Roman" w:hAnsi="Times New Roman"/>
          <w:sz w:val="20"/>
        </w:rPr>
      </w:pPr>
      <w:r>
        <w:rPr>
          <w:rFonts w:ascii="Times New Roman" w:hAnsi="Times New Roman"/>
          <w:sz w:val="20"/>
        </w:rPr>
        <w:t xml:space="preserve">of our stores after mandated shutdowns related to </w:t>
      </w:r>
    </w:p>
    <w:p>
      <w:pPr>
        <w:pStyle w:val="TextBody"/>
        <w:spacing w:before="120" w:after="0"/>
        <w:jc w:val="left"/>
        <w:rPr>
          <w:rFonts w:ascii="Times New Roman" w:hAnsi="Times New Roman"/>
          <w:spacing w:val="0"/>
          <w:sz w:val="20"/>
        </w:rPr>
      </w:pPr>
      <w:r>
        <w:rPr>
          <w:rFonts w:ascii="Times New Roman" w:hAnsi="Times New Roman"/>
          <w:spacing w:val="0"/>
          <w:sz w:val="20"/>
        </w:rPr>
        <w:t>COVID-19,</w:t>
      </w:r>
    </w:p>
    <w:p>
      <w:pPr>
        <w:pStyle w:val="TextBody"/>
        <w:spacing w:before="120" w:after="0"/>
        <w:jc w:val="left"/>
        <w:rPr>
          <w:rFonts w:ascii="Times New Roman" w:hAnsi="Times New Roman"/>
          <w:sz w:val="20"/>
        </w:rPr>
      </w:pPr>
      <w:r>
        <w:rPr>
          <w:rFonts w:ascii="Times New Roman" w:hAnsi="Times New Roman"/>
          <w:sz w:val="20"/>
        </w:rPr>
        <w:t xml:space="preserve">but also refreshed our strategy to set us up for the next phase of growth. Our refreshed strategy is built on four key components, including offering the latest entertainment to enjoy together, novel food &amp; drink to bring people together, creating an aligned team and integrated experience, and driving customer engagement. For further information about our strategy, refer to “Item 1. Strategy”.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35 </w:t>
      </w:r>
    </w:p>
    <w:p>
      <w:pPr>
        <w:pStyle w:val="HorizontalLine"/>
        <w:rPr/>
      </w:pPr>
      <w:r>
        <w:rPr/>
      </w:r>
    </w:p>
    <w:p>
      <w:pPr>
        <w:pStyle w:val="TextBody"/>
        <w:spacing w:before="0" w:after="0"/>
        <w:rPr/>
      </w:pPr>
      <w:hyperlink w:anchor="toc">
        <w:r>
          <w:rPr>
            <w:rStyle w:val="InternetLink"/>
            <w:b/>
            <w:sz w:val="20"/>
          </w:rPr>
          <w:t>Table of Contents</w:t>
        </w:r>
      </w:hyperlink>
    </w:p>
    <w:p>
      <w:pPr>
        <w:pStyle w:val="TextBody"/>
        <w:spacing w:before="0" w:after="0"/>
        <w:jc w:val="left"/>
        <w:rPr>
          <w:rFonts w:ascii="Times New Roman" w:hAnsi="Times New Roman"/>
          <w:b/>
          <w:spacing w:val="0"/>
          <w:sz w:val="20"/>
        </w:rPr>
      </w:pPr>
      <w:r>
        <w:rPr>
          <w:rFonts w:ascii="Times New Roman" w:hAnsi="Times New Roman"/>
          <w:b/>
          <w:spacing w:val="0"/>
          <w:sz w:val="20"/>
        </w:rPr>
        <w:t xml:space="preserve">Key Measures of Our Performance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We monitor and analyze several key performance measures to manage our business and evaluate financial and operating performance. These measures include: </w:t>
      </w:r>
    </w:p>
    <w:p>
      <w:pPr>
        <w:pStyle w:val="TextBody"/>
        <w:spacing w:before="24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Comparable store sales.</w:t>
      </w:r>
    </w:p>
    <w:p>
      <w:pPr>
        <w:pStyle w:val="TextBody"/>
        <w:spacing w:before="240" w:after="0"/>
        <w:jc w:val="left"/>
        <w:rPr>
          <w:rFonts w:ascii="Times New Roman" w:hAnsi="Times New Roman"/>
          <w:sz w:val="20"/>
        </w:rPr>
      </w:pPr>
      <w:r>
        <w:rPr>
          <w:rFonts w:ascii="Times New Roman" w:hAnsi="Times New Roman"/>
          <w:sz w:val="20"/>
        </w:rPr>
        <w:t xml:space="preserve">Comparable store sales are a year-over-year comparison of sales at stores open at the end of the period that have been open for at least 18 months as of the beginning of each of the fiscal years. It is a key performance indicator used within the industry and is indicative of acceptance of our initiatives as well as local economic and consumer trends. Our comparable store base consisted of 114, 99 and 86 stores as of the end of fiscal 2020, 2019 and 2018, respectively. </w:t>
      </w:r>
    </w:p>
    <w:p>
      <w:pPr>
        <w:pStyle w:val="TextBody"/>
        <w:spacing w:before="24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New store openings. </w:t>
      </w:r>
    </w:p>
    <w:p>
      <w:pPr>
        <w:pStyle w:val="TextBody"/>
        <w:spacing w:before="240" w:after="0"/>
        <w:jc w:val="left"/>
        <w:rPr>
          <w:rFonts w:ascii="Times New Roman" w:hAnsi="Times New Roman"/>
          <w:sz w:val="20"/>
        </w:rPr>
      </w:pPr>
      <w:r>
        <w:rPr>
          <w:rFonts w:ascii="Times New Roman" w:hAnsi="Times New Roman"/>
          <w:sz w:val="20"/>
        </w:rPr>
        <w:t xml:space="preserve">Our ability to expand our business and reach new customers is influenced by the opening of additional stores in both new and existing markets. The success of our new stores is indicative of our brand appeal and the efficacy of our site selection and operating models. During fiscal 2020, we opened six new stores. We currently plan to open four stores in fiscal 2021. </w:t>
      </w:r>
    </w:p>
    <w:p>
      <w:pPr>
        <w:pStyle w:val="TextBody"/>
        <w:spacing w:before="360" w:after="0"/>
        <w:jc w:val="left"/>
        <w:rPr>
          <w:rFonts w:ascii="Times New Roman" w:hAnsi="Times New Roman"/>
          <w:b/>
          <w:spacing w:val="0"/>
          <w:sz w:val="20"/>
        </w:rPr>
      </w:pPr>
      <w:r>
        <w:rPr>
          <w:rFonts w:ascii="Times New Roman" w:hAnsi="Times New Roman"/>
          <w:b/>
          <w:spacing w:val="0"/>
          <w:sz w:val="20"/>
        </w:rPr>
        <w:t>Non-GAAP</w:t>
      </w:r>
    </w:p>
    <w:p>
      <w:pPr>
        <w:pStyle w:val="TextBody"/>
        <w:spacing w:before="360" w:after="0"/>
        <w:jc w:val="left"/>
        <w:rPr>
          <w:rFonts w:ascii="Times New Roman" w:hAnsi="Times New Roman"/>
          <w:b/>
          <w:sz w:val="20"/>
        </w:rPr>
      </w:pPr>
      <w:r>
        <w:rPr>
          <w:rFonts w:ascii="Times New Roman" w:hAnsi="Times New Roman"/>
          <w:b/>
          <w:sz w:val="20"/>
        </w:rPr>
        <w:t xml:space="preserve">Financial Measures </w:t>
      </w:r>
    </w:p>
    <w:p>
      <w:pPr>
        <w:pStyle w:val="TextBody"/>
        <w:spacing w:before="120" w:after="0"/>
        <w:jc w:val="left"/>
        <w:rPr>
          <w:rFonts w:ascii="Times New Roman" w:hAnsi="Times New Roman"/>
          <w:sz w:val="20"/>
        </w:rPr>
      </w:pPr>
      <w:r>
        <w:rPr>
          <w:rFonts w:ascii="Times New Roman" w:hAnsi="Times New Roman"/>
          <w:sz w:val="20"/>
        </w:rPr>
        <w:t xml:space="preserve">In addition to the results provided in accordance with generally accepted accounting principles (“GAAP”), we provide </w:t>
      </w:r>
    </w:p>
    <w:p>
      <w:pPr>
        <w:pStyle w:val="TextBody"/>
        <w:spacing w:before="120" w:after="0"/>
        <w:jc w:val="left"/>
        <w:rPr>
          <w:rFonts w:ascii="Times New Roman" w:hAnsi="Times New Roman"/>
          <w:spacing w:val="0"/>
          <w:sz w:val="20"/>
        </w:rPr>
      </w:pPr>
      <w:r>
        <w:rPr>
          <w:rFonts w:ascii="Times New Roman" w:hAnsi="Times New Roman"/>
          <w:spacing w:val="0"/>
          <w:sz w:val="20"/>
        </w:rPr>
        <w:t>non-GAAP</w:t>
      </w:r>
    </w:p>
    <w:p>
      <w:pPr>
        <w:pStyle w:val="TextBody"/>
        <w:spacing w:before="120" w:after="0"/>
        <w:jc w:val="left"/>
        <w:rPr>
          <w:rFonts w:ascii="Times New Roman" w:hAnsi="Times New Roman"/>
          <w:sz w:val="20"/>
        </w:rPr>
      </w:pPr>
      <w:r>
        <w:rPr>
          <w:rFonts w:ascii="Times New Roman" w:hAnsi="Times New Roman"/>
          <w:sz w:val="20"/>
        </w:rPr>
        <w:t xml:space="preserve">measures which present operating results on an adjusted basis. These are supplemental measures of performance that are not required by or presented in accordance with GAAP and include Adjusted EBITDA, Adjusted EBITDA Margin, Store Operating Income Before Depreciation and Amortization and Store Operating Income Before Depreciation and Amortization Margin (defined below). These </w:t>
      </w:r>
    </w:p>
    <w:p>
      <w:pPr>
        <w:pStyle w:val="TextBody"/>
        <w:spacing w:before="120" w:after="0"/>
        <w:jc w:val="left"/>
        <w:rPr>
          <w:rFonts w:ascii="Times New Roman" w:hAnsi="Times New Roman"/>
          <w:spacing w:val="0"/>
          <w:sz w:val="20"/>
        </w:rPr>
      </w:pPr>
      <w:r>
        <w:rPr>
          <w:rFonts w:ascii="Times New Roman" w:hAnsi="Times New Roman"/>
          <w:spacing w:val="0"/>
          <w:sz w:val="20"/>
        </w:rPr>
        <w:t>non-GAAP</w:t>
      </w:r>
    </w:p>
    <w:p>
      <w:pPr>
        <w:pStyle w:val="TextBody"/>
        <w:spacing w:before="120" w:after="0"/>
        <w:jc w:val="left"/>
        <w:rPr>
          <w:rFonts w:ascii="Times New Roman" w:hAnsi="Times New Roman"/>
          <w:sz w:val="20"/>
        </w:rPr>
      </w:pPr>
      <w:r>
        <w:rPr>
          <w:rFonts w:ascii="Times New Roman" w:hAnsi="Times New Roman"/>
          <w:sz w:val="20"/>
        </w:rPr>
        <w:t xml:space="preserve">measures do not represent and should not be considered as an alternative to net income or cash flows from operations, as determined in accordance with GAAP, and our calculations thereof may not be comparable to similarly entitled measures reported by other companies and should not be considered in isolation or as a substitute for measures of performance prepared in accordance with GAAP. Although we use these </w:t>
      </w:r>
    </w:p>
    <w:p>
      <w:pPr>
        <w:pStyle w:val="TextBody"/>
        <w:spacing w:before="120" w:after="0"/>
        <w:jc w:val="left"/>
        <w:rPr>
          <w:rFonts w:ascii="Times New Roman" w:hAnsi="Times New Roman"/>
          <w:spacing w:val="0"/>
          <w:sz w:val="20"/>
        </w:rPr>
      </w:pPr>
      <w:r>
        <w:rPr>
          <w:rFonts w:ascii="Times New Roman" w:hAnsi="Times New Roman"/>
          <w:spacing w:val="0"/>
          <w:sz w:val="20"/>
        </w:rPr>
        <w:t>non-GAAP</w:t>
      </w:r>
    </w:p>
    <w:p>
      <w:pPr>
        <w:pStyle w:val="TextBody"/>
        <w:spacing w:before="120" w:after="0"/>
        <w:jc w:val="left"/>
        <w:rPr>
          <w:rFonts w:ascii="Times New Roman" w:hAnsi="Times New Roman"/>
          <w:sz w:val="20"/>
        </w:rPr>
      </w:pPr>
      <w:r>
        <w:rPr>
          <w:rFonts w:ascii="Times New Roman" w:hAnsi="Times New Roman"/>
          <w:sz w:val="20"/>
        </w:rPr>
        <w:t xml:space="preserve">measures to assess the operating performance of our business, they have significant limitations as an analytical tool because they exclude certain material costs. For example, Adjusted EBITDA does not take into account a number of significant items, including our interest expense and depreciation and amortization expense. In addition, Adjusted EBITDA excludes </w:t>
      </w:r>
    </w:p>
    <w:p>
      <w:pPr>
        <w:pStyle w:val="TextBody"/>
        <w:spacing w:before="120" w:after="0"/>
        <w:jc w:val="left"/>
        <w:rPr>
          <w:rFonts w:ascii="Times New Roman" w:hAnsi="Times New Roman"/>
          <w:spacing w:val="0"/>
          <w:sz w:val="20"/>
        </w:rPr>
      </w:pPr>
      <w:r>
        <w:rPr>
          <w:rFonts w:ascii="Times New Roman" w:hAnsi="Times New Roman"/>
          <w:spacing w:val="0"/>
          <w:sz w:val="20"/>
        </w:rPr>
        <w:t>pre-opening</w:t>
      </w:r>
    </w:p>
    <w:p>
      <w:pPr>
        <w:pStyle w:val="TextBody"/>
        <w:spacing w:before="120" w:after="0"/>
        <w:jc w:val="left"/>
        <w:rPr>
          <w:rFonts w:ascii="Times New Roman" w:hAnsi="Times New Roman"/>
          <w:sz w:val="20"/>
        </w:rPr>
      </w:pPr>
      <w:r>
        <w:rPr>
          <w:rFonts w:ascii="Times New Roman" w:hAnsi="Times New Roman"/>
          <w:sz w:val="20"/>
        </w:rPr>
        <w:t xml:space="preserve">and other costs which may be important in analyzing our GAAP results. Because Adjusted EBITDA does not account for these expenses, its utility as a measure of our operating performance has material limitations. Our calculations of Adjusted EBITDA adjust for these amounts because they vary from period to period and do not directly relate to the ongoing operations of the currently underlying business of our stores and therefore complicate comparison of the underlying business between periods. Nevertheless, because of the limitations described above, management does not view Adjusted EBITDA or Store Operating Income Before Depreciation and Amortization in isolation and also uses other measures, such as revenues, gross margin, operating income and net income to measure operating performance. </w:t>
      </w:r>
    </w:p>
    <w:p>
      <w:pPr>
        <w:pStyle w:val="TextBody"/>
        <w:spacing w:before="24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Adjusted EBITDA and Adjusted EBITDA Margin</w:t>
      </w:r>
    </w:p>
    <w:p>
      <w:pPr>
        <w:pStyle w:val="TextBody"/>
        <w:spacing w:before="240" w:after="0"/>
        <w:jc w:val="left"/>
        <w:rPr>
          <w:rFonts w:ascii="Times New Roman" w:hAnsi="Times New Roman"/>
          <w:sz w:val="20"/>
        </w:rPr>
      </w:pPr>
      <w:r>
        <w:rPr>
          <w:rFonts w:ascii="Times New Roman" w:hAnsi="Times New Roman"/>
          <w:sz w:val="20"/>
        </w:rPr>
        <w:t xml:space="preserve">. We define “Adjusted EBITDA” as net income (loss), plus interest expense, net, loss on debt refinancing, provision (benefit) for income taxes, depreciation and amortization expense, loss on asset disposal, impairment of long-lived assets, share-based compensation, </w:t>
      </w:r>
    </w:p>
    <w:p>
      <w:pPr>
        <w:pStyle w:val="TextBody"/>
        <w:spacing w:before="240" w:after="0"/>
        <w:jc w:val="left"/>
        <w:rPr>
          <w:rFonts w:ascii="Times New Roman" w:hAnsi="Times New Roman"/>
          <w:spacing w:val="0"/>
          <w:sz w:val="20"/>
        </w:rPr>
      </w:pPr>
      <w:r>
        <w:rPr>
          <w:rFonts w:ascii="Times New Roman" w:hAnsi="Times New Roman"/>
          <w:spacing w:val="0"/>
          <w:sz w:val="20"/>
        </w:rPr>
        <w:t>pre-opening</w:t>
      </w:r>
    </w:p>
    <w:p>
      <w:pPr>
        <w:pStyle w:val="TextBody"/>
        <w:spacing w:before="240" w:after="0"/>
        <w:jc w:val="left"/>
        <w:rPr>
          <w:rFonts w:ascii="Times New Roman" w:hAnsi="Times New Roman"/>
          <w:sz w:val="20"/>
        </w:rPr>
      </w:pPr>
      <w:r>
        <w:rPr>
          <w:rFonts w:ascii="Times New Roman" w:hAnsi="Times New Roman"/>
          <w:sz w:val="20"/>
        </w:rPr>
        <w:t xml:space="preserve">costs, currency transaction (gains) losses and other costs. “Adjusted EBITDA Margin” is defined as Adjusted EBITDA divided by total revenues.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Adjusted EBITDA is presented because we believe that it provides useful information to investors and analysts regarding our operating performance. By reporting Adjusted EBITDA, we provide a basis for comparison of our business operations between current, past and future periods by excluding items that we do not believe are indicative of our core operating performance. </w:t>
      </w:r>
    </w:p>
    <w:p>
      <w:pPr>
        <w:pStyle w:val="TextBody"/>
        <w:spacing w:before="24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Store Operating Income Before Depreciation and Amortization and Store Operating Income Before Depreciation and Amortization Margin.</w:t>
      </w:r>
    </w:p>
    <w:p>
      <w:pPr>
        <w:pStyle w:val="TextBody"/>
        <w:spacing w:before="240" w:after="0"/>
        <w:jc w:val="left"/>
        <w:rPr>
          <w:rFonts w:ascii="Times New Roman" w:hAnsi="Times New Roman"/>
          <w:sz w:val="20"/>
        </w:rPr>
      </w:pPr>
      <w:r>
        <w:rPr>
          <w:rFonts w:ascii="Times New Roman" w:hAnsi="Times New Roman"/>
          <w:sz w:val="20"/>
        </w:rPr>
        <w:t xml:space="preserve">We define “Store Operating Income Before Depreciation and Amortization” as operating income (loss), plus depreciation and amortization expense, general and administrative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36 </w:t>
      </w:r>
    </w:p>
    <w:p>
      <w:pPr>
        <w:pStyle w:val="HorizontalLine"/>
        <w:rPr/>
      </w:pPr>
      <w:r>
        <w:rPr/>
      </w:r>
    </w:p>
    <w:p>
      <w:pPr>
        <w:pStyle w:val="TextBody"/>
        <w:spacing w:before="0" w:after="0"/>
        <w:rPr/>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expenses and </w:t>
      </w:r>
    </w:p>
    <w:p>
      <w:pPr>
        <w:pStyle w:val="TextBody"/>
        <w:spacing w:before="0" w:after="0"/>
        <w:jc w:val="left"/>
        <w:rPr>
          <w:rFonts w:ascii="Times New Roman" w:hAnsi="Times New Roman"/>
          <w:spacing w:val="0"/>
          <w:sz w:val="20"/>
        </w:rPr>
      </w:pPr>
      <w:r>
        <w:rPr>
          <w:rFonts w:ascii="Times New Roman" w:hAnsi="Times New Roman"/>
          <w:spacing w:val="0"/>
          <w:sz w:val="20"/>
        </w:rPr>
        <w:t>pre-opening</w:t>
      </w:r>
    </w:p>
    <w:p>
      <w:pPr>
        <w:pStyle w:val="TextBody"/>
        <w:spacing w:before="0" w:after="0"/>
        <w:jc w:val="left"/>
        <w:rPr>
          <w:rFonts w:ascii="Times New Roman" w:hAnsi="Times New Roman"/>
          <w:sz w:val="20"/>
        </w:rPr>
      </w:pPr>
      <w:r>
        <w:rPr>
          <w:rFonts w:ascii="Times New Roman" w:hAnsi="Times New Roman"/>
          <w:sz w:val="20"/>
        </w:rPr>
        <w:t xml:space="preserve">costs. “Store Operating Income Before Depreciation and Amortization Margin” is defined as Store Operating Income Before Depreciation and Amortization divided by total revenues. Store Operating Income Before Depreciation and Amortization Margin allows us to evaluate operating performance of each store across stores of varying size and volume. </w:t>
      </w:r>
    </w:p>
    <w:p>
      <w:pPr>
        <w:pStyle w:val="TextBody"/>
        <w:spacing w:before="240" w:after="0"/>
        <w:jc w:val="left"/>
        <w:rPr>
          <w:rFonts w:ascii="Times New Roman" w:hAnsi="Times New Roman"/>
          <w:sz w:val="20"/>
        </w:rPr>
      </w:pPr>
      <w:r>
        <w:rPr>
          <w:rFonts w:ascii="Times New Roman" w:hAnsi="Times New Roman"/>
          <w:sz w:val="20"/>
        </w:rPr>
        <w:t xml:space="preserve">We believe that Store Operating Income Before Depreciation and Amortization is another useful measure in evaluating our operating performance because it removes the impact of general and administrative expenses, which are not incurred at the store level, and the costs of opening new stores, which are </w:t>
      </w:r>
    </w:p>
    <w:p>
      <w:pPr>
        <w:pStyle w:val="TextBody"/>
        <w:spacing w:before="240" w:after="0"/>
        <w:jc w:val="left"/>
        <w:rPr>
          <w:rFonts w:ascii="Times New Roman" w:hAnsi="Times New Roman"/>
          <w:spacing w:val="0"/>
          <w:sz w:val="20"/>
        </w:rPr>
      </w:pPr>
      <w:r>
        <w:rPr>
          <w:rFonts w:ascii="Times New Roman" w:hAnsi="Times New Roman"/>
          <w:spacing w:val="0"/>
          <w:sz w:val="20"/>
        </w:rPr>
        <w:t>non-recurring</w:t>
      </w:r>
    </w:p>
    <w:p>
      <w:pPr>
        <w:pStyle w:val="TextBody"/>
        <w:spacing w:before="240" w:after="0"/>
        <w:jc w:val="left"/>
        <w:rPr>
          <w:rFonts w:ascii="Times New Roman" w:hAnsi="Times New Roman"/>
          <w:sz w:val="20"/>
        </w:rPr>
      </w:pPr>
      <w:r>
        <w:rPr>
          <w:rFonts w:ascii="Times New Roman" w:hAnsi="Times New Roman"/>
          <w:sz w:val="20"/>
        </w:rPr>
        <w:t xml:space="preserve">at the store level, and thereby enables the comparability of the operating performance of our stores for the periods presented. We also believe that Store Operating Income Before Depreciation and Amortization is a useful measure in evaluating our operating performance within the entertainment and dining industry because it permits the evaluation of store-level productivity, efficiency and performance, and we use Store Operating Income Before Depreciation and Amortization as a means of evaluating store financial performance compared with our competitors. However, because this measure excludes significant items such as general and administrative expenses and </w:t>
      </w:r>
    </w:p>
    <w:p>
      <w:pPr>
        <w:pStyle w:val="TextBody"/>
        <w:spacing w:before="240" w:after="0"/>
        <w:jc w:val="left"/>
        <w:rPr>
          <w:rFonts w:ascii="Times New Roman" w:hAnsi="Times New Roman"/>
          <w:spacing w:val="0"/>
          <w:sz w:val="20"/>
        </w:rPr>
      </w:pPr>
      <w:r>
        <w:rPr>
          <w:rFonts w:ascii="Times New Roman" w:hAnsi="Times New Roman"/>
          <w:spacing w:val="0"/>
          <w:sz w:val="20"/>
        </w:rPr>
        <w:t>pre-opening</w:t>
      </w:r>
    </w:p>
    <w:p>
      <w:pPr>
        <w:pStyle w:val="TextBody"/>
        <w:spacing w:before="240" w:after="0"/>
        <w:jc w:val="left"/>
        <w:rPr>
          <w:rFonts w:ascii="Times New Roman" w:hAnsi="Times New Roman"/>
          <w:sz w:val="20"/>
        </w:rPr>
      </w:pPr>
      <w:r>
        <w:rPr>
          <w:rFonts w:ascii="Times New Roman" w:hAnsi="Times New Roman"/>
          <w:sz w:val="20"/>
        </w:rPr>
        <w:t xml:space="preserve">costs, as well as our interest expense, net and depreciation and amortization expense, which are important in evaluating our consolidated financial performance from period to period, the value of this measure is limited as a measure of our consolidated financial performance. </w:t>
      </w:r>
    </w:p>
    <w:p>
      <w:pPr>
        <w:pStyle w:val="TextBody"/>
        <w:spacing w:before="360" w:after="0"/>
        <w:jc w:val="left"/>
        <w:rPr>
          <w:rFonts w:ascii="Times New Roman" w:hAnsi="Times New Roman"/>
          <w:b/>
          <w:spacing w:val="0"/>
          <w:sz w:val="20"/>
        </w:rPr>
      </w:pPr>
      <w:r>
        <w:rPr>
          <w:rFonts w:ascii="Times New Roman" w:hAnsi="Times New Roman"/>
          <w:b/>
          <w:spacing w:val="0"/>
          <w:sz w:val="20"/>
        </w:rPr>
        <w:t xml:space="preserve">Presentation of Operating Results </w:t>
      </w:r>
    </w:p>
    <w:p>
      <w:pPr>
        <w:pStyle w:val="TextBody"/>
        <w:spacing w:before="120" w:after="0"/>
        <w:jc w:val="left"/>
        <w:rPr>
          <w:rFonts w:ascii="Times New Roman" w:hAnsi="Times New Roman"/>
          <w:sz w:val="20"/>
        </w:rPr>
      </w:pPr>
      <w:r>
        <w:rPr>
          <w:rFonts w:ascii="Times New Roman" w:hAnsi="Times New Roman"/>
          <w:sz w:val="20"/>
        </w:rPr>
        <w:t xml:space="preserve">The Company’s fiscal year consists of 52 or 53 weeks ending on the Sunday after the Saturday closest to January 31. Each quarterly period has 13 weeks, except in a </w:t>
      </w:r>
    </w:p>
    <w:p>
      <w:pPr>
        <w:pStyle w:val="TextBody"/>
        <w:spacing w:before="120" w:after="0"/>
        <w:jc w:val="left"/>
        <w:rPr>
          <w:rFonts w:ascii="Times New Roman" w:hAnsi="Times New Roman"/>
          <w:spacing w:val="0"/>
          <w:sz w:val="20"/>
        </w:rPr>
      </w:pPr>
      <w:r>
        <w:rPr>
          <w:rFonts w:ascii="Times New Roman" w:hAnsi="Times New Roman"/>
          <w:spacing w:val="0"/>
          <w:sz w:val="20"/>
        </w:rPr>
        <w:t>53-week</w:t>
      </w:r>
    </w:p>
    <w:p>
      <w:pPr>
        <w:pStyle w:val="TextBody"/>
        <w:spacing w:before="120" w:after="0"/>
        <w:jc w:val="left"/>
        <w:rPr>
          <w:rFonts w:ascii="Times New Roman" w:hAnsi="Times New Roman"/>
          <w:sz w:val="20"/>
        </w:rPr>
      </w:pPr>
      <w:r>
        <w:rPr>
          <w:rFonts w:ascii="Times New Roman" w:hAnsi="Times New Roman"/>
          <w:sz w:val="20"/>
        </w:rPr>
        <w:t xml:space="preserve">year when the fourth quarter has 14 weeks. Fiscal 2020, 2019 and 2018, which ended on January 31, 2021, February 2, 2020, and February 3, 2019, respectively, each contained 52 weeks. All dollar amounts are presented in thousands, unless otherwise noted, except share and per share amounts. </w:t>
      </w:r>
    </w:p>
    <w:p>
      <w:pPr>
        <w:pStyle w:val="TextBody"/>
        <w:spacing w:before="360" w:after="0"/>
        <w:jc w:val="left"/>
        <w:rPr>
          <w:rFonts w:ascii="Times New Roman" w:hAnsi="Times New Roman"/>
          <w:b/>
          <w:spacing w:val="0"/>
          <w:sz w:val="20"/>
        </w:rPr>
      </w:pPr>
      <w:r>
        <w:rPr>
          <w:rFonts w:ascii="Times New Roman" w:hAnsi="Times New Roman"/>
          <w:b/>
          <w:spacing w:val="0"/>
          <w:sz w:val="20"/>
        </w:rPr>
        <w:t xml:space="preserve">Store-Level Variability, Quarterly Fluctuations, Seasonality and Inflation </w:t>
      </w:r>
    </w:p>
    <w:p>
      <w:pPr>
        <w:pStyle w:val="TextBody"/>
        <w:spacing w:before="120" w:after="0"/>
        <w:jc w:val="left"/>
        <w:rPr>
          <w:rFonts w:ascii="Times New Roman" w:hAnsi="Times New Roman"/>
          <w:sz w:val="20"/>
        </w:rPr>
      </w:pPr>
      <w:r>
        <w:rPr>
          <w:rFonts w:ascii="Times New Roman" w:hAnsi="Times New Roman"/>
          <w:sz w:val="20"/>
        </w:rPr>
        <w:t xml:space="preserve">We have historically operated stores varying in size and have experienced significant variability among stores in volumes, operating results and net investment costs. Our new stores typically open with sales volumes in excess of their expected long-term </w:t>
      </w:r>
    </w:p>
    <w:p>
      <w:pPr>
        <w:pStyle w:val="TextBody"/>
        <w:spacing w:before="120" w:after="0"/>
        <w:jc w:val="left"/>
        <w:rPr>
          <w:rFonts w:ascii="Times New Roman" w:hAnsi="Times New Roman"/>
          <w:spacing w:val="0"/>
          <w:sz w:val="20"/>
        </w:rPr>
      </w:pPr>
      <w:r>
        <w:rPr>
          <w:rFonts w:ascii="Times New Roman" w:hAnsi="Times New Roman"/>
          <w:spacing w:val="0"/>
          <w:sz w:val="20"/>
        </w:rPr>
        <w:t>run-rate</w:t>
      </w:r>
    </w:p>
    <w:p>
      <w:pPr>
        <w:pStyle w:val="TextBody"/>
        <w:spacing w:before="120" w:after="0"/>
        <w:jc w:val="left"/>
        <w:rPr>
          <w:rFonts w:ascii="Times New Roman" w:hAnsi="Times New Roman"/>
          <w:sz w:val="20"/>
        </w:rPr>
      </w:pPr>
      <w:r>
        <w:rPr>
          <w:rFonts w:ascii="Times New Roman" w:hAnsi="Times New Roman"/>
          <w:sz w:val="20"/>
        </w:rPr>
        <w:t xml:space="preserve">levels, which we refer to as a “honeymoon” effect. We traditionally expect our new store sales volumes in year two to be 10% to 20% lower than our year one targets, and to grow in line with the rest of our comparable store base thereafter. As a result of the substantial revenues associated with each new store, the number and timing of new store openings will result in significant fluctuations in quarterly results. </w:t>
      </w:r>
    </w:p>
    <w:p>
      <w:pPr>
        <w:pStyle w:val="TextBody"/>
        <w:spacing w:before="240" w:after="0"/>
        <w:jc w:val="left"/>
        <w:rPr>
          <w:rFonts w:ascii="Times New Roman" w:hAnsi="Times New Roman"/>
          <w:sz w:val="20"/>
        </w:rPr>
      </w:pPr>
      <w:r>
        <w:rPr>
          <w:rFonts w:ascii="Times New Roman" w:hAnsi="Times New Roman"/>
          <w:sz w:val="20"/>
        </w:rPr>
        <w:t xml:space="preserve">While fiscal 2020 was a very unusual year with the impact of </w:t>
      </w:r>
    </w:p>
    <w:p>
      <w:pPr>
        <w:pStyle w:val="TextBody"/>
        <w:spacing w:before="240" w:after="0"/>
        <w:jc w:val="left"/>
        <w:rPr>
          <w:rFonts w:ascii="Times New Roman" w:hAnsi="Times New Roman"/>
          <w:spacing w:val="0"/>
          <w:sz w:val="20"/>
        </w:rPr>
      </w:pPr>
      <w:r>
        <w:rPr>
          <w:rFonts w:ascii="Times New Roman" w:hAnsi="Times New Roman"/>
          <w:spacing w:val="0"/>
          <w:sz w:val="20"/>
        </w:rPr>
        <w:t>COVID-19,</w:t>
      </w:r>
    </w:p>
    <w:p>
      <w:pPr>
        <w:pStyle w:val="TextBody"/>
        <w:spacing w:before="240" w:after="0"/>
        <w:jc w:val="left"/>
        <w:rPr>
          <w:rFonts w:ascii="Times New Roman" w:hAnsi="Times New Roman"/>
          <w:sz w:val="20"/>
        </w:rPr>
      </w:pPr>
      <w:r>
        <w:rPr>
          <w:rFonts w:ascii="Times New Roman" w:hAnsi="Times New Roman"/>
          <w:sz w:val="20"/>
        </w:rPr>
        <w:t xml:space="preserve">historically in the first year of operation, new store operating margins (excluding </w:t>
      </w:r>
    </w:p>
    <w:p>
      <w:pPr>
        <w:pStyle w:val="TextBody"/>
        <w:spacing w:before="240" w:after="0"/>
        <w:jc w:val="left"/>
        <w:rPr>
          <w:rFonts w:ascii="Times New Roman" w:hAnsi="Times New Roman"/>
          <w:spacing w:val="0"/>
          <w:sz w:val="20"/>
        </w:rPr>
      </w:pPr>
      <w:r>
        <w:rPr>
          <w:rFonts w:ascii="Times New Roman" w:hAnsi="Times New Roman"/>
          <w:spacing w:val="0"/>
          <w:sz w:val="20"/>
        </w:rPr>
        <w:t>pre-opening</w:t>
      </w:r>
    </w:p>
    <w:p>
      <w:pPr>
        <w:pStyle w:val="TextBody"/>
        <w:spacing w:before="240" w:after="0"/>
        <w:jc w:val="left"/>
        <w:rPr>
          <w:rFonts w:ascii="Times New Roman" w:hAnsi="Times New Roman"/>
          <w:sz w:val="20"/>
        </w:rPr>
      </w:pPr>
      <w:r>
        <w:rPr>
          <w:rFonts w:ascii="Times New Roman" w:hAnsi="Times New Roman"/>
          <w:sz w:val="20"/>
        </w:rPr>
        <w:t xml:space="preserve">expenses) typically benefit from honeymoon sales leverage on occupancy, management labor and other fixed costs. This benefit is partially offset by normal inefficiencies in hourly labor and other costs associated with establishing a new store. In year two, operating margins may decline due to the loss of honeymoon sales leverage on fixed costs which is partially offset by improvements in store operating efficiency. Furthermore, rents in our new stores are typically higher than our comparable store base. </w:t>
      </w:r>
    </w:p>
    <w:p>
      <w:pPr>
        <w:pStyle w:val="TextBody"/>
        <w:spacing w:before="240" w:after="0"/>
        <w:jc w:val="left"/>
        <w:rPr>
          <w:rFonts w:ascii="Times New Roman" w:hAnsi="Times New Roman"/>
          <w:sz w:val="20"/>
        </w:rPr>
      </w:pPr>
      <w:r>
        <w:rPr>
          <w:rFonts w:ascii="Times New Roman" w:hAnsi="Times New Roman"/>
          <w:sz w:val="20"/>
        </w:rPr>
        <w:t xml:space="preserve">Our operating results historically have fluctuated due to seasonal factors. Typically, we have higher revenues associated with the spring and </w:t>
      </w:r>
    </w:p>
    <w:p>
      <w:pPr>
        <w:pStyle w:val="TextBody"/>
        <w:spacing w:before="240" w:after="0"/>
        <w:jc w:val="left"/>
        <w:rPr>
          <w:rFonts w:ascii="Times New Roman" w:hAnsi="Times New Roman"/>
          <w:spacing w:val="0"/>
          <w:sz w:val="20"/>
        </w:rPr>
      </w:pPr>
      <w:r>
        <w:rPr>
          <w:rFonts w:ascii="Times New Roman" w:hAnsi="Times New Roman"/>
          <w:spacing w:val="0"/>
          <w:sz w:val="20"/>
        </w:rPr>
        <w:t>year-end</w:t>
      </w:r>
    </w:p>
    <w:p>
      <w:pPr>
        <w:pStyle w:val="TextBody"/>
        <w:spacing w:before="240" w:after="0"/>
        <w:jc w:val="left"/>
        <w:rPr>
          <w:rFonts w:ascii="Times New Roman" w:hAnsi="Times New Roman"/>
          <w:sz w:val="20"/>
        </w:rPr>
      </w:pPr>
      <w:r>
        <w:rPr>
          <w:rFonts w:ascii="Times New Roman" w:hAnsi="Times New Roman"/>
          <w:sz w:val="20"/>
        </w:rPr>
        <w:t xml:space="preserve">holidays, which will continue to be susceptible to the impact of severe or unseasonably mild weather on customer traffic and sales during that period. Our third quarter, which encompasses the </w:t>
      </w:r>
    </w:p>
    <w:p>
      <w:pPr>
        <w:pStyle w:val="TextBody"/>
        <w:spacing w:before="240" w:after="0"/>
        <w:jc w:val="left"/>
        <w:rPr>
          <w:rFonts w:ascii="Times New Roman" w:hAnsi="Times New Roman"/>
          <w:spacing w:val="0"/>
          <w:sz w:val="20"/>
        </w:rPr>
      </w:pPr>
      <w:r>
        <w:rPr>
          <w:rFonts w:ascii="Times New Roman" w:hAnsi="Times New Roman"/>
          <w:spacing w:val="0"/>
          <w:sz w:val="20"/>
        </w:rPr>
        <w:t>back-to-school</w:t>
      </w:r>
    </w:p>
    <w:p>
      <w:pPr>
        <w:pStyle w:val="TextBody"/>
        <w:spacing w:before="240" w:after="0"/>
        <w:jc w:val="left"/>
        <w:rPr>
          <w:rFonts w:ascii="Times New Roman" w:hAnsi="Times New Roman"/>
          <w:sz w:val="20"/>
        </w:rPr>
      </w:pPr>
      <w:r>
        <w:rPr>
          <w:rFonts w:ascii="Times New Roman" w:hAnsi="Times New Roman"/>
          <w:sz w:val="20"/>
        </w:rPr>
        <w:t xml:space="preserve">fall season, has historically had lower revenues as compared to other quarters. During fiscal 2020, results also fluctuated due to the timing and frequency of temporary closures and operating restrictions due to state and local guidelines imposed due to the </w:t>
      </w:r>
    </w:p>
    <w:p>
      <w:pPr>
        <w:pStyle w:val="TextBody"/>
        <w:spacing w:before="240" w:after="0"/>
        <w:jc w:val="left"/>
        <w:rPr>
          <w:rFonts w:ascii="Times New Roman" w:hAnsi="Times New Roman"/>
          <w:spacing w:val="0"/>
          <w:sz w:val="20"/>
        </w:rPr>
      </w:pPr>
      <w:r>
        <w:rPr>
          <w:rFonts w:ascii="Times New Roman" w:hAnsi="Times New Roman"/>
          <w:spacing w:val="0"/>
          <w:sz w:val="20"/>
        </w:rPr>
        <w:t>COVID-19</w:t>
      </w:r>
    </w:p>
    <w:p>
      <w:pPr>
        <w:pStyle w:val="TextBody"/>
        <w:spacing w:before="240" w:after="0"/>
        <w:jc w:val="left"/>
        <w:rPr>
          <w:rFonts w:ascii="Times New Roman" w:hAnsi="Times New Roman"/>
          <w:sz w:val="20"/>
        </w:rPr>
      </w:pPr>
      <w:r>
        <w:rPr>
          <w:rFonts w:ascii="Times New Roman" w:hAnsi="Times New Roman"/>
          <w:sz w:val="20"/>
        </w:rPr>
        <w:t xml:space="preserve">pandemic.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We expect that economic and environmental conditions and changes in regulatory legislation will continue to exert pressure on both consumer spending related to entertainment and dining alternatives and availability and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37 </w:t>
      </w:r>
    </w:p>
    <w:p>
      <w:pPr>
        <w:pStyle w:val="HorizontalLine"/>
        <w:rPr/>
      </w:pPr>
      <w:r>
        <w:rPr/>
      </w:r>
    </w:p>
    <w:p>
      <w:pPr>
        <w:pStyle w:val="TextBody"/>
        <w:spacing w:before="0" w:after="0"/>
        <w:rPr/>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cost of products and supplies. Although there is no assurance that our cost of products will remain stable or that federal, state or local minimum wage rates will not increase beyond amounts currently legislated, the effects of any supplier price increases or wage rate increases are expected to be partially offset by selected menu or game price increases where competitively appropriate. In addition, how quickly, and to what extent, normal economic and operating conditions can resume cannot be predicted, and the resumption of normal business operations may be delayed or constrained by lingering effects of the </w:t>
      </w:r>
    </w:p>
    <w:p>
      <w:pPr>
        <w:pStyle w:val="TextBody"/>
        <w:spacing w:before="0" w:after="0"/>
        <w:jc w:val="left"/>
        <w:rPr>
          <w:rFonts w:ascii="Times New Roman" w:hAnsi="Times New Roman"/>
          <w:spacing w:val="0"/>
          <w:sz w:val="20"/>
        </w:rPr>
      </w:pPr>
      <w:r>
        <w:rPr>
          <w:rFonts w:ascii="Times New Roman" w:hAnsi="Times New Roman"/>
          <w:spacing w:val="0"/>
          <w:sz w:val="20"/>
        </w:rPr>
        <w:t>COVID-19</w:t>
      </w:r>
    </w:p>
    <w:p>
      <w:pPr>
        <w:pStyle w:val="TextBody"/>
        <w:spacing w:before="0" w:after="0"/>
        <w:jc w:val="left"/>
        <w:rPr>
          <w:rFonts w:ascii="Times New Roman" w:hAnsi="Times New Roman"/>
          <w:sz w:val="20"/>
        </w:rPr>
      </w:pPr>
      <w:r>
        <w:rPr>
          <w:rFonts w:ascii="Times New Roman" w:hAnsi="Times New Roman"/>
          <w:sz w:val="20"/>
        </w:rPr>
        <w:t xml:space="preserve">pandemic on us or our suppliers, third-party service providers, and/or customers. </w:t>
      </w:r>
    </w:p>
    <w:p>
      <w:pPr>
        <w:pStyle w:val="TextBody"/>
        <w:spacing w:before="360" w:after="0"/>
        <w:jc w:val="left"/>
        <w:rPr>
          <w:rFonts w:ascii="Times New Roman" w:hAnsi="Times New Roman"/>
          <w:b/>
          <w:spacing w:val="0"/>
          <w:sz w:val="20"/>
        </w:rPr>
      </w:pPr>
      <w:r>
        <w:rPr>
          <w:rFonts w:ascii="Times New Roman" w:hAnsi="Times New Roman"/>
          <w:b/>
          <w:spacing w:val="0"/>
          <w:sz w:val="20"/>
        </w:rPr>
        <w:t xml:space="preserve">Fiscal 2020 Compared to Fiscal 2019 </w:t>
      </w:r>
    </w:p>
    <w:p>
      <w:pPr>
        <w:pStyle w:val="TextBody"/>
        <w:spacing w:before="12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Results of operations.</w:t>
      </w:r>
    </w:p>
    <w:p>
      <w:pPr>
        <w:pStyle w:val="TextBody"/>
        <w:spacing w:before="120" w:after="0"/>
        <w:jc w:val="left"/>
        <w:rPr>
          <w:rFonts w:ascii="Times New Roman" w:hAnsi="Times New Roman"/>
          <w:sz w:val="20"/>
        </w:rPr>
      </w:pPr>
      <w:r>
        <w:rPr>
          <w:rFonts w:ascii="Times New Roman" w:hAnsi="Times New Roman"/>
          <w:sz w:val="20"/>
        </w:rPr>
        <w:t xml:space="preserve">The following table sets forth selected data, in thousands of dollars and as a percentage of total revenues (unless otherwise noted) for the periods indicated. All information is derived from the accompanying consolidated statements of comprehensive income (loss). </w:t>
      </w:r>
    </w:p>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5503"/>
        <w:gridCol w:w="120"/>
        <w:gridCol w:w="140"/>
        <w:gridCol w:w="875"/>
        <w:gridCol w:w="155"/>
        <w:gridCol w:w="120"/>
        <w:gridCol w:w="60"/>
        <w:gridCol w:w="560"/>
        <w:gridCol w:w="338"/>
        <w:gridCol w:w="60"/>
        <w:gridCol w:w="140"/>
        <w:gridCol w:w="980"/>
        <w:gridCol w:w="60"/>
        <w:gridCol w:w="120"/>
        <w:gridCol w:w="60"/>
        <w:gridCol w:w="560"/>
        <w:gridCol w:w="354"/>
      </w:tblGrid>
      <w:tr>
        <w:trPr/>
        <w:tc>
          <w:tcPr>
            <w:tcW w:w="5503"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87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560" w:type="dxa"/>
            <w:tcBorders/>
            <w:shd w:fill="auto" w:val="clear"/>
            <w:vAlign w:val="center"/>
          </w:tcPr>
          <w:p>
            <w:pPr>
              <w:pStyle w:val="TableContents"/>
              <w:spacing w:before="0" w:after="283"/>
              <w:rPr>
                <w:sz w:val="4"/>
                <w:szCs w:val="4"/>
              </w:rPr>
            </w:pPr>
            <w:r>
              <w:rPr>
                <w:sz w:val="4"/>
                <w:szCs w:val="4"/>
              </w:rPr>
            </w:r>
          </w:p>
        </w:tc>
        <w:tc>
          <w:tcPr>
            <w:tcW w:w="3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560" w:type="dxa"/>
            <w:tcBorders/>
            <w:shd w:fill="auto" w:val="clear"/>
            <w:vAlign w:val="center"/>
          </w:tcPr>
          <w:p>
            <w:pPr>
              <w:pStyle w:val="TableContents"/>
              <w:spacing w:before="0" w:after="283"/>
              <w:rPr>
                <w:sz w:val="4"/>
                <w:szCs w:val="4"/>
              </w:rPr>
            </w:pPr>
            <w:r>
              <w:rPr>
                <w:sz w:val="4"/>
                <w:szCs w:val="4"/>
              </w:rPr>
            </w:r>
          </w:p>
        </w:tc>
        <w:tc>
          <w:tcPr>
            <w:tcW w:w="354" w:type="dxa"/>
            <w:tcBorders/>
            <w:shd w:fill="auto" w:val="clear"/>
            <w:vAlign w:val="center"/>
          </w:tcPr>
          <w:p>
            <w:pPr>
              <w:pStyle w:val="TableContents"/>
              <w:spacing w:before="0" w:after="283"/>
              <w:rPr>
                <w:sz w:val="4"/>
                <w:szCs w:val="4"/>
              </w:rPr>
            </w:pPr>
            <w:r>
              <w:rPr>
                <w:sz w:val="4"/>
                <w:szCs w:val="4"/>
              </w:rPr>
            </w:r>
          </w:p>
        </w:tc>
      </w:tr>
      <w:tr>
        <w:trPr/>
        <w:tc>
          <w:tcPr>
            <w:tcW w:w="5503"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910" w:type="dxa"/>
            <w:gridSpan w:val="6"/>
            <w:tcBorders/>
            <w:shd w:fill="auto" w:val="clear"/>
            <w:vAlign w:val="center"/>
          </w:tcPr>
          <w:p>
            <w:pPr>
              <w:pStyle w:val="TableContents"/>
              <w:spacing w:before="0" w:after="0"/>
              <w:jc w:val="center"/>
              <w:rPr>
                <w:b/>
                <w:spacing w:val="0"/>
              </w:rPr>
            </w:pPr>
            <w:r>
              <w:rPr>
                <w:b/>
                <w:spacing w:val="0"/>
              </w:rPr>
              <w:t>Fiscal Year Ended</w:t>
            </w:r>
          </w:p>
        </w:tc>
        <w:tc>
          <w:tcPr>
            <w:tcW w:w="338"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920" w:type="dxa"/>
            <w:gridSpan w:val="6"/>
            <w:tcBorders/>
            <w:shd w:fill="auto" w:val="clear"/>
            <w:vAlign w:val="center"/>
          </w:tcPr>
          <w:p>
            <w:pPr>
              <w:pStyle w:val="TableContents"/>
              <w:spacing w:before="0" w:after="0"/>
              <w:jc w:val="center"/>
              <w:rPr>
                <w:b/>
                <w:spacing w:val="0"/>
              </w:rPr>
            </w:pPr>
            <w:r>
              <w:rPr>
                <w:b/>
                <w:spacing w:val="0"/>
              </w:rPr>
              <w:t>Fiscal Year Ended</w:t>
            </w:r>
          </w:p>
        </w:tc>
        <w:tc>
          <w:tcPr>
            <w:tcW w:w="354" w:type="dxa"/>
            <w:tcBorders/>
            <w:shd w:fill="auto" w:val="clear"/>
            <w:vAlign w:val="center"/>
          </w:tcPr>
          <w:p>
            <w:pPr>
              <w:pStyle w:val="TableContents"/>
              <w:spacing w:before="0" w:after="283"/>
              <w:rPr/>
            </w:pPr>
            <w:r>
              <w:rPr/>
              <w:t> </w:t>
            </w:r>
          </w:p>
        </w:tc>
      </w:tr>
      <w:tr>
        <w:trPr/>
        <w:tc>
          <w:tcPr>
            <w:tcW w:w="5503"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910" w:type="dxa"/>
            <w:gridSpan w:val="6"/>
            <w:tcBorders/>
            <w:shd w:fill="auto" w:val="clear"/>
            <w:vAlign w:val="center"/>
          </w:tcPr>
          <w:p>
            <w:pPr>
              <w:pStyle w:val="TableContents"/>
              <w:spacing w:before="0" w:after="0"/>
              <w:jc w:val="center"/>
              <w:rPr>
                <w:b/>
                <w:spacing w:val="0"/>
              </w:rPr>
            </w:pPr>
            <w:r>
              <w:rPr>
                <w:b/>
                <w:spacing w:val="0"/>
              </w:rPr>
              <w:t>January 31, 2021</w:t>
            </w:r>
          </w:p>
        </w:tc>
        <w:tc>
          <w:tcPr>
            <w:tcW w:w="338"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920" w:type="dxa"/>
            <w:gridSpan w:val="6"/>
            <w:tcBorders/>
            <w:shd w:fill="auto" w:val="clear"/>
            <w:vAlign w:val="center"/>
          </w:tcPr>
          <w:p>
            <w:pPr>
              <w:pStyle w:val="TableContents"/>
              <w:spacing w:before="0" w:after="0"/>
              <w:jc w:val="center"/>
              <w:rPr>
                <w:b/>
                <w:spacing w:val="0"/>
              </w:rPr>
            </w:pPr>
            <w:r>
              <w:rPr>
                <w:b/>
                <w:spacing w:val="0"/>
              </w:rPr>
              <w:t>February 2, 2020</w:t>
            </w:r>
          </w:p>
        </w:tc>
        <w:tc>
          <w:tcPr>
            <w:tcW w:w="354" w:type="dxa"/>
            <w:tcBorders/>
            <w:shd w:fill="auto" w:val="clear"/>
            <w:vAlign w:val="center"/>
          </w:tcPr>
          <w:p>
            <w:pPr>
              <w:pStyle w:val="TableContents"/>
              <w:spacing w:before="0" w:after="283"/>
              <w:rPr/>
            </w:pPr>
            <w:r>
              <w:rPr/>
              <w:t> </w:t>
            </w:r>
          </w:p>
        </w:tc>
      </w:tr>
      <w:tr>
        <w:trPr/>
        <w:tc>
          <w:tcPr>
            <w:tcW w:w="5503"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Food and beverage revenues</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875" w:type="dxa"/>
            <w:tcBorders/>
            <w:shd w:fill="CCEEFF" w:val="clear"/>
            <w:vAlign w:val="center"/>
          </w:tcPr>
          <w:p>
            <w:pPr>
              <w:pStyle w:val="TableContents"/>
              <w:spacing w:before="0" w:after="283"/>
              <w:jc w:val="right"/>
              <w:rPr/>
            </w:pPr>
            <w:r>
              <w:rPr/>
              <w:t>159,501</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560" w:type="dxa"/>
            <w:tcBorders/>
            <w:shd w:fill="CCEEFF" w:val="clear"/>
            <w:vAlign w:val="center"/>
          </w:tcPr>
          <w:p>
            <w:pPr>
              <w:pStyle w:val="TableContents"/>
              <w:spacing w:before="0" w:after="283"/>
              <w:jc w:val="right"/>
              <w:rPr/>
            </w:pPr>
            <w:r>
              <w:rPr/>
              <w:t>36.5</w:t>
            </w:r>
          </w:p>
        </w:tc>
        <w:tc>
          <w:tcPr>
            <w:tcW w:w="338"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980" w:type="dxa"/>
            <w:tcBorders/>
            <w:shd w:fill="CCEEFF" w:val="clear"/>
            <w:vAlign w:val="center"/>
          </w:tcPr>
          <w:p>
            <w:pPr>
              <w:pStyle w:val="TableContents"/>
              <w:spacing w:before="0" w:after="283"/>
              <w:jc w:val="right"/>
              <w:rPr/>
            </w:pPr>
            <w:r>
              <w:rPr/>
              <w:t>563,576</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560" w:type="dxa"/>
            <w:tcBorders/>
            <w:shd w:fill="CCEEFF" w:val="clear"/>
            <w:vAlign w:val="center"/>
          </w:tcPr>
          <w:p>
            <w:pPr>
              <w:pStyle w:val="TableContents"/>
              <w:spacing w:before="0" w:after="283"/>
              <w:jc w:val="right"/>
              <w:rPr/>
            </w:pPr>
            <w:r>
              <w:rPr/>
              <w:t>41.6</w:t>
            </w:r>
          </w:p>
        </w:tc>
        <w:tc>
          <w:tcPr>
            <w:tcW w:w="354" w:type="dxa"/>
            <w:tcBorders/>
            <w:shd w:fill="CCEEFF" w:val="clear"/>
            <w:vAlign w:val="center"/>
          </w:tcPr>
          <w:p>
            <w:pPr>
              <w:pStyle w:val="TableContents"/>
              <w:spacing w:before="0" w:after="283"/>
              <w:rPr/>
            </w:pPr>
            <w:r>
              <w:rPr/>
              <w:t>% </w:t>
            </w:r>
          </w:p>
        </w:tc>
      </w:tr>
      <w:tr>
        <w:trPr/>
        <w:tc>
          <w:tcPr>
            <w:tcW w:w="5503"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Amusement and other revenues</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jc w:val="right"/>
              <w:rPr/>
            </w:pPr>
            <w:r>
              <w:rPr/>
              <w:t>277,011</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60" w:type="dxa"/>
            <w:tcBorders/>
            <w:shd w:fill="auto" w:val="clear"/>
            <w:vAlign w:val="center"/>
          </w:tcPr>
          <w:p>
            <w:pPr>
              <w:pStyle w:val="TableContents"/>
              <w:spacing w:before="0" w:after="283"/>
              <w:jc w:val="right"/>
              <w:rPr/>
            </w:pPr>
            <w:r>
              <w:rPr/>
              <w:t>63.5</w:t>
            </w:r>
          </w:p>
        </w:tc>
        <w:tc>
          <w:tcPr>
            <w:tcW w:w="338"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791,115</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60" w:type="dxa"/>
            <w:tcBorders/>
            <w:shd w:fill="auto" w:val="clear"/>
            <w:vAlign w:val="center"/>
          </w:tcPr>
          <w:p>
            <w:pPr>
              <w:pStyle w:val="TableContents"/>
              <w:spacing w:before="0" w:after="283"/>
              <w:jc w:val="right"/>
              <w:rPr/>
            </w:pPr>
            <w:r>
              <w:rPr/>
              <w:t>58.4</w:t>
            </w:r>
          </w:p>
        </w:tc>
        <w:tc>
          <w:tcPr>
            <w:tcW w:w="354" w:type="dxa"/>
            <w:tcBorders/>
            <w:shd w:fill="auto" w:val="clear"/>
            <w:vAlign w:val="center"/>
          </w:tcPr>
          <w:p>
            <w:pPr>
              <w:pStyle w:val="TableContents"/>
              <w:spacing w:before="0" w:after="283"/>
              <w:rPr/>
            </w:pPr>
            <w:r>
              <w:rPr/>
              <w:t> </w:t>
            </w:r>
          </w:p>
        </w:tc>
      </w:tr>
      <w:tr>
        <w:trPr/>
        <w:tc>
          <w:tcPr>
            <w:tcW w:w="5503"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single" w:sz="2" w:space="1" w:color="000000"/>
              </w:rPr>
            </w:pPr>
            <w:r>
              <w:rPr>
                <w:bdr w:val="single" w:sz="2" w:space="1" w:color="000000"/>
              </w:rPr>
              <w:t> </w:t>
            </w:r>
          </w:p>
        </w:tc>
        <w:tc>
          <w:tcPr>
            <w:tcW w:w="875"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560" w:type="dxa"/>
            <w:tcBorders/>
            <w:shd w:fill="auto" w:val="clear"/>
            <w:vAlign w:val="center"/>
          </w:tcPr>
          <w:p>
            <w:pPr>
              <w:pStyle w:val="TableContents"/>
              <w:spacing w:before="0" w:after="0"/>
              <w:rPr>
                <w:bdr w:val="single" w:sz="2" w:space="1" w:color="000000"/>
              </w:rPr>
            </w:pPr>
            <w:r>
              <w:rPr>
                <w:bdr w:val="single" w:sz="2" w:space="1" w:color="000000"/>
              </w:rPr>
              <w:t> </w:t>
            </w:r>
          </w:p>
        </w:tc>
        <w:tc>
          <w:tcPr>
            <w:tcW w:w="338"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single" w:sz="2" w:space="1" w:color="000000"/>
              </w:rPr>
            </w:pPr>
            <w:r>
              <w:rPr>
                <w:bdr w:val="single" w:sz="2" w:space="1" w:color="000000"/>
              </w:rPr>
              <w:t> </w:t>
            </w:r>
          </w:p>
        </w:tc>
        <w:tc>
          <w:tcPr>
            <w:tcW w:w="980" w:type="dxa"/>
            <w:tcBorders/>
            <w:shd w:fill="auto" w:val="clear"/>
            <w:vAlign w:val="center"/>
          </w:tcPr>
          <w:p>
            <w:pPr>
              <w:pStyle w:val="TableContents"/>
              <w:spacing w:before="0" w:after="0"/>
              <w:rPr>
                <w:bdr w:val="single" w:sz="2" w:space="1" w:color="000000"/>
              </w:rPr>
            </w:pPr>
            <w:r>
              <w:rPr>
                <w:bdr w:val="single" w:sz="2"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560" w:type="dxa"/>
            <w:tcBorders/>
            <w:shd w:fill="auto" w:val="clear"/>
            <w:vAlign w:val="center"/>
          </w:tcPr>
          <w:p>
            <w:pPr>
              <w:pStyle w:val="TableContents"/>
              <w:spacing w:before="0" w:after="0"/>
              <w:rPr>
                <w:bdr w:val="single" w:sz="2" w:space="1" w:color="000000"/>
              </w:rPr>
            </w:pPr>
            <w:r>
              <w:rPr>
                <w:bdr w:val="single" w:sz="2" w:space="1" w:color="000000"/>
              </w:rPr>
              <w:t> </w:t>
            </w:r>
          </w:p>
        </w:tc>
        <w:tc>
          <w:tcPr>
            <w:tcW w:w="354" w:type="dxa"/>
            <w:tcBorders/>
            <w:shd w:fill="auto" w:val="clear"/>
            <w:vAlign w:val="center"/>
          </w:tcPr>
          <w:p>
            <w:pPr>
              <w:pStyle w:val="TableContents"/>
              <w:spacing w:before="0" w:after="283"/>
              <w:rPr/>
            </w:pPr>
            <w:r>
              <w:rPr/>
              <w:t> </w:t>
            </w:r>
          </w:p>
        </w:tc>
      </w:tr>
      <w:tr>
        <w:trPr/>
        <w:tc>
          <w:tcPr>
            <w:tcW w:w="5503"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Total revenues</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jc w:val="right"/>
              <w:rPr/>
            </w:pPr>
            <w:r>
              <w:rPr/>
              <w:t>436,512</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560" w:type="dxa"/>
            <w:tcBorders/>
            <w:shd w:fill="CCEEFF" w:val="clear"/>
            <w:vAlign w:val="center"/>
          </w:tcPr>
          <w:p>
            <w:pPr>
              <w:pStyle w:val="TableContents"/>
              <w:spacing w:before="0" w:after="283"/>
              <w:jc w:val="right"/>
              <w:rPr/>
            </w:pPr>
            <w:r>
              <w:rPr/>
              <w:t>100.0</w:t>
            </w:r>
          </w:p>
        </w:tc>
        <w:tc>
          <w:tcPr>
            <w:tcW w:w="338"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1,354,691</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560" w:type="dxa"/>
            <w:tcBorders/>
            <w:shd w:fill="CCEEFF" w:val="clear"/>
            <w:vAlign w:val="center"/>
          </w:tcPr>
          <w:p>
            <w:pPr>
              <w:pStyle w:val="TableContents"/>
              <w:spacing w:before="0" w:after="283"/>
              <w:jc w:val="right"/>
              <w:rPr/>
            </w:pPr>
            <w:r>
              <w:rPr/>
              <w:t>100.0</w:t>
            </w:r>
          </w:p>
        </w:tc>
        <w:tc>
          <w:tcPr>
            <w:tcW w:w="354" w:type="dxa"/>
            <w:tcBorders/>
            <w:shd w:fill="CCEEFF" w:val="clear"/>
            <w:vAlign w:val="center"/>
          </w:tcPr>
          <w:p>
            <w:pPr>
              <w:pStyle w:val="TableContents"/>
              <w:spacing w:before="0" w:after="283"/>
              <w:rPr/>
            </w:pPr>
            <w:r>
              <w:rPr/>
              <w:t> </w:t>
            </w:r>
          </w:p>
        </w:tc>
      </w:tr>
      <w:tr>
        <w:trPr/>
        <w:tc>
          <w:tcPr>
            <w:tcW w:w="5503"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Cost of food and beverage (as a percent of food and beverage revenues)</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jc w:val="right"/>
              <w:rPr/>
            </w:pPr>
            <w:r>
              <w:rPr/>
              <w:t>45,207</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60" w:type="dxa"/>
            <w:tcBorders/>
            <w:shd w:fill="auto" w:val="clear"/>
            <w:vAlign w:val="center"/>
          </w:tcPr>
          <w:p>
            <w:pPr>
              <w:pStyle w:val="TableContents"/>
              <w:spacing w:before="0" w:after="283"/>
              <w:jc w:val="right"/>
              <w:rPr/>
            </w:pPr>
            <w:r>
              <w:rPr/>
              <w:t>28.3</w:t>
            </w:r>
          </w:p>
        </w:tc>
        <w:tc>
          <w:tcPr>
            <w:tcW w:w="338"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148,196</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60" w:type="dxa"/>
            <w:tcBorders/>
            <w:shd w:fill="auto" w:val="clear"/>
            <w:vAlign w:val="center"/>
          </w:tcPr>
          <w:p>
            <w:pPr>
              <w:pStyle w:val="TableContents"/>
              <w:spacing w:before="0" w:after="283"/>
              <w:jc w:val="right"/>
              <w:rPr/>
            </w:pPr>
            <w:r>
              <w:rPr/>
              <w:t>26.3</w:t>
            </w:r>
          </w:p>
        </w:tc>
        <w:tc>
          <w:tcPr>
            <w:tcW w:w="354" w:type="dxa"/>
            <w:tcBorders/>
            <w:shd w:fill="auto" w:val="clear"/>
            <w:vAlign w:val="center"/>
          </w:tcPr>
          <w:p>
            <w:pPr>
              <w:pStyle w:val="TableContents"/>
              <w:spacing w:before="0" w:after="283"/>
              <w:rPr/>
            </w:pPr>
            <w:r>
              <w:rPr/>
              <w:t> </w:t>
            </w:r>
          </w:p>
        </w:tc>
      </w:tr>
      <w:tr>
        <w:trPr/>
        <w:tc>
          <w:tcPr>
            <w:tcW w:w="5503"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Cost of amusement and other (as a percent of amusement and other revenues)</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jc w:val="right"/>
              <w:rPr/>
            </w:pPr>
            <w:r>
              <w:rPr/>
              <w:t>29,698</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560" w:type="dxa"/>
            <w:tcBorders/>
            <w:shd w:fill="CCEEFF" w:val="clear"/>
            <w:vAlign w:val="center"/>
          </w:tcPr>
          <w:p>
            <w:pPr>
              <w:pStyle w:val="TableContents"/>
              <w:spacing w:before="0" w:after="283"/>
              <w:jc w:val="right"/>
              <w:rPr/>
            </w:pPr>
            <w:r>
              <w:rPr/>
              <w:t>10.7</w:t>
            </w:r>
          </w:p>
        </w:tc>
        <w:tc>
          <w:tcPr>
            <w:tcW w:w="338"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85,115</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560" w:type="dxa"/>
            <w:tcBorders/>
            <w:shd w:fill="CCEEFF" w:val="clear"/>
            <w:vAlign w:val="center"/>
          </w:tcPr>
          <w:p>
            <w:pPr>
              <w:pStyle w:val="TableContents"/>
              <w:spacing w:before="0" w:after="283"/>
              <w:jc w:val="right"/>
              <w:rPr/>
            </w:pPr>
            <w:r>
              <w:rPr/>
              <w:t>10.8</w:t>
            </w:r>
          </w:p>
        </w:tc>
        <w:tc>
          <w:tcPr>
            <w:tcW w:w="354" w:type="dxa"/>
            <w:tcBorders/>
            <w:shd w:fill="CCEEFF" w:val="clear"/>
            <w:vAlign w:val="center"/>
          </w:tcPr>
          <w:p>
            <w:pPr>
              <w:pStyle w:val="TableContents"/>
              <w:spacing w:before="0" w:after="283"/>
              <w:rPr/>
            </w:pPr>
            <w:r>
              <w:rPr/>
              <w:t> </w:t>
            </w:r>
          </w:p>
        </w:tc>
      </w:tr>
      <w:tr>
        <w:trPr/>
        <w:tc>
          <w:tcPr>
            <w:tcW w:w="5503"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single" w:sz="2" w:space="1" w:color="000000"/>
              </w:rPr>
            </w:pPr>
            <w:r>
              <w:rPr>
                <w:bdr w:val="single" w:sz="2" w:space="1" w:color="000000"/>
              </w:rPr>
              <w:t> </w:t>
            </w:r>
          </w:p>
        </w:tc>
        <w:tc>
          <w:tcPr>
            <w:tcW w:w="875"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560" w:type="dxa"/>
            <w:tcBorders/>
            <w:shd w:fill="auto" w:val="clear"/>
            <w:vAlign w:val="center"/>
          </w:tcPr>
          <w:p>
            <w:pPr>
              <w:pStyle w:val="TableContents"/>
              <w:spacing w:before="0" w:after="0"/>
              <w:rPr>
                <w:bdr w:val="single" w:sz="2" w:space="1" w:color="000000"/>
              </w:rPr>
            </w:pPr>
            <w:r>
              <w:rPr>
                <w:bdr w:val="single" w:sz="2" w:space="1" w:color="000000"/>
              </w:rPr>
              <w:t> </w:t>
            </w:r>
          </w:p>
        </w:tc>
        <w:tc>
          <w:tcPr>
            <w:tcW w:w="338"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single" w:sz="2" w:space="1" w:color="000000"/>
              </w:rPr>
            </w:pPr>
            <w:r>
              <w:rPr>
                <w:bdr w:val="single" w:sz="2" w:space="1" w:color="000000"/>
              </w:rPr>
              <w:t> </w:t>
            </w:r>
          </w:p>
        </w:tc>
        <w:tc>
          <w:tcPr>
            <w:tcW w:w="980" w:type="dxa"/>
            <w:tcBorders/>
            <w:shd w:fill="auto" w:val="clear"/>
            <w:vAlign w:val="center"/>
          </w:tcPr>
          <w:p>
            <w:pPr>
              <w:pStyle w:val="TableContents"/>
              <w:spacing w:before="0" w:after="0"/>
              <w:rPr>
                <w:bdr w:val="single" w:sz="2" w:space="1" w:color="000000"/>
              </w:rPr>
            </w:pPr>
            <w:r>
              <w:rPr>
                <w:bdr w:val="single" w:sz="2"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560" w:type="dxa"/>
            <w:tcBorders/>
            <w:shd w:fill="auto" w:val="clear"/>
            <w:vAlign w:val="center"/>
          </w:tcPr>
          <w:p>
            <w:pPr>
              <w:pStyle w:val="TableContents"/>
              <w:spacing w:before="0" w:after="0"/>
              <w:rPr>
                <w:bdr w:val="single" w:sz="2" w:space="1" w:color="000000"/>
              </w:rPr>
            </w:pPr>
            <w:r>
              <w:rPr>
                <w:bdr w:val="single" w:sz="2" w:space="1" w:color="000000"/>
              </w:rPr>
              <w:t> </w:t>
            </w:r>
          </w:p>
        </w:tc>
        <w:tc>
          <w:tcPr>
            <w:tcW w:w="354" w:type="dxa"/>
            <w:tcBorders/>
            <w:shd w:fill="auto" w:val="clear"/>
            <w:vAlign w:val="center"/>
          </w:tcPr>
          <w:p>
            <w:pPr>
              <w:pStyle w:val="TableContents"/>
              <w:spacing w:before="0" w:after="283"/>
              <w:rPr/>
            </w:pPr>
            <w:r>
              <w:rPr/>
              <w:t> </w:t>
            </w:r>
          </w:p>
        </w:tc>
      </w:tr>
      <w:tr>
        <w:trPr/>
        <w:tc>
          <w:tcPr>
            <w:tcW w:w="5503"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Total cost of products</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jc w:val="right"/>
              <w:rPr/>
            </w:pPr>
            <w:r>
              <w:rPr/>
              <w:t>74,905</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60" w:type="dxa"/>
            <w:tcBorders/>
            <w:shd w:fill="auto" w:val="clear"/>
            <w:vAlign w:val="center"/>
          </w:tcPr>
          <w:p>
            <w:pPr>
              <w:pStyle w:val="TableContents"/>
              <w:spacing w:before="0" w:after="283"/>
              <w:jc w:val="right"/>
              <w:rPr/>
            </w:pPr>
            <w:r>
              <w:rPr/>
              <w:t>17.2</w:t>
            </w:r>
          </w:p>
        </w:tc>
        <w:tc>
          <w:tcPr>
            <w:tcW w:w="338"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233,311</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60" w:type="dxa"/>
            <w:tcBorders/>
            <w:shd w:fill="auto" w:val="clear"/>
            <w:vAlign w:val="center"/>
          </w:tcPr>
          <w:p>
            <w:pPr>
              <w:pStyle w:val="TableContents"/>
              <w:spacing w:before="0" w:after="283"/>
              <w:jc w:val="right"/>
              <w:rPr/>
            </w:pPr>
            <w:r>
              <w:rPr/>
              <w:t>17.2</w:t>
            </w:r>
          </w:p>
        </w:tc>
        <w:tc>
          <w:tcPr>
            <w:tcW w:w="354" w:type="dxa"/>
            <w:tcBorders/>
            <w:shd w:fill="auto" w:val="clear"/>
            <w:vAlign w:val="center"/>
          </w:tcPr>
          <w:p>
            <w:pPr>
              <w:pStyle w:val="TableContents"/>
              <w:spacing w:before="0" w:after="283"/>
              <w:rPr/>
            </w:pPr>
            <w:r>
              <w:rPr/>
              <w:t> </w:t>
            </w:r>
          </w:p>
        </w:tc>
      </w:tr>
      <w:tr>
        <w:trPr/>
        <w:tc>
          <w:tcPr>
            <w:tcW w:w="5503"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Operating payroll and benefits</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jc w:val="right"/>
              <w:rPr/>
            </w:pPr>
            <w:r>
              <w:rPr/>
              <w:t>117,475</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560" w:type="dxa"/>
            <w:tcBorders/>
            <w:shd w:fill="CCEEFF" w:val="clear"/>
            <w:vAlign w:val="center"/>
          </w:tcPr>
          <w:p>
            <w:pPr>
              <w:pStyle w:val="TableContents"/>
              <w:spacing w:before="0" w:after="283"/>
              <w:jc w:val="right"/>
              <w:rPr/>
            </w:pPr>
            <w:r>
              <w:rPr/>
              <w:t>26.9</w:t>
            </w:r>
          </w:p>
        </w:tc>
        <w:tc>
          <w:tcPr>
            <w:tcW w:w="338"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322,970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560" w:type="dxa"/>
            <w:tcBorders/>
            <w:shd w:fill="CCEEFF" w:val="clear"/>
            <w:vAlign w:val="center"/>
          </w:tcPr>
          <w:p>
            <w:pPr>
              <w:pStyle w:val="TableContents"/>
              <w:spacing w:before="0" w:after="283"/>
              <w:jc w:val="right"/>
              <w:rPr/>
            </w:pPr>
            <w:r>
              <w:rPr/>
              <w:t>23.8</w:t>
            </w:r>
          </w:p>
        </w:tc>
        <w:tc>
          <w:tcPr>
            <w:tcW w:w="354" w:type="dxa"/>
            <w:tcBorders/>
            <w:shd w:fill="CCEEFF" w:val="clear"/>
            <w:vAlign w:val="center"/>
          </w:tcPr>
          <w:p>
            <w:pPr>
              <w:pStyle w:val="TableContents"/>
              <w:spacing w:before="0" w:after="283"/>
              <w:rPr/>
            </w:pPr>
            <w:r>
              <w:rPr/>
              <w:t> </w:t>
            </w:r>
          </w:p>
        </w:tc>
      </w:tr>
      <w:tr>
        <w:trPr/>
        <w:tc>
          <w:tcPr>
            <w:tcW w:w="5503"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Other store operating expenses</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jc w:val="right"/>
              <w:rPr/>
            </w:pPr>
            <w:r>
              <w:rPr/>
              <w:t>299,464</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60" w:type="dxa"/>
            <w:tcBorders/>
            <w:shd w:fill="auto" w:val="clear"/>
            <w:vAlign w:val="center"/>
          </w:tcPr>
          <w:p>
            <w:pPr>
              <w:pStyle w:val="TableContents"/>
              <w:spacing w:before="0" w:after="283"/>
              <w:jc w:val="right"/>
              <w:rPr/>
            </w:pPr>
            <w:r>
              <w:rPr/>
              <w:t>68.6</w:t>
            </w:r>
          </w:p>
        </w:tc>
        <w:tc>
          <w:tcPr>
            <w:tcW w:w="338"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429,431</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60" w:type="dxa"/>
            <w:tcBorders/>
            <w:shd w:fill="auto" w:val="clear"/>
            <w:vAlign w:val="center"/>
          </w:tcPr>
          <w:p>
            <w:pPr>
              <w:pStyle w:val="TableContents"/>
              <w:spacing w:before="0" w:after="283"/>
              <w:jc w:val="right"/>
              <w:rPr/>
            </w:pPr>
            <w:r>
              <w:rPr/>
              <w:t>31.8</w:t>
            </w:r>
          </w:p>
        </w:tc>
        <w:tc>
          <w:tcPr>
            <w:tcW w:w="354" w:type="dxa"/>
            <w:tcBorders/>
            <w:shd w:fill="auto" w:val="clear"/>
            <w:vAlign w:val="center"/>
          </w:tcPr>
          <w:p>
            <w:pPr>
              <w:pStyle w:val="TableContents"/>
              <w:spacing w:before="0" w:after="283"/>
              <w:rPr/>
            </w:pPr>
            <w:r>
              <w:rPr/>
              <w:t> </w:t>
            </w:r>
          </w:p>
        </w:tc>
      </w:tr>
      <w:tr>
        <w:trPr/>
        <w:tc>
          <w:tcPr>
            <w:tcW w:w="5503"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General and administrative expenses</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jc w:val="right"/>
              <w:rPr/>
            </w:pPr>
            <w:r>
              <w:rPr/>
              <w:t>47,215</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560" w:type="dxa"/>
            <w:tcBorders/>
            <w:shd w:fill="CCEEFF" w:val="clear"/>
            <w:vAlign w:val="center"/>
          </w:tcPr>
          <w:p>
            <w:pPr>
              <w:pStyle w:val="TableContents"/>
              <w:spacing w:before="0" w:after="283"/>
              <w:jc w:val="right"/>
              <w:rPr/>
            </w:pPr>
            <w:r>
              <w:rPr/>
              <w:t>10.8</w:t>
            </w:r>
          </w:p>
        </w:tc>
        <w:tc>
          <w:tcPr>
            <w:tcW w:w="338"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69,469</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560" w:type="dxa"/>
            <w:tcBorders/>
            <w:shd w:fill="CCEEFF" w:val="clear"/>
            <w:vAlign w:val="center"/>
          </w:tcPr>
          <w:p>
            <w:pPr>
              <w:pStyle w:val="TableContents"/>
              <w:spacing w:before="0" w:after="283"/>
              <w:jc w:val="right"/>
              <w:rPr/>
            </w:pPr>
            <w:r>
              <w:rPr/>
              <w:t>5.1</w:t>
            </w:r>
          </w:p>
        </w:tc>
        <w:tc>
          <w:tcPr>
            <w:tcW w:w="354" w:type="dxa"/>
            <w:tcBorders/>
            <w:shd w:fill="CCEEFF" w:val="clear"/>
            <w:vAlign w:val="center"/>
          </w:tcPr>
          <w:p>
            <w:pPr>
              <w:pStyle w:val="TableContents"/>
              <w:spacing w:before="0" w:after="283"/>
              <w:rPr/>
            </w:pPr>
            <w:r>
              <w:rPr/>
              <w:t> </w:t>
            </w:r>
          </w:p>
        </w:tc>
      </w:tr>
      <w:tr>
        <w:trPr/>
        <w:tc>
          <w:tcPr>
            <w:tcW w:w="5503"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Depreciation and amortization expense</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jc w:val="right"/>
              <w:rPr/>
            </w:pPr>
            <w:r>
              <w:rPr/>
              <w:t>138,789</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60" w:type="dxa"/>
            <w:tcBorders/>
            <w:shd w:fill="auto" w:val="clear"/>
            <w:vAlign w:val="center"/>
          </w:tcPr>
          <w:p>
            <w:pPr>
              <w:pStyle w:val="TableContents"/>
              <w:spacing w:before="0" w:after="283"/>
              <w:jc w:val="right"/>
              <w:rPr/>
            </w:pPr>
            <w:r>
              <w:rPr/>
              <w:t>31.8</w:t>
            </w:r>
          </w:p>
        </w:tc>
        <w:tc>
          <w:tcPr>
            <w:tcW w:w="338"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132,460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60" w:type="dxa"/>
            <w:tcBorders/>
            <w:shd w:fill="auto" w:val="clear"/>
            <w:vAlign w:val="center"/>
          </w:tcPr>
          <w:p>
            <w:pPr>
              <w:pStyle w:val="TableContents"/>
              <w:spacing w:before="0" w:after="283"/>
              <w:jc w:val="right"/>
              <w:rPr/>
            </w:pPr>
            <w:r>
              <w:rPr/>
              <w:t>9.8</w:t>
            </w:r>
          </w:p>
        </w:tc>
        <w:tc>
          <w:tcPr>
            <w:tcW w:w="354" w:type="dxa"/>
            <w:tcBorders/>
            <w:shd w:fill="auto" w:val="clear"/>
            <w:vAlign w:val="center"/>
          </w:tcPr>
          <w:p>
            <w:pPr>
              <w:pStyle w:val="TableContents"/>
              <w:spacing w:before="0" w:after="283"/>
              <w:rPr/>
            </w:pPr>
            <w:r>
              <w:rPr/>
              <w:t> </w:t>
            </w:r>
          </w:p>
        </w:tc>
      </w:tr>
      <w:tr>
        <w:trPr/>
        <w:tc>
          <w:tcPr>
            <w:tcW w:w="5503"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Pre-opening</w:t>
            </w:r>
          </w:p>
          <w:p>
            <w:pPr>
              <w:pStyle w:val="TableContents"/>
              <w:spacing w:before="0" w:after="0"/>
              <w:rPr>
                <w:rFonts w:ascii="Times New Roman" w:hAnsi="Times New Roman"/>
                <w:sz w:val="20"/>
              </w:rPr>
            </w:pPr>
            <w:r>
              <w:rPr>
                <w:rFonts w:ascii="Times New Roman" w:hAnsi="Times New Roman"/>
                <w:sz w:val="20"/>
              </w:rPr>
              <w:t>costs</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jc w:val="right"/>
              <w:rPr/>
            </w:pPr>
            <w:r>
              <w:rPr/>
              <w:t>11,276</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560" w:type="dxa"/>
            <w:tcBorders/>
            <w:shd w:fill="CCEEFF" w:val="clear"/>
            <w:vAlign w:val="center"/>
          </w:tcPr>
          <w:p>
            <w:pPr>
              <w:pStyle w:val="TableContents"/>
              <w:spacing w:before="0" w:after="283"/>
              <w:jc w:val="right"/>
              <w:rPr/>
            </w:pPr>
            <w:r>
              <w:rPr/>
              <w:t>2.6</w:t>
            </w:r>
          </w:p>
        </w:tc>
        <w:tc>
          <w:tcPr>
            <w:tcW w:w="338"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18,971</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560" w:type="dxa"/>
            <w:tcBorders/>
            <w:shd w:fill="CCEEFF" w:val="clear"/>
            <w:vAlign w:val="center"/>
          </w:tcPr>
          <w:p>
            <w:pPr>
              <w:pStyle w:val="TableContents"/>
              <w:spacing w:before="0" w:after="283"/>
              <w:jc w:val="right"/>
              <w:rPr/>
            </w:pPr>
            <w:r>
              <w:rPr/>
              <w:t>1.4</w:t>
            </w:r>
          </w:p>
        </w:tc>
        <w:tc>
          <w:tcPr>
            <w:tcW w:w="354" w:type="dxa"/>
            <w:tcBorders/>
            <w:shd w:fill="CCEEFF" w:val="clear"/>
            <w:vAlign w:val="center"/>
          </w:tcPr>
          <w:p>
            <w:pPr>
              <w:pStyle w:val="TableContents"/>
              <w:spacing w:before="0" w:after="283"/>
              <w:rPr/>
            </w:pPr>
            <w:r>
              <w:rPr/>
              <w:t> </w:t>
            </w:r>
          </w:p>
        </w:tc>
      </w:tr>
      <w:tr>
        <w:trPr/>
        <w:tc>
          <w:tcPr>
            <w:tcW w:w="5503"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single" w:sz="2" w:space="1" w:color="000000"/>
              </w:rPr>
            </w:pPr>
            <w:r>
              <w:rPr>
                <w:bdr w:val="single" w:sz="2" w:space="1" w:color="000000"/>
              </w:rPr>
              <w:t> </w:t>
            </w:r>
          </w:p>
        </w:tc>
        <w:tc>
          <w:tcPr>
            <w:tcW w:w="875"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560" w:type="dxa"/>
            <w:tcBorders/>
            <w:shd w:fill="auto" w:val="clear"/>
            <w:vAlign w:val="center"/>
          </w:tcPr>
          <w:p>
            <w:pPr>
              <w:pStyle w:val="TableContents"/>
              <w:spacing w:before="0" w:after="0"/>
              <w:rPr>
                <w:bdr w:val="single" w:sz="2" w:space="1" w:color="000000"/>
              </w:rPr>
            </w:pPr>
            <w:r>
              <w:rPr>
                <w:bdr w:val="single" w:sz="2" w:space="1" w:color="000000"/>
              </w:rPr>
              <w:t> </w:t>
            </w:r>
          </w:p>
        </w:tc>
        <w:tc>
          <w:tcPr>
            <w:tcW w:w="338"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single" w:sz="2" w:space="1" w:color="000000"/>
              </w:rPr>
            </w:pPr>
            <w:r>
              <w:rPr>
                <w:bdr w:val="single" w:sz="2" w:space="1" w:color="000000"/>
              </w:rPr>
              <w:t> </w:t>
            </w:r>
          </w:p>
        </w:tc>
        <w:tc>
          <w:tcPr>
            <w:tcW w:w="980" w:type="dxa"/>
            <w:tcBorders/>
            <w:shd w:fill="auto" w:val="clear"/>
            <w:vAlign w:val="center"/>
          </w:tcPr>
          <w:p>
            <w:pPr>
              <w:pStyle w:val="TableContents"/>
              <w:spacing w:before="0" w:after="0"/>
              <w:rPr>
                <w:bdr w:val="single" w:sz="2" w:space="1" w:color="000000"/>
              </w:rPr>
            </w:pPr>
            <w:r>
              <w:rPr>
                <w:bdr w:val="single" w:sz="2"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560" w:type="dxa"/>
            <w:tcBorders/>
            <w:shd w:fill="auto" w:val="clear"/>
            <w:vAlign w:val="center"/>
          </w:tcPr>
          <w:p>
            <w:pPr>
              <w:pStyle w:val="TableContents"/>
              <w:spacing w:before="0" w:after="0"/>
              <w:rPr>
                <w:bdr w:val="single" w:sz="2" w:space="1" w:color="000000"/>
              </w:rPr>
            </w:pPr>
            <w:r>
              <w:rPr>
                <w:bdr w:val="single" w:sz="2" w:space="1" w:color="000000"/>
              </w:rPr>
              <w:t> </w:t>
            </w:r>
          </w:p>
        </w:tc>
        <w:tc>
          <w:tcPr>
            <w:tcW w:w="354" w:type="dxa"/>
            <w:tcBorders/>
            <w:shd w:fill="auto" w:val="clear"/>
            <w:vAlign w:val="center"/>
          </w:tcPr>
          <w:p>
            <w:pPr>
              <w:pStyle w:val="TableContents"/>
              <w:spacing w:before="0" w:after="283"/>
              <w:rPr/>
            </w:pPr>
            <w:r>
              <w:rPr/>
              <w:t> </w:t>
            </w:r>
          </w:p>
        </w:tc>
      </w:tr>
      <w:tr>
        <w:trPr/>
        <w:tc>
          <w:tcPr>
            <w:tcW w:w="5503"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Total operating costs</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jc w:val="right"/>
              <w:rPr/>
            </w:pPr>
            <w:r>
              <w:rPr/>
              <w:t>689,124</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60" w:type="dxa"/>
            <w:tcBorders/>
            <w:shd w:fill="auto" w:val="clear"/>
            <w:vAlign w:val="center"/>
          </w:tcPr>
          <w:p>
            <w:pPr>
              <w:pStyle w:val="TableContents"/>
              <w:spacing w:before="0" w:after="283"/>
              <w:jc w:val="right"/>
              <w:rPr/>
            </w:pPr>
            <w:r>
              <w:rPr/>
              <w:t>157.9</w:t>
            </w:r>
          </w:p>
        </w:tc>
        <w:tc>
          <w:tcPr>
            <w:tcW w:w="338"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1,206,612</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60" w:type="dxa"/>
            <w:tcBorders/>
            <w:shd w:fill="auto" w:val="clear"/>
            <w:vAlign w:val="center"/>
          </w:tcPr>
          <w:p>
            <w:pPr>
              <w:pStyle w:val="TableContents"/>
              <w:spacing w:before="0" w:after="283"/>
              <w:jc w:val="right"/>
              <w:rPr/>
            </w:pPr>
            <w:r>
              <w:rPr/>
              <w:t>89.1</w:t>
            </w:r>
          </w:p>
        </w:tc>
        <w:tc>
          <w:tcPr>
            <w:tcW w:w="354" w:type="dxa"/>
            <w:tcBorders/>
            <w:shd w:fill="auto" w:val="clear"/>
            <w:vAlign w:val="center"/>
          </w:tcPr>
          <w:p>
            <w:pPr>
              <w:pStyle w:val="TableContents"/>
              <w:spacing w:before="0" w:after="283"/>
              <w:rPr/>
            </w:pPr>
            <w:r>
              <w:rPr/>
              <w:t> </w:t>
            </w:r>
          </w:p>
        </w:tc>
      </w:tr>
      <w:tr>
        <w:trPr/>
        <w:tc>
          <w:tcPr>
            <w:tcW w:w="5503"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single" w:sz="2" w:space="1" w:color="000000"/>
              </w:rPr>
            </w:pPr>
            <w:r>
              <w:rPr>
                <w:bdr w:val="single" w:sz="2" w:space="1" w:color="000000"/>
              </w:rPr>
              <w:t> </w:t>
            </w:r>
          </w:p>
        </w:tc>
        <w:tc>
          <w:tcPr>
            <w:tcW w:w="875"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560" w:type="dxa"/>
            <w:tcBorders/>
            <w:shd w:fill="auto" w:val="clear"/>
            <w:vAlign w:val="center"/>
          </w:tcPr>
          <w:p>
            <w:pPr>
              <w:pStyle w:val="TableContents"/>
              <w:spacing w:before="0" w:after="0"/>
              <w:rPr>
                <w:bdr w:val="single" w:sz="2" w:space="1" w:color="000000"/>
              </w:rPr>
            </w:pPr>
            <w:r>
              <w:rPr>
                <w:bdr w:val="single" w:sz="2" w:space="1" w:color="000000"/>
              </w:rPr>
              <w:t> </w:t>
            </w:r>
          </w:p>
        </w:tc>
        <w:tc>
          <w:tcPr>
            <w:tcW w:w="338"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single" w:sz="2" w:space="1" w:color="000000"/>
              </w:rPr>
            </w:pPr>
            <w:r>
              <w:rPr>
                <w:bdr w:val="single" w:sz="2" w:space="1" w:color="000000"/>
              </w:rPr>
              <w:t> </w:t>
            </w:r>
          </w:p>
        </w:tc>
        <w:tc>
          <w:tcPr>
            <w:tcW w:w="980" w:type="dxa"/>
            <w:tcBorders/>
            <w:shd w:fill="auto" w:val="clear"/>
            <w:vAlign w:val="center"/>
          </w:tcPr>
          <w:p>
            <w:pPr>
              <w:pStyle w:val="TableContents"/>
              <w:spacing w:before="0" w:after="0"/>
              <w:rPr>
                <w:bdr w:val="single" w:sz="2" w:space="1" w:color="000000"/>
              </w:rPr>
            </w:pPr>
            <w:r>
              <w:rPr>
                <w:bdr w:val="single" w:sz="2"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560" w:type="dxa"/>
            <w:tcBorders/>
            <w:shd w:fill="auto" w:val="clear"/>
            <w:vAlign w:val="center"/>
          </w:tcPr>
          <w:p>
            <w:pPr>
              <w:pStyle w:val="TableContents"/>
              <w:spacing w:before="0" w:after="0"/>
              <w:rPr>
                <w:bdr w:val="single" w:sz="2" w:space="1" w:color="000000"/>
              </w:rPr>
            </w:pPr>
            <w:r>
              <w:rPr>
                <w:bdr w:val="single" w:sz="2" w:space="1" w:color="000000"/>
              </w:rPr>
              <w:t> </w:t>
            </w:r>
          </w:p>
        </w:tc>
        <w:tc>
          <w:tcPr>
            <w:tcW w:w="354" w:type="dxa"/>
            <w:tcBorders/>
            <w:shd w:fill="auto" w:val="clear"/>
            <w:vAlign w:val="center"/>
          </w:tcPr>
          <w:p>
            <w:pPr>
              <w:pStyle w:val="TableContents"/>
              <w:spacing w:before="0" w:after="283"/>
              <w:rPr/>
            </w:pPr>
            <w:r>
              <w:rPr/>
              <w:t> </w:t>
            </w:r>
          </w:p>
        </w:tc>
      </w:tr>
      <w:tr>
        <w:trPr/>
        <w:tc>
          <w:tcPr>
            <w:tcW w:w="5503"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Operating income (loss)</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jc w:val="right"/>
              <w:rPr/>
            </w:pPr>
            <w:r>
              <w:rPr/>
              <w:t>(252,612</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560" w:type="dxa"/>
            <w:tcBorders/>
            <w:shd w:fill="CCEEFF" w:val="clear"/>
            <w:vAlign w:val="center"/>
          </w:tcPr>
          <w:p>
            <w:pPr>
              <w:pStyle w:val="TableContents"/>
              <w:spacing w:before="0" w:after="283"/>
              <w:jc w:val="right"/>
              <w:rPr/>
            </w:pPr>
            <w:r>
              <w:rPr/>
              <w:t>(57.9</w:t>
            </w:r>
          </w:p>
        </w:tc>
        <w:tc>
          <w:tcPr>
            <w:tcW w:w="338"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148,079</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560" w:type="dxa"/>
            <w:tcBorders/>
            <w:shd w:fill="CCEEFF" w:val="clear"/>
            <w:vAlign w:val="center"/>
          </w:tcPr>
          <w:p>
            <w:pPr>
              <w:pStyle w:val="TableContents"/>
              <w:spacing w:before="0" w:after="283"/>
              <w:jc w:val="right"/>
              <w:rPr/>
            </w:pPr>
            <w:r>
              <w:rPr/>
              <w:t>10.9</w:t>
            </w:r>
          </w:p>
        </w:tc>
        <w:tc>
          <w:tcPr>
            <w:tcW w:w="354" w:type="dxa"/>
            <w:tcBorders/>
            <w:shd w:fill="CCEEFF" w:val="clear"/>
            <w:vAlign w:val="center"/>
          </w:tcPr>
          <w:p>
            <w:pPr>
              <w:pStyle w:val="TableContents"/>
              <w:spacing w:before="0" w:after="283"/>
              <w:rPr/>
            </w:pPr>
            <w:r>
              <w:rPr/>
              <w:t> </w:t>
            </w:r>
          </w:p>
        </w:tc>
      </w:tr>
      <w:tr>
        <w:trPr/>
        <w:tc>
          <w:tcPr>
            <w:tcW w:w="5503"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Interest expense, net</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jc w:val="right"/>
              <w:rPr/>
            </w:pPr>
            <w:r>
              <w:rPr/>
              <w:t>36,890</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60" w:type="dxa"/>
            <w:tcBorders/>
            <w:shd w:fill="auto" w:val="clear"/>
            <w:vAlign w:val="center"/>
          </w:tcPr>
          <w:p>
            <w:pPr>
              <w:pStyle w:val="TableContents"/>
              <w:spacing w:before="0" w:after="283"/>
              <w:jc w:val="right"/>
              <w:rPr/>
            </w:pPr>
            <w:r>
              <w:rPr/>
              <w:t>8.4</w:t>
            </w:r>
          </w:p>
        </w:tc>
        <w:tc>
          <w:tcPr>
            <w:tcW w:w="338"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20,937</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60" w:type="dxa"/>
            <w:tcBorders/>
            <w:shd w:fill="auto" w:val="clear"/>
            <w:vAlign w:val="center"/>
          </w:tcPr>
          <w:p>
            <w:pPr>
              <w:pStyle w:val="TableContents"/>
              <w:spacing w:before="0" w:after="283"/>
              <w:jc w:val="right"/>
              <w:rPr/>
            </w:pPr>
            <w:r>
              <w:rPr/>
              <w:t>1.5</w:t>
            </w:r>
          </w:p>
        </w:tc>
        <w:tc>
          <w:tcPr>
            <w:tcW w:w="354" w:type="dxa"/>
            <w:tcBorders/>
            <w:shd w:fill="auto" w:val="clear"/>
            <w:vAlign w:val="center"/>
          </w:tcPr>
          <w:p>
            <w:pPr>
              <w:pStyle w:val="TableContents"/>
              <w:spacing w:before="0" w:after="283"/>
              <w:rPr/>
            </w:pPr>
            <w:r>
              <w:rPr/>
              <w:t> </w:t>
            </w:r>
          </w:p>
        </w:tc>
      </w:tr>
      <w:tr>
        <w:trPr/>
        <w:tc>
          <w:tcPr>
            <w:tcW w:w="5503"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Loss on debt refinance</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jc w:val="right"/>
              <w:rPr/>
            </w:pPr>
            <w:r>
              <w:rPr/>
              <w:t>904</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560" w:type="dxa"/>
            <w:tcBorders/>
            <w:shd w:fill="CCEEFF" w:val="clear"/>
            <w:vAlign w:val="center"/>
          </w:tcPr>
          <w:p>
            <w:pPr>
              <w:pStyle w:val="TableContents"/>
              <w:spacing w:before="0" w:after="283"/>
              <w:jc w:val="right"/>
              <w:rPr/>
            </w:pPr>
            <w:r>
              <w:rPr/>
              <w:t>0.2</w:t>
            </w:r>
          </w:p>
        </w:tc>
        <w:tc>
          <w:tcPr>
            <w:tcW w:w="338"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560" w:type="dxa"/>
            <w:tcBorders/>
            <w:shd w:fill="CCEEFF" w:val="clear"/>
            <w:vAlign w:val="center"/>
          </w:tcPr>
          <w:p>
            <w:pPr>
              <w:pStyle w:val="TableContents"/>
              <w:spacing w:before="0" w:after="283"/>
              <w:jc w:val="right"/>
              <w:rPr/>
            </w:pPr>
            <w:r>
              <w:rPr/>
              <w:t>—  </w:t>
            </w:r>
          </w:p>
        </w:tc>
        <w:tc>
          <w:tcPr>
            <w:tcW w:w="354" w:type="dxa"/>
            <w:tcBorders/>
            <w:shd w:fill="CCEEFF" w:val="clear"/>
            <w:vAlign w:val="center"/>
          </w:tcPr>
          <w:p>
            <w:pPr>
              <w:pStyle w:val="TableContents"/>
              <w:spacing w:before="0" w:after="283"/>
              <w:rPr/>
            </w:pPr>
            <w:r>
              <w:rPr/>
              <w:t> </w:t>
            </w:r>
          </w:p>
        </w:tc>
      </w:tr>
      <w:tr>
        <w:trPr/>
        <w:tc>
          <w:tcPr>
            <w:tcW w:w="5503"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single" w:sz="2" w:space="1" w:color="000000"/>
              </w:rPr>
            </w:pPr>
            <w:r>
              <w:rPr>
                <w:bdr w:val="single" w:sz="2" w:space="1" w:color="000000"/>
              </w:rPr>
              <w:t> </w:t>
            </w:r>
          </w:p>
        </w:tc>
        <w:tc>
          <w:tcPr>
            <w:tcW w:w="875"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560" w:type="dxa"/>
            <w:tcBorders/>
            <w:shd w:fill="auto" w:val="clear"/>
            <w:vAlign w:val="center"/>
          </w:tcPr>
          <w:p>
            <w:pPr>
              <w:pStyle w:val="TableContents"/>
              <w:spacing w:before="0" w:after="0"/>
              <w:rPr>
                <w:bdr w:val="single" w:sz="2" w:space="1" w:color="000000"/>
              </w:rPr>
            </w:pPr>
            <w:r>
              <w:rPr>
                <w:bdr w:val="single" w:sz="2" w:space="1" w:color="000000"/>
              </w:rPr>
              <w:t> </w:t>
            </w:r>
          </w:p>
        </w:tc>
        <w:tc>
          <w:tcPr>
            <w:tcW w:w="338"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single" w:sz="2" w:space="1" w:color="000000"/>
              </w:rPr>
            </w:pPr>
            <w:r>
              <w:rPr>
                <w:bdr w:val="single" w:sz="2" w:space="1" w:color="000000"/>
              </w:rPr>
              <w:t> </w:t>
            </w:r>
          </w:p>
        </w:tc>
        <w:tc>
          <w:tcPr>
            <w:tcW w:w="980" w:type="dxa"/>
            <w:tcBorders/>
            <w:shd w:fill="auto" w:val="clear"/>
            <w:vAlign w:val="center"/>
          </w:tcPr>
          <w:p>
            <w:pPr>
              <w:pStyle w:val="TableContents"/>
              <w:spacing w:before="0" w:after="0"/>
              <w:rPr>
                <w:bdr w:val="single" w:sz="2" w:space="1" w:color="000000"/>
              </w:rPr>
            </w:pPr>
            <w:r>
              <w:rPr>
                <w:bdr w:val="single" w:sz="2"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560" w:type="dxa"/>
            <w:tcBorders/>
            <w:shd w:fill="auto" w:val="clear"/>
            <w:vAlign w:val="center"/>
          </w:tcPr>
          <w:p>
            <w:pPr>
              <w:pStyle w:val="TableContents"/>
              <w:spacing w:before="0" w:after="0"/>
              <w:rPr>
                <w:bdr w:val="single" w:sz="2" w:space="1" w:color="000000"/>
              </w:rPr>
            </w:pPr>
            <w:r>
              <w:rPr>
                <w:bdr w:val="single" w:sz="2" w:space="1" w:color="000000"/>
              </w:rPr>
              <w:t> </w:t>
            </w:r>
          </w:p>
        </w:tc>
        <w:tc>
          <w:tcPr>
            <w:tcW w:w="354" w:type="dxa"/>
            <w:tcBorders/>
            <w:shd w:fill="auto" w:val="clear"/>
            <w:vAlign w:val="center"/>
          </w:tcPr>
          <w:p>
            <w:pPr>
              <w:pStyle w:val="TableContents"/>
              <w:spacing w:before="0" w:after="283"/>
              <w:rPr/>
            </w:pPr>
            <w:r>
              <w:rPr/>
              <w:t> </w:t>
            </w:r>
          </w:p>
        </w:tc>
      </w:tr>
      <w:tr>
        <w:trPr/>
        <w:tc>
          <w:tcPr>
            <w:tcW w:w="5503"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Income (loss) before provision (benefit) for income taxes</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jc w:val="right"/>
              <w:rPr/>
            </w:pPr>
            <w:r>
              <w:rPr/>
              <w:t>(290,406</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60" w:type="dxa"/>
            <w:tcBorders/>
            <w:shd w:fill="auto" w:val="clear"/>
            <w:vAlign w:val="center"/>
          </w:tcPr>
          <w:p>
            <w:pPr>
              <w:pStyle w:val="TableContents"/>
              <w:spacing w:before="0" w:after="283"/>
              <w:jc w:val="right"/>
              <w:rPr/>
            </w:pPr>
            <w:r>
              <w:rPr/>
              <w:t>(66.5</w:t>
            </w:r>
          </w:p>
        </w:tc>
        <w:tc>
          <w:tcPr>
            <w:tcW w:w="338"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127,142</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60" w:type="dxa"/>
            <w:tcBorders/>
            <w:shd w:fill="auto" w:val="clear"/>
            <w:vAlign w:val="center"/>
          </w:tcPr>
          <w:p>
            <w:pPr>
              <w:pStyle w:val="TableContents"/>
              <w:spacing w:before="0" w:after="283"/>
              <w:jc w:val="right"/>
              <w:rPr/>
            </w:pPr>
            <w:r>
              <w:rPr/>
              <w:t>9.4</w:t>
            </w:r>
          </w:p>
        </w:tc>
        <w:tc>
          <w:tcPr>
            <w:tcW w:w="354" w:type="dxa"/>
            <w:tcBorders/>
            <w:shd w:fill="auto" w:val="clear"/>
            <w:vAlign w:val="center"/>
          </w:tcPr>
          <w:p>
            <w:pPr>
              <w:pStyle w:val="TableContents"/>
              <w:spacing w:before="0" w:after="283"/>
              <w:rPr/>
            </w:pPr>
            <w:r>
              <w:rPr/>
              <w:t> </w:t>
            </w:r>
          </w:p>
        </w:tc>
      </w:tr>
      <w:tr>
        <w:trPr/>
        <w:tc>
          <w:tcPr>
            <w:tcW w:w="5503"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Provision (benefit) for income taxes</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jc w:val="right"/>
              <w:rPr/>
            </w:pPr>
            <w:r>
              <w:rPr/>
              <w:t>(83,432</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560" w:type="dxa"/>
            <w:tcBorders/>
            <w:shd w:fill="CCEEFF" w:val="clear"/>
            <w:vAlign w:val="center"/>
          </w:tcPr>
          <w:p>
            <w:pPr>
              <w:pStyle w:val="TableContents"/>
              <w:spacing w:before="0" w:after="283"/>
              <w:jc w:val="right"/>
              <w:rPr/>
            </w:pPr>
            <w:r>
              <w:rPr/>
              <w:t>(19.1</w:t>
            </w:r>
          </w:p>
        </w:tc>
        <w:tc>
          <w:tcPr>
            <w:tcW w:w="338"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26,879</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560" w:type="dxa"/>
            <w:tcBorders/>
            <w:shd w:fill="CCEEFF" w:val="clear"/>
            <w:vAlign w:val="center"/>
          </w:tcPr>
          <w:p>
            <w:pPr>
              <w:pStyle w:val="TableContents"/>
              <w:spacing w:before="0" w:after="283"/>
              <w:jc w:val="right"/>
              <w:rPr/>
            </w:pPr>
            <w:r>
              <w:rPr/>
              <w:t>2.0</w:t>
            </w:r>
          </w:p>
        </w:tc>
        <w:tc>
          <w:tcPr>
            <w:tcW w:w="354" w:type="dxa"/>
            <w:tcBorders/>
            <w:shd w:fill="CCEEFF" w:val="clear"/>
            <w:vAlign w:val="center"/>
          </w:tcPr>
          <w:p>
            <w:pPr>
              <w:pStyle w:val="TableContents"/>
              <w:spacing w:before="0" w:after="283"/>
              <w:rPr/>
            </w:pPr>
            <w:r>
              <w:rPr/>
              <w:t> </w:t>
            </w:r>
          </w:p>
        </w:tc>
      </w:tr>
      <w:tr>
        <w:trPr/>
        <w:tc>
          <w:tcPr>
            <w:tcW w:w="5503"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single" w:sz="2" w:space="1" w:color="000000"/>
              </w:rPr>
            </w:pPr>
            <w:r>
              <w:rPr>
                <w:bdr w:val="single" w:sz="2" w:space="1" w:color="000000"/>
              </w:rPr>
              <w:t> </w:t>
            </w:r>
          </w:p>
        </w:tc>
        <w:tc>
          <w:tcPr>
            <w:tcW w:w="875"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560" w:type="dxa"/>
            <w:tcBorders/>
            <w:shd w:fill="auto" w:val="clear"/>
            <w:vAlign w:val="center"/>
          </w:tcPr>
          <w:p>
            <w:pPr>
              <w:pStyle w:val="TableContents"/>
              <w:spacing w:before="0" w:after="0"/>
              <w:rPr>
                <w:bdr w:val="single" w:sz="2" w:space="1" w:color="000000"/>
              </w:rPr>
            </w:pPr>
            <w:r>
              <w:rPr>
                <w:bdr w:val="single" w:sz="2" w:space="1" w:color="000000"/>
              </w:rPr>
              <w:t> </w:t>
            </w:r>
          </w:p>
        </w:tc>
        <w:tc>
          <w:tcPr>
            <w:tcW w:w="338"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single" w:sz="2" w:space="1" w:color="000000"/>
              </w:rPr>
            </w:pPr>
            <w:r>
              <w:rPr>
                <w:bdr w:val="single" w:sz="2" w:space="1" w:color="000000"/>
              </w:rPr>
              <w:t> </w:t>
            </w:r>
          </w:p>
        </w:tc>
        <w:tc>
          <w:tcPr>
            <w:tcW w:w="980" w:type="dxa"/>
            <w:tcBorders/>
            <w:shd w:fill="auto" w:val="clear"/>
            <w:vAlign w:val="center"/>
          </w:tcPr>
          <w:p>
            <w:pPr>
              <w:pStyle w:val="TableContents"/>
              <w:spacing w:before="0" w:after="0"/>
              <w:rPr>
                <w:bdr w:val="single" w:sz="2" w:space="1" w:color="000000"/>
              </w:rPr>
            </w:pPr>
            <w:r>
              <w:rPr>
                <w:bdr w:val="single" w:sz="2"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560" w:type="dxa"/>
            <w:tcBorders/>
            <w:shd w:fill="auto" w:val="clear"/>
            <w:vAlign w:val="center"/>
          </w:tcPr>
          <w:p>
            <w:pPr>
              <w:pStyle w:val="TableContents"/>
              <w:spacing w:before="0" w:after="0"/>
              <w:rPr>
                <w:bdr w:val="single" w:sz="2" w:space="1" w:color="000000"/>
              </w:rPr>
            </w:pPr>
            <w:r>
              <w:rPr>
                <w:bdr w:val="single" w:sz="2" w:space="1" w:color="000000"/>
              </w:rPr>
              <w:t> </w:t>
            </w:r>
          </w:p>
        </w:tc>
        <w:tc>
          <w:tcPr>
            <w:tcW w:w="354" w:type="dxa"/>
            <w:tcBorders/>
            <w:shd w:fill="auto" w:val="clear"/>
            <w:vAlign w:val="center"/>
          </w:tcPr>
          <w:p>
            <w:pPr>
              <w:pStyle w:val="TableContents"/>
              <w:spacing w:before="0" w:after="283"/>
              <w:rPr/>
            </w:pPr>
            <w:r>
              <w:rPr/>
              <w:t> </w:t>
            </w:r>
          </w:p>
        </w:tc>
      </w:tr>
      <w:tr>
        <w:trPr/>
        <w:tc>
          <w:tcPr>
            <w:tcW w:w="5503"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Net income (loss)</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875" w:type="dxa"/>
            <w:tcBorders/>
            <w:shd w:fill="auto" w:val="clear"/>
            <w:vAlign w:val="center"/>
          </w:tcPr>
          <w:p>
            <w:pPr>
              <w:pStyle w:val="TableContents"/>
              <w:spacing w:before="0" w:after="283"/>
              <w:jc w:val="right"/>
              <w:rPr/>
            </w:pPr>
            <w:r>
              <w:rPr/>
              <w:t>(206,974</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60" w:type="dxa"/>
            <w:tcBorders/>
            <w:shd w:fill="auto" w:val="clear"/>
            <w:vAlign w:val="center"/>
          </w:tcPr>
          <w:p>
            <w:pPr>
              <w:pStyle w:val="TableContents"/>
              <w:spacing w:before="0" w:after="283"/>
              <w:jc w:val="right"/>
              <w:rPr/>
            </w:pPr>
            <w:r>
              <w:rPr/>
              <w:t>(47.4</w:t>
            </w:r>
          </w:p>
        </w:tc>
        <w:tc>
          <w:tcPr>
            <w:tcW w:w="338"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980" w:type="dxa"/>
            <w:tcBorders/>
            <w:shd w:fill="auto" w:val="clear"/>
            <w:vAlign w:val="center"/>
          </w:tcPr>
          <w:p>
            <w:pPr>
              <w:pStyle w:val="TableContents"/>
              <w:spacing w:before="0" w:after="283"/>
              <w:jc w:val="right"/>
              <w:rPr/>
            </w:pPr>
            <w:r>
              <w:rPr/>
              <w:t>100,263</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60" w:type="dxa"/>
            <w:tcBorders/>
            <w:shd w:fill="auto" w:val="clear"/>
            <w:vAlign w:val="center"/>
          </w:tcPr>
          <w:p>
            <w:pPr>
              <w:pStyle w:val="TableContents"/>
              <w:spacing w:before="0" w:after="283"/>
              <w:jc w:val="right"/>
              <w:rPr/>
            </w:pPr>
            <w:r>
              <w:rPr/>
              <w:t>7.4</w:t>
            </w:r>
          </w:p>
        </w:tc>
        <w:tc>
          <w:tcPr>
            <w:tcW w:w="354" w:type="dxa"/>
            <w:tcBorders/>
            <w:shd w:fill="auto" w:val="clear"/>
            <w:vAlign w:val="center"/>
          </w:tcPr>
          <w:p>
            <w:pPr>
              <w:pStyle w:val="TableContents"/>
              <w:spacing w:before="0" w:after="283"/>
              <w:rPr/>
            </w:pPr>
            <w:r>
              <w:rPr/>
              <w:t>% </w:t>
            </w:r>
          </w:p>
        </w:tc>
      </w:tr>
      <w:tr>
        <w:trPr/>
        <w:tc>
          <w:tcPr>
            <w:tcW w:w="5503"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double" w:sz="6" w:space="1" w:color="000000"/>
              </w:rPr>
            </w:pPr>
            <w:r>
              <w:rPr>
                <w:bdr w:val="double" w:sz="6" w:space="1" w:color="000000"/>
              </w:rPr>
              <w:t> </w:t>
            </w:r>
          </w:p>
        </w:tc>
        <w:tc>
          <w:tcPr>
            <w:tcW w:w="875" w:type="dxa"/>
            <w:tcBorders/>
            <w:shd w:fill="auto" w:val="clear"/>
            <w:vAlign w:val="center"/>
          </w:tcPr>
          <w:p>
            <w:pPr>
              <w:pStyle w:val="TableContents"/>
              <w:spacing w:before="0" w:after="0"/>
              <w:rPr>
                <w:bdr w:val="double" w:sz="6" w:space="1" w:color="000000"/>
              </w:rPr>
            </w:pPr>
            <w:r>
              <w:rPr>
                <w:bdr w:val="double" w:sz="6" w:space="1" w:color="000000"/>
              </w:rPr>
              <w:t> </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double" w:sz="6" w:space="1" w:color="000000"/>
              </w:rPr>
            </w:pPr>
            <w:r>
              <w:rPr>
                <w:bdr w:val="double" w:sz="6" w:space="1" w:color="000000"/>
              </w:rPr>
              <w:t> </w:t>
            </w:r>
          </w:p>
        </w:tc>
        <w:tc>
          <w:tcPr>
            <w:tcW w:w="560" w:type="dxa"/>
            <w:tcBorders/>
            <w:shd w:fill="auto" w:val="clear"/>
            <w:vAlign w:val="center"/>
          </w:tcPr>
          <w:p>
            <w:pPr>
              <w:pStyle w:val="TableContents"/>
              <w:spacing w:before="0" w:after="0"/>
              <w:rPr>
                <w:bdr w:val="double" w:sz="6" w:space="1" w:color="000000"/>
              </w:rPr>
            </w:pPr>
            <w:r>
              <w:rPr>
                <w:bdr w:val="double" w:sz="6" w:space="1" w:color="000000"/>
              </w:rPr>
              <w:t> </w:t>
            </w:r>
          </w:p>
        </w:tc>
        <w:tc>
          <w:tcPr>
            <w:tcW w:w="338"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double" w:sz="6" w:space="1" w:color="000000"/>
              </w:rPr>
            </w:pPr>
            <w:r>
              <w:rPr>
                <w:bdr w:val="double" w:sz="6" w:space="1" w:color="000000"/>
              </w:rPr>
              <w:t> </w:t>
            </w:r>
          </w:p>
        </w:tc>
        <w:tc>
          <w:tcPr>
            <w:tcW w:w="980" w:type="dxa"/>
            <w:tcBorders/>
            <w:shd w:fill="auto" w:val="clear"/>
            <w:vAlign w:val="center"/>
          </w:tcPr>
          <w:p>
            <w:pPr>
              <w:pStyle w:val="TableContents"/>
              <w:spacing w:before="0" w:after="0"/>
              <w:rPr>
                <w:bdr w:val="double" w:sz="6" w:space="1" w:color="000000"/>
              </w:rPr>
            </w:pPr>
            <w:r>
              <w:rPr>
                <w:bdr w:val="double" w:sz="6"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double" w:sz="6" w:space="1" w:color="000000"/>
              </w:rPr>
            </w:pPr>
            <w:r>
              <w:rPr>
                <w:bdr w:val="double" w:sz="6" w:space="1" w:color="000000"/>
              </w:rPr>
              <w:t> </w:t>
            </w:r>
          </w:p>
        </w:tc>
        <w:tc>
          <w:tcPr>
            <w:tcW w:w="560" w:type="dxa"/>
            <w:tcBorders/>
            <w:shd w:fill="auto" w:val="clear"/>
            <w:vAlign w:val="center"/>
          </w:tcPr>
          <w:p>
            <w:pPr>
              <w:pStyle w:val="TableContents"/>
              <w:spacing w:before="0" w:after="0"/>
              <w:rPr>
                <w:bdr w:val="double" w:sz="6" w:space="1" w:color="000000"/>
              </w:rPr>
            </w:pPr>
            <w:r>
              <w:rPr>
                <w:bdr w:val="double" w:sz="6" w:space="1" w:color="000000"/>
              </w:rPr>
              <w:t> </w:t>
            </w:r>
          </w:p>
        </w:tc>
        <w:tc>
          <w:tcPr>
            <w:tcW w:w="354" w:type="dxa"/>
            <w:tcBorders/>
            <w:shd w:fill="auto" w:val="clear"/>
            <w:vAlign w:val="center"/>
          </w:tcPr>
          <w:p>
            <w:pPr>
              <w:pStyle w:val="TableContents"/>
              <w:spacing w:before="0" w:after="283"/>
              <w:rPr/>
            </w:pPr>
            <w:r>
              <w:rPr/>
              <w:t> </w:t>
            </w:r>
          </w:p>
        </w:tc>
      </w:tr>
      <w:tr>
        <w:trPr/>
        <w:tc>
          <w:tcPr>
            <w:tcW w:w="5503"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Change in comparable store sales</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sz w:val="4"/>
                <w:szCs w:val="4"/>
              </w:rPr>
            </w:pPr>
            <w:r>
              <w:rPr>
                <w:sz w:val="4"/>
                <w:szCs w:val="4"/>
              </w:rPr>
            </w:r>
          </w:p>
        </w:tc>
        <w:tc>
          <w:tcPr>
            <w:tcW w:w="875" w:type="dxa"/>
            <w:tcBorders/>
            <w:shd w:fill="CCEEFF" w:val="clear"/>
            <w:vAlign w:val="center"/>
          </w:tcPr>
          <w:p>
            <w:pPr>
              <w:pStyle w:val="TableContents"/>
              <w:spacing w:before="0" w:after="283"/>
              <w:rPr>
                <w:sz w:val="4"/>
                <w:szCs w:val="4"/>
              </w:rPr>
            </w:pPr>
            <w:r>
              <w:rPr>
                <w:sz w:val="4"/>
                <w:szCs w:val="4"/>
              </w:rPr>
            </w:r>
          </w:p>
        </w:tc>
        <w:tc>
          <w:tcPr>
            <w:tcW w:w="155"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560" w:type="dxa"/>
            <w:tcBorders/>
            <w:shd w:fill="CCEEFF" w:val="clear"/>
            <w:vAlign w:val="center"/>
          </w:tcPr>
          <w:p>
            <w:pPr>
              <w:pStyle w:val="TableContents"/>
              <w:spacing w:before="0" w:after="283"/>
              <w:jc w:val="right"/>
              <w:rPr/>
            </w:pPr>
            <w:r>
              <w:rPr/>
              <w:t>(70.2</w:t>
            </w:r>
          </w:p>
        </w:tc>
        <w:tc>
          <w:tcPr>
            <w:tcW w:w="338"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sz w:val="4"/>
                <w:szCs w:val="4"/>
              </w:rPr>
            </w:pPr>
            <w:r>
              <w:rPr>
                <w:sz w:val="4"/>
                <w:szCs w:val="4"/>
              </w:rPr>
            </w:r>
          </w:p>
        </w:tc>
        <w:tc>
          <w:tcPr>
            <w:tcW w:w="980"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560" w:type="dxa"/>
            <w:tcBorders/>
            <w:shd w:fill="CCEEFF" w:val="clear"/>
            <w:vAlign w:val="center"/>
          </w:tcPr>
          <w:p>
            <w:pPr>
              <w:pStyle w:val="TableContents"/>
              <w:spacing w:before="0" w:after="283"/>
              <w:jc w:val="right"/>
              <w:rPr/>
            </w:pPr>
            <w:r>
              <w:rPr/>
              <w:t>(2.6</w:t>
            </w:r>
          </w:p>
        </w:tc>
        <w:tc>
          <w:tcPr>
            <w:tcW w:w="354" w:type="dxa"/>
            <w:tcBorders/>
            <w:shd w:fill="CCEEFF" w:val="clear"/>
            <w:vAlign w:val="center"/>
          </w:tcPr>
          <w:p>
            <w:pPr>
              <w:pStyle w:val="TableContents"/>
              <w:spacing w:before="0" w:after="283"/>
              <w:rPr/>
            </w:pPr>
            <w:r>
              <w:rPr/>
              <w:t>)% </w:t>
            </w:r>
          </w:p>
        </w:tc>
      </w:tr>
      <w:tr>
        <w:trPr/>
        <w:tc>
          <w:tcPr>
            <w:tcW w:w="5503"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 xml:space="preserve">Company-owned stores at end of period </w:t>
            </w:r>
          </w:p>
          <w:p>
            <w:pPr>
              <w:pStyle w:val="TableContents"/>
              <w:spacing w:before="0" w:after="0"/>
              <w:rPr>
                <w:rFonts w:ascii="Times New Roman" w:hAnsi="Times New Roman"/>
                <w:spacing w:val="0"/>
                <w:sz w:val="14"/>
              </w:rPr>
            </w:pPr>
            <w:r>
              <w:rPr>
                <w:rFonts w:ascii="Times New Roman" w:hAnsi="Times New Roman"/>
                <w:spacing w:val="0"/>
                <w:sz w:val="14"/>
              </w:rPr>
              <w:t>(1)</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sz w:val="4"/>
                <w:szCs w:val="4"/>
              </w:rPr>
            </w:pPr>
            <w:r>
              <w:rPr>
                <w:sz w:val="4"/>
                <w:szCs w:val="4"/>
              </w:rPr>
            </w:r>
          </w:p>
        </w:tc>
        <w:tc>
          <w:tcPr>
            <w:tcW w:w="87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60" w:type="dxa"/>
            <w:tcBorders/>
            <w:shd w:fill="auto" w:val="clear"/>
            <w:vAlign w:val="center"/>
          </w:tcPr>
          <w:p>
            <w:pPr>
              <w:pStyle w:val="TableContents"/>
              <w:spacing w:before="0" w:after="283"/>
              <w:jc w:val="right"/>
              <w:rPr/>
            </w:pPr>
            <w:r>
              <w:rPr/>
              <w:t>140</w:t>
            </w:r>
          </w:p>
        </w:tc>
        <w:tc>
          <w:tcPr>
            <w:tcW w:w="338"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60" w:type="dxa"/>
            <w:tcBorders/>
            <w:shd w:fill="auto" w:val="clear"/>
            <w:vAlign w:val="center"/>
          </w:tcPr>
          <w:p>
            <w:pPr>
              <w:pStyle w:val="TableContents"/>
              <w:spacing w:before="0" w:after="283"/>
              <w:jc w:val="right"/>
              <w:rPr/>
            </w:pPr>
            <w:r>
              <w:rPr/>
              <w:t>136</w:t>
            </w:r>
          </w:p>
        </w:tc>
        <w:tc>
          <w:tcPr>
            <w:tcW w:w="354" w:type="dxa"/>
            <w:tcBorders/>
            <w:shd w:fill="auto" w:val="clear"/>
            <w:vAlign w:val="center"/>
          </w:tcPr>
          <w:p>
            <w:pPr>
              <w:pStyle w:val="TableContents"/>
              <w:spacing w:before="0" w:after="283"/>
              <w:rPr/>
            </w:pPr>
            <w:r>
              <w:rPr/>
              <w:t> </w:t>
            </w:r>
          </w:p>
        </w:tc>
      </w:tr>
      <w:tr>
        <w:trPr/>
        <w:tc>
          <w:tcPr>
            <w:tcW w:w="5503"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 xml:space="preserve">Comparable stores at end of period </w:t>
            </w:r>
          </w:p>
          <w:p>
            <w:pPr>
              <w:pStyle w:val="TableContents"/>
              <w:spacing w:before="0" w:after="0"/>
              <w:rPr>
                <w:rFonts w:ascii="Times New Roman" w:hAnsi="Times New Roman"/>
                <w:spacing w:val="0"/>
                <w:sz w:val="14"/>
              </w:rPr>
            </w:pPr>
            <w:r>
              <w:rPr>
                <w:rFonts w:ascii="Times New Roman" w:hAnsi="Times New Roman"/>
                <w:spacing w:val="0"/>
                <w:sz w:val="14"/>
              </w:rPr>
              <w:t>(1)</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sz w:val="4"/>
                <w:szCs w:val="4"/>
              </w:rPr>
            </w:pPr>
            <w:r>
              <w:rPr>
                <w:sz w:val="4"/>
                <w:szCs w:val="4"/>
              </w:rPr>
            </w:r>
          </w:p>
        </w:tc>
        <w:tc>
          <w:tcPr>
            <w:tcW w:w="875" w:type="dxa"/>
            <w:tcBorders/>
            <w:shd w:fill="CCEEFF" w:val="clear"/>
            <w:vAlign w:val="center"/>
          </w:tcPr>
          <w:p>
            <w:pPr>
              <w:pStyle w:val="TableContents"/>
              <w:spacing w:before="0" w:after="283"/>
              <w:rPr>
                <w:sz w:val="4"/>
                <w:szCs w:val="4"/>
              </w:rPr>
            </w:pPr>
            <w:r>
              <w:rPr>
                <w:sz w:val="4"/>
                <w:szCs w:val="4"/>
              </w:rPr>
            </w:r>
          </w:p>
        </w:tc>
        <w:tc>
          <w:tcPr>
            <w:tcW w:w="155"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560" w:type="dxa"/>
            <w:tcBorders/>
            <w:shd w:fill="CCEEFF" w:val="clear"/>
            <w:vAlign w:val="center"/>
          </w:tcPr>
          <w:p>
            <w:pPr>
              <w:pStyle w:val="TableContents"/>
              <w:spacing w:before="0" w:after="283"/>
              <w:jc w:val="right"/>
              <w:rPr/>
            </w:pPr>
            <w:r>
              <w:rPr/>
              <w:t>114</w:t>
            </w:r>
          </w:p>
        </w:tc>
        <w:tc>
          <w:tcPr>
            <w:tcW w:w="338"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sz w:val="4"/>
                <w:szCs w:val="4"/>
              </w:rPr>
            </w:pPr>
            <w:r>
              <w:rPr>
                <w:sz w:val="4"/>
                <w:szCs w:val="4"/>
              </w:rPr>
            </w:r>
          </w:p>
        </w:tc>
        <w:tc>
          <w:tcPr>
            <w:tcW w:w="980"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560" w:type="dxa"/>
            <w:tcBorders/>
            <w:shd w:fill="CCEEFF" w:val="clear"/>
            <w:vAlign w:val="center"/>
          </w:tcPr>
          <w:p>
            <w:pPr>
              <w:pStyle w:val="TableContents"/>
              <w:spacing w:before="0" w:after="283"/>
              <w:jc w:val="right"/>
              <w:rPr/>
            </w:pPr>
            <w:r>
              <w:rPr/>
              <w:t>99</w:t>
            </w:r>
          </w:p>
        </w:tc>
        <w:tc>
          <w:tcPr>
            <w:tcW w:w="354" w:type="dxa"/>
            <w:tcBorders/>
            <w:shd w:fill="CCEEFF" w:val="clear"/>
            <w:vAlign w:val="center"/>
          </w:tcPr>
          <w:p>
            <w:pPr>
              <w:pStyle w:val="TableContents"/>
              <w:spacing w:before="0" w:after="283"/>
              <w:rPr/>
            </w:pPr>
            <w:r>
              <w:rPr/>
              <w:t> </w:t>
            </w:r>
          </w:p>
        </w:tc>
      </w:tr>
    </w:tbl>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170"/>
        <w:gridCol w:w="10035"/>
      </w:tblGrid>
      <w:tr>
        <w:trPr/>
        <w:tc>
          <w:tcPr>
            <w:tcW w:w="170" w:type="dxa"/>
            <w:tcBorders/>
            <w:shd w:fill="auto" w:val="clear"/>
            <w:vAlign w:val="center"/>
          </w:tcPr>
          <w:p>
            <w:pPr>
              <w:pStyle w:val="TableContents"/>
              <w:spacing w:before="0" w:after="0"/>
              <w:jc w:val="left"/>
              <w:rPr>
                <w:sz w:val="14"/>
              </w:rPr>
            </w:pPr>
            <w:r>
              <w:rPr>
                <w:sz w:val="14"/>
              </w:rPr>
              <w:t>(1)</w:t>
            </w:r>
          </w:p>
          <w:p>
            <w:pPr>
              <w:pStyle w:val="TableContents"/>
              <w:spacing w:before="0" w:after="0"/>
              <w:jc w:val="left"/>
              <w:rPr/>
            </w:pPr>
            <w:r>
              <w:rPr/>
              <w:t> </w:t>
            </w:r>
          </w:p>
        </w:tc>
        <w:tc>
          <w:tcPr>
            <w:tcW w:w="10035"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As of January 31, 2021, 107 of our 140 stores were open and 84 of our 114 comparable stores were open. Our total and comparable store counts as of the end of fiscal 2020 exclude a store in Chicago, Illinois and a store in Houston, Texas which are at or near the end of their respective lease terms which the Company has decided not to </w:t>
            </w:r>
          </w:p>
          <w:p>
            <w:pPr>
              <w:pStyle w:val="TableContents"/>
              <w:spacing w:before="0" w:after="0"/>
              <w:jc w:val="left"/>
              <w:rPr>
                <w:rFonts w:ascii="Times New Roman" w:hAnsi="Times New Roman"/>
                <w:spacing w:val="0"/>
                <w:sz w:val="20"/>
              </w:rPr>
            </w:pPr>
            <w:r>
              <w:rPr>
                <w:rFonts w:ascii="Times New Roman" w:hAnsi="Times New Roman"/>
                <w:spacing w:val="0"/>
                <w:sz w:val="20"/>
              </w:rPr>
              <w:t>re-open.</w:t>
            </w:r>
          </w:p>
          <w:p>
            <w:pPr>
              <w:pStyle w:val="TableContents"/>
              <w:spacing w:before="0" w:after="0"/>
              <w:jc w:val="left"/>
              <w:rPr>
                <w:rFonts w:ascii="Times New Roman" w:hAnsi="Times New Roman"/>
                <w:sz w:val="20"/>
              </w:rPr>
            </w:pPr>
            <w:r>
              <w:rPr>
                <w:rFonts w:ascii="Times New Roman" w:hAnsi="Times New Roman"/>
                <w:sz w:val="20"/>
              </w:rPr>
              <w:t xml:space="preserve">Our store in Duluth (Atlanta), Georgia permanently closed on March 3, 2019 as we did not exercise the renewal option and is excluded from fiscal 2019 store counts and comparable store sales. We opened six new stores during fiscal 2020 and 16 new stores during fiscal 2019. </w:t>
            </w:r>
          </w:p>
        </w:tc>
      </w:tr>
    </w:tbl>
    <w:p>
      <w:pPr>
        <w:pStyle w:val="TextBody"/>
        <w:spacing w:before="0" w:after="0"/>
        <w:jc w:val="left"/>
        <w:rPr>
          <w:spacing w:val="0"/>
        </w:rPr>
      </w:pPr>
      <w:r>
        <w:rPr>
          <w:spacing w:val="0"/>
        </w:rPr>
        <w:t>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38 </w:t>
      </w:r>
    </w:p>
    <w:p>
      <w:pPr>
        <w:pStyle w:val="HorizontalLine"/>
        <w:rPr/>
      </w:pPr>
      <w:r>
        <w:rPr/>
      </w:r>
    </w:p>
    <w:p>
      <w:pPr>
        <w:pStyle w:val="TextBody"/>
        <w:spacing w:before="0" w:after="0"/>
        <w:rPr/>
      </w:pPr>
      <w:hyperlink w:anchor="toc">
        <w:r>
          <w:rPr>
            <w:rStyle w:val="InternetLink"/>
            <w:b/>
            <w:sz w:val="20"/>
          </w:rPr>
          <w:t>Table of Contents</w:t>
        </w:r>
      </w:hyperlink>
    </w:p>
    <w:p>
      <w:pPr>
        <w:pStyle w:val="TextBody"/>
        <w:spacing w:before="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Reconciliations of </w:t>
      </w:r>
    </w:p>
    <w:p>
      <w:pPr>
        <w:pStyle w:val="TextBody"/>
        <w:spacing w:before="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Non-GAAP</w:t>
      </w:r>
    </w:p>
    <w:p>
      <w:pPr>
        <w:pStyle w:val="TextBody"/>
        <w:spacing w:before="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Financial Measures </w:t>
      </w:r>
    </w:p>
    <w:p>
      <w:pPr>
        <w:pStyle w:val="TextBody"/>
        <w:spacing w:before="12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Adjusted EBITDA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The following table reconciles Net income (loss) to Adjusted EBITDA for the periods indicated: </w:t>
      </w:r>
    </w:p>
    <w:p>
      <w:pPr>
        <w:pStyle w:val="TextBody"/>
        <w:spacing w:before="0" w:after="0"/>
        <w:jc w:val="left"/>
        <w:rPr>
          <w:spacing w:val="0"/>
        </w:rPr>
      </w:pPr>
      <w:r>
        <w:rPr>
          <w:spacing w:val="0"/>
        </w:rPr>
        <w:t> </w:t>
      </w:r>
    </w:p>
    <w:tbl>
      <w:tblPr>
        <w:tblW w:w="9379" w:type="dxa"/>
        <w:jc w:val="left"/>
        <w:tblInd w:w="0" w:type="dxa"/>
        <w:tblCellMar>
          <w:top w:w="0" w:type="dxa"/>
          <w:left w:w="0" w:type="dxa"/>
          <w:bottom w:w="0" w:type="dxa"/>
          <w:right w:w="0" w:type="dxa"/>
        </w:tblCellMar>
      </w:tblPr>
      <w:tblGrid>
        <w:gridCol w:w="4820"/>
        <w:gridCol w:w="120"/>
        <w:gridCol w:w="143"/>
        <w:gridCol w:w="896"/>
        <w:gridCol w:w="158"/>
        <w:gridCol w:w="122"/>
        <w:gridCol w:w="61"/>
        <w:gridCol w:w="527"/>
        <w:gridCol w:w="275"/>
        <w:gridCol w:w="60"/>
        <w:gridCol w:w="165"/>
        <w:gridCol w:w="943"/>
        <w:gridCol w:w="70"/>
        <w:gridCol w:w="141"/>
        <w:gridCol w:w="70"/>
        <w:gridCol w:w="518"/>
        <w:gridCol w:w="290"/>
      </w:tblGrid>
      <w:tr>
        <w:trPr/>
        <w:tc>
          <w:tcPr>
            <w:tcW w:w="482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3" w:type="dxa"/>
            <w:tcBorders/>
            <w:shd w:fill="auto" w:val="clear"/>
            <w:vAlign w:val="center"/>
          </w:tcPr>
          <w:p>
            <w:pPr>
              <w:pStyle w:val="TableContents"/>
              <w:spacing w:before="0" w:after="283"/>
              <w:rPr>
                <w:sz w:val="4"/>
                <w:szCs w:val="4"/>
              </w:rPr>
            </w:pPr>
            <w:r>
              <w:rPr>
                <w:sz w:val="4"/>
                <w:szCs w:val="4"/>
              </w:rPr>
            </w:r>
          </w:p>
        </w:tc>
        <w:tc>
          <w:tcPr>
            <w:tcW w:w="896"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61" w:type="dxa"/>
            <w:tcBorders/>
            <w:shd w:fill="auto" w:val="clear"/>
            <w:vAlign w:val="center"/>
          </w:tcPr>
          <w:p>
            <w:pPr>
              <w:pStyle w:val="TableContents"/>
              <w:spacing w:before="0" w:after="283"/>
              <w:rPr>
                <w:sz w:val="4"/>
                <w:szCs w:val="4"/>
              </w:rPr>
            </w:pPr>
            <w:r>
              <w:rPr>
                <w:sz w:val="4"/>
                <w:szCs w:val="4"/>
              </w:rPr>
            </w:r>
          </w:p>
        </w:tc>
        <w:tc>
          <w:tcPr>
            <w:tcW w:w="527"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943" w:type="dxa"/>
            <w:tcBorders/>
            <w:shd w:fill="auto" w:val="clear"/>
            <w:vAlign w:val="center"/>
          </w:tcPr>
          <w:p>
            <w:pPr>
              <w:pStyle w:val="TableContents"/>
              <w:spacing w:before="0" w:after="283"/>
              <w:rPr>
                <w:sz w:val="4"/>
                <w:szCs w:val="4"/>
              </w:rPr>
            </w:pPr>
            <w:r>
              <w:rPr>
                <w:sz w:val="4"/>
                <w:szCs w:val="4"/>
              </w:rPr>
            </w:r>
          </w:p>
        </w:tc>
        <w:tc>
          <w:tcPr>
            <w:tcW w:w="70"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70" w:type="dxa"/>
            <w:tcBorders/>
            <w:shd w:fill="auto" w:val="clear"/>
            <w:vAlign w:val="center"/>
          </w:tcPr>
          <w:p>
            <w:pPr>
              <w:pStyle w:val="TableContents"/>
              <w:spacing w:before="0" w:after="283"/>
              <w:rPr>
                <w:sz w:val="4"/>
                <w:szCs w:val="4"/>
              </w:rPr>
            </w:pPr>
            <w:r>
              <w:rPr>
                <w:sz w:val="4"/>
                <w:szCs w:val="4"/>
              </w:rPr>
            </w:r>
          </w:p>
        </w:tc>
        <w:tc>
          <w:tcPr>
            <w:tcW w:w="518"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r>
      <w:tr>
        <w:trPr/>
        <w:tc>
          <w:tcPr>
            <w:tcW w:w="482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907" w:type="dxa"/>
            <w:gridSpan w:val="6"/>
            <w:tcBorders/>
            <w:shd w:fill="auto" w:val="clear"/>
            <w:vAlign w:val="center"/>
          </w:tcPr>
          <w:p>
            <w:pPr>
              <w:pStyle w:val="TableContents"/>
              <w:spacing w:before="0" w:after="0"/>
              <w:jc w:val="center"/>
              <w:rPr>
                <w:b/>
                <w:spacing w:val="0"/>
              </w:rPr>
            </w:pPr>
            <w:r>
              <w:rPr>
                <w:b/>
                <w:spacing w:val="0"/>
              </w:rPr>
              <w:t>Fiscal Year Ended</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907" w:type="dxa"/>
            <w:gridSpan w:val="6"/>
            <w:tcBorders/>
            <w:shd w:fill="auto" w:val="clear"/>
            <w:vAlign w:val="center"/>
          </w:tcPr>
          <w:p>
            <w:pPr>
              <w:pStyle w:val="TableContents"/>
              <w:spacing w:before="0" w:after="0"/>
              <w:jc w:val="center"/>
              <w:rPr>
                <w:b/>
                <w:spacing w:val="0"/>
              </w:rPr>
            </w:pPr>
            <w:r>
              <w:rPr>
                <w:b/>
                <w:spacing w:val="0"/>
              </w:rPr>
              <w:t>Fiscal Year Ended</w:t>
            </w:r>
          </w:p>
        </w:tc>
        <w:tc>
          <w:tcPr>
            <w:tcW w:w="290" w:type="dxa"/>
            <w:tcBorders/>
            <w:shd w:fill="auto" w:val="clear"/>
            <w:vAlign w:val="center"/>
          </w:tcPr>
          <w:p>
            <w:pPr>
              <w:pStyle w:val="TableContents"/>
              <w:spacing w:before="0" w:after="283"/>
              <w:rPr/>
            </w:pPr>
            <w:r>
              <w:rPr/>
              <w:t> </w:t>
            </w:r>
          </w:p>
        </w:tc>
      </w:tr>
      <w:tr>
        <w:trPr/>
        <w:tc>
          <w:tcPr>
            <w:tcW w:w="482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907" w:type="dxa"/>
            <w:gridSpan w:val="6"/>
            <w:tcBorders/>
            <w:shd w:fill="auto" w:val="clear"/>
            <w:vAlign w:val="center"/>
          </w:tcPr>
          <w:p>
            <w:pPr>
              <w:pStyle w:val="TableContents"/>
              <w:spacing w:before="0" w:after="0"/>
              <w:jc w:val="center"/>
              <w:rPr>
                <w:b/>
                <w:spacing w:val="0"/>
              </w:rPr>
            </w:pPr>
            <w:r>
              <w:rPr>
                <w:b/>
                <w:spacing w:val="0"/>
              </w:rPr>
              <w:t>January 31, 2021</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907" w:type="dxa"/>
            <w:gridSpan w:val="6"/>
            <w:tcBorders/>
            <w:shd w:fill="auto" w:val="clear"/>
            <w:vAlign w:val="center"/>
          </w:tcPr>
          <w:p>
            <w:pPr>
              <w:pStyle w:val="TableContents"/>
              <w:spacing w:before="0" w:after="0"/>
              <w:jc w:val="center"/>
              <w:rPr>
                <w:b/>
                <w:spacing w:val="0"/>
              </w:rPr>
            </w:pPr>
            <w:r>
              <w:rPr>
                <w:b/>
                <w:spacing w:val="0"/>
              </w:rPr>
              <w:t>February 2, 2020</w:t>
            </w:r>
          </w:p>
        </w:tc>
        <w:tc>
          <w:tcPr>
            <w:tcW w:w="290" w:type="dxa"/>
            <w:tcBorders/>
            <w:shd w:fill="auto" w:val="clear"/>
            <w:vAlign w:val="center"/>
          </w:tcPr>
          <w:p>
            <w:pPr>
              <w:pStyle w:val="TableContents"/>
              <w:spacing w:before="0" w:after="283"/>
              <w:rPr/>
            </w:pPr>
            <w:r>
              <w:rPr/>
              <w:t> </w:t>
            </w:r>
          </w:p>
        </w:tc>
      </w:tr>
      <w:tr>
        <w:trPr/>
        <w:tc>
          <w:tcPr>
            <w:tcW w:w="482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Net income (loss)</w:t>
            </w:r>
          </w:p>
        </w:tc>
        <w:tc>
          <w:tcPr>
            <w:tcW w:w="120" w:type="dxa"/>
            <w:tcBorders/>
            <w:shd w:fill="CCEEFF" w:val="clear"/>
            <w:vAlign w:val="center"/>
          </w:tcPr>
          <w:p>
            <w:pPr>
              <w:pStyle w:val="TableContents"/>
              <w:spacing w:before="0" w:after="283"/>
              <w:rPr/>
            </w:pPr>
            <w:r>
              <w:rPr/>
              <w:t>  </w:t>
            </w:r>
          </w:p>
        </w:tc>
        <w:tc>
          <w:tcPr>
            <w:tcW w:w="143" w:type="dxa"/>
            <w:tcBorders/>
            <w:shd w:fill="CCEEFF" w:val="clear"/>
            <w:vAlign w:val="center"/>
          </w:tcPr>
          <w:p>
            <w:pPr>
              <w:pStyle w:val="TableContents"/>
              <w:spacing w:before="0" w:after="283"/>
              <w:rPr/>
            </w:pPr>
            <w:r>
              <w:rPr/>
              <w:t>$</w:t>
            </w:r>
          </w:p>
        </w:tc>
        <w:tc>
          <w:tcPr>
            <w:tcW w:w="896" w:type="dxa"/>
            <w:tcBorders/>
            <w:shd w:fill="CCEEFF" w:val="clear"/>
            <w:vAlign w:val="center"/>
          </w:tcPr>
          <w:p>
            <w:pPr>
              <w:pStyle w:val="TableContents"/>
              <w:spacing w:before="0" w:after="283"/>
              <w:jc w:val="right"/>
              <w:rPr/>
            </w:pPr>
            <w:r>
              <w:rPr/>
              <w:t>(206,974</w:t>
            </w:r>
          </w:p>
        </w:tc>
        <w:tc>
          <w:tcPr>
            <w:tcW w:w="158" w:type="dxa"/>
            <w:tcBorders/>
            <w:shd w:fill="CCEEFF" w:val="clear"/>
            <w:vAlign w:val="center"/>
          </w:tcPr>
          <w:p>
            <w:pPr>
              <w:pStyle w:val="TableContents"/>
              <w:spacing w:before="0" w:after="283"/>
              <w:rPr/>
            </w:pPr>
            <w:r>
              <w:rPr/>
              <w:t>) </w:t>
            </w:r>
          </w:p>
        </w:tc>
        <w:tc>
          <w:tcPr>
            <w:tcW w:w="122" w:type="dxa"/>
            <w:tcBorders/>
            <w:shd w:fill="CCEEFF" w:val="clear"/>
            <w:vAlign w:val="center"/>
          </w:tcPr>
          <w:p>
            <w:pPr>
              <w:pStyle w:val="TableContents"/>
              <w:spacing w:before="0" w:after="283"/>
              <w:rPr/>
            </w:pPr>
            <w:r>
              <w:rPr/>
              <w:t>  </w:t>
            </w:r>
          </w:p>
        </w:tc>
        <w:tc>
          <w:tcPr>
            <w:tcW w:w="61" w:type="dxa"/>
            <w:tcBorders/>
            <w:shd w:fill="CCEEFF" w:val="clear"/>
            <w:vAlign w:val="center"/>
          </w:tcPr>
          <w:p>
            <w:pPr>
              <w:pStyle w:val="TableContents"/>
              <w:spacing w:before="0" w:after="283"/>
              <w:rPr/>
            </w:pPr>
            <w:r>
              <w:rPr/>
              <w:t> </w:t>
            </w:r>
          </w:p>
        </w:tc>
        <w:tc>
          <w:tcPr>
            <w:tcW w:w="527" w:type="dxa"/>
            <w:tcBorders/>
            <w:shd w:fill="CCEEFF" w:val="clear"/>
            <w:vAlign w:val="center"/>
          </w:tcPr>
          <w:p>
            <w:pPr>
              <w:pStyle w:val="TableContents"/>
              <w:spacing w:before="0" w:after="283"/>
              <w:jc w:val="right"/>
              <w:rPr/>
            </w:pPr>
            <w:r>
              <w:rPr/>
              <w:t>-47.4</w:t>
            </w:r>
          </w:p>
        </w:tc>
        <w:tc>
          <w:tcPr>
            <w:tcW w:w="27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65" w:type="dxa"/>
            <w:tcBorders/>
            <w:shd w:fill="CCEEFF" w:val="clear"/>
            <w:vAlign w:val="center"/>
          </w:tcPr>
          <w:p>
            <w:pPr>
              <w:pStyle w:val="TableContents"/>
              <w:spacing w:before="0" w:after="283"/>
              <w:rPr/>
            </w:pPr>
            <w:r>
              <w:rPr/>
              <w:t>$</w:t>
            </w:r>
          </w:p>
        </w:tc>
        <w:tc>
          <w:tcPr>
            <w:tcW w:w="943" w:type="dxa"/>
            <w:tcBorders/>
            <w:shd w:fill="CCEEFF" w:val="clear"/>
            <w:vAlign w:val="center"/>
          </w:tcPr>
          <w:p>
            <w:pPr>
              <w:pStyle w:val="TableContents"/>
              <w:spacing w:before="0" w:after="283"/>
              <w:jc w:val="right"/>
              <w:rPr/>
            </w:pPr>
            <w:r>
              <w:rPr/>
              <w:t>100,263</w:t>
            </w:r>
          </w:p>
        </w:tc>
        <w:tc>
          <w:tcPr>
            <w:tcW w:w="70" w:type="dxa"/>
            <w:tcBorders/>
            <w:shd w:fill="CCEEFF" w:val="clear"/>
            <w:vAlign w:val="center"/>
          </w:tcPr>
          <w:p>
            <w:pPr>
              <w:pStyle w:val="TableContents"/>
              <w:spacing w:before="0" w:after="283"/>
              <w:rPr/>
            </w:pPr>
            <w:r>
              <w:rPr/>
              <w:t> </w:t>
            </w:r>
          </w:p>
        </w:tc>
        <w:tc>
          <w:tcPr>
            <w:tcW w:w="141" w:type="dxa"/>
            <w:tcBorders/>
            <w:shd w:fill="CCEEFF" w:val="clear"/>
            <w:vAlign w:val="center"/>
          </w:tcPr>
          <w:p>
            <w:pPr>
              <w:pStyle w:val="TableContents"/>
              <w:spacing w:before="0" w:after="283"/>
              <w:rPr/>
            </w:pPr>
            <w:r>
              <w:rPr/>
              <w:t>  </w:t>
            </w:r>
          </w:p>
        </w:tc>
        <w:tc>
          <w:tcPr>
            <w:tcW w:w="70" w:type="dxa"/>
            <w:tcBorders/>
            <w:shd w:fill="CCEEFF" w:val="clear"/>
            <w:vAlign w:val="center"/>
          </w:tcPr>
          <w:p>
            <w:pPr>
              <w:pStyle w:val="TableContents"/>
              <w:spacing w:before="0" w:after="283"/>
              <w:rPr/>
            </w:pPr>
            <w:r>
              <w:rPr/>
              <w:t> </w:t>
            </w:r>
          </w:p>
        </w:tc>
        <w:tc>
          <w:tcPr>
            <w:tcW w:w="518" w:type="dxa"/>
            <w:tcBorders/>
            <w:shd w:fill="CCEEFF" w:val="clear"/>
            <w:vAlign w:val="center"/>
          </w:tcPr>
          <w:p>
            <w:pPr>
              <w:pStyle w:val="TableContents"/>
              <w:spacing w:before="0" w:after="283"/>
              <w:jc w:val="right"/>
              <w:rPr/>
            </w:pPr>
            <w:r>
              <w:rPr/>
              <w:t>7.4</w:t>
            </w:r>
          </w:p>
        </w:tc>
        <w:tc>
          <w:tcPr>
            <w:tcW w:w="290" w:type="dxa"/>
            <w:tcBorders/>
            <w:shd w:fill="CCEEFF" w:val="clear"/>
            <w:vAlign w:val="center"/>
          </w:tcPr>
          <w:p>
            <w:pPr>
              <w:pStyle w:val="TableContents"/>
              <w:spacing w:before="0" w:after="283"/>
              <w:rPr/>
            </w:pPr>
            <w:r>
              <w:rPr/>
              <w:t>% </w:t>
            </w:r>
          </w:p>
        </w:tc>
      </w:tr>
      <w:tr>
        <w:trPr/>
        <w:tc>
          <w:tcPr>
            <w:tcW w:w="482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Interest expense, net</w:t>
            </w:r>
          </w:p>
        </w:tc>
        <w:tc>
          <w:tcPr>
            <w:tcW w:w="120" w:type="dxa"/>
            <w:tcBorders/>
            <w:shd w:fill="auto" w:val="clear"/>
            <w:vAlign w:val="center"/>
          </w:tcPr>
          <w:p>
            <w:pPr>
              <w:pStyle w:val="TableContents"/>
              <w:spacing w:before="0" w:after="283"/>
              <w:rPr/>
            </w:pPr>
            <w:r>
              <w:rPr/>
              <w:t>  </w:t>
            </w:r>
          </w:p>
        </w:tc>
        <w:tc>
          <w:tcPr>
            <w:tcW w:w="143" w:type="dxa"/>
            <w:tcBorders/>
            <w:shd w:fill="auto" w:val="clear"/>
            <w:vAlign w:val="center"/>
          </w:tcPr>
          <w:p>
            <w:pPr>
              <w:pStyle w:val="TableContents"/>
              <w:spacing w:before="0" w:after="283"/>
              <w:rPr/>
            </w:pPr>
            <w:r>
              <w:rPr/>
              <w:t> </w:t>
            </w:r>
          </w:p>
        </w:tc>
        <w:tc>
          <w:tcPr>
            <w:tcW w:w="896" w:type="dxa"/>
            <w:tcBorders/>
            <w:shd w:fill="auto" w:val="clear"/>
            <w:vAlign w:val="center"/>
          </w:tcPr>
          <w:p>
            <w:pPr>
              <w:pStyle w:val="TableContents"/>
              <w:spacing w:before="0" w:after="283"/>
              <w:jc w:val="right"/>
              <w:rPr/>
            </w:pPr>
            <w:r>
              <w:rPr/>
              <w:t>36,890</w:t>
            </w:r>
          </w:p>
        </w:tc>
        <w:tc>
          <w:tcPr>
            <w:tcW w:w="158" w:type="dxa"/>
            <w:tcBorders/>
            <w:shd w:fill="auto" w:val="clear"/>
            <w:vAlign w:val="center"/>
          </w:tcPr>
          <w:p>
            <w:pPr>
              <w:pStyle w:val="TableContents"/>
              <w:spacing w:before="0" w:after="283"/>
              <w:rPr/>
            </w:pPr>
            <w:r>
              <w:rPr/>
              <w:t> </w:t>
            </w:r>
          </w:p>
        </w:tc>
        <w:tc>
          <w:tcPr>
            <w:tcW w:w="122" w:type="dxa"/>
            <w:tcBorders/>
            <w:shd w:fill="auto" w:val="clear"/>
            <w:vAlign w:val="center"/>
          </w:tcPr>
          <w:p>
            <w:pPr>
              <w:pStyle w:val="TableContents"/>
              <w:spacing w:before="0" w:after="283"/>
              <w:rPr/>
            </w:pPr>
            <w:r>
              <w:rPr/>
              <w:t>  </w:t>
            </w:r>
          </w:p>
        </w:tc>
        <w:tc>
          <w:tcPr>
            <w:tcW w:w="61" w:type="dxa"/>
            <w:tcBorders/>
            <w:shd w:fill="auto" w:val="clear"/>
            <w:vAlign w:val="center"/>
          </w:tcPr>
          <w:p>
            <w:pPr>
              <w:pStyle w:val="TableContents"/>
              <w:spacing w:before="0" w:after="283"/>
              <w:rPr>
                <w:sz w:val="4"/>
                <w:szCs w:val="4"/>
              </w:rPr>
            </w:pPr>
            <w:r>
              <w:rPr>
                <w:sz w:val="4"/>
                <w:szCs w:val="4"/>
              </w:rPr>
            </w:r>
          </w:p>
        </w:tc>
        <w:tc>
          <w:tcPr>
            <w:tcW w:w="527"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65" w:type="dxa"/>
            <w:tcBorders/>
            <w:shd w:fill="auto" w:val="clear"/>
            <w:vAlign w:val="center"/>
          </w:tcPr>
          <w:p>
            <w:pPr>
              <w:pStyle w:val="TableContents"/>
              <w:spacing w:before="0" w:after="283"/>
              <w:rPr/>
            </w:pPr>
            <w:r>
              <w:rPr/>
              <w:t> </w:t>
            </w:r>
          </w:p>
        </w:tc>
        <w:tc>
          <w:tcPr>
            <w:tcW w:w="943" w:type="dxa"/>
            <w:tcBorders/>
            <w:shd w:fill="auto" w:val="clear"/>
            <w:vAlign w:val="center"/>
          </w:tcPr>
          <w:p>
            <w:pPr>
              <w:pStyle w:val="TableContents"/>
              <w:spacing w:before="0" w:after="283"/>
              <w:jc w:val="right"/>
              <w:rPr/>
            </w:pPr>
            <w:r>
              <w:rPr/>
              <w:t>20,937</w:t>
            </w:r>
          </w:p>
        </w:tc>
        <w:tc>
          <w:tcPr>
            <w:tcW w:w="70" w:type="dxa"/>
            <w:tcBorders/>
            <w:shd w:fill="auto" w:val="clear"/>
            <w:vAlign w:val="center"/>
          </w:tcPr>
          <w:p>
            <w:pPr>
              <w:pStyle w:val="TableContents"/>
              <w:spacing w:before="0" w:after="283"/>
              <w:rPr/>
            </w:pPr>
            <w:r>
              <w:rPr/>
              <w:t> </w:t>
            </w:r>
          </w:p>
        </w:tc>
        <w:tc>
          <w:tcPr>
            <w:tcW w:w="141" w:type="dxa"/>
            <w:tcBorders/>
            <w:shd w:fill="auto" w:val="clear"/>
            <w:vAlign w:val="center"/>
          </w:tcPr>
          <w:p>
            <w:pPr>
              <w:pStyle w:val="TableContents"/>
              <w:spacing w:before="0" w:after="283"/>
              <w:rPr/>
            </w:pPr>
            <w:r>
              <w:rPr/>
              <w:t>  </w:t>
            </w:r>
          </w:p>
        </w:tc>
        <w:tc>
          <w:tcPr>
            <w:tcW w:w="70" w:type="dxa"/>
            <w:tcBorders/>
            <w:shd w:fill="auto" w:val="clear"/>
            <w:vAlign w:val="center"/>
          </w:tcPr>
          <w:p>
            <w:pPr>
              <w:pStyle w:val="TableContents"/>
              <w:spacing w:before="0" w:after="283"/>
              <w:rPr>
                <w:sz w:val="4"/>
                <w:szCs w:val="4"/>
              </w:rPr>
            </w:pPr>
            <w:r>
              <w:rPr>
                <w:sz w:val="4"/>
                <w:szCs w:val="4"/>
              </w:rPr>
            </w:r>
          </w:p>
        </w:tc>
        <w:tc>
          <w:tcPr>
            <w:tcW w:w="518"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r>
      <w:tr>
        <w:trPr/>
        <w:tc>
          <w:tcPr>
            <w:tcW w:w="482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Loss on debt refinance</w:t>
            </w:r>
          </w:p>
        </w:tc>
        <w:tc>
          <w:tcPr>
            <w:tcW w:w="120" w:type="dxa"/>
            <w:tcBorders/>
            <w:shd w:fill="CCEEFF" w:val="clear"/>
            <w:vAlign w:val="center"/>
          </w:tcPr>
          <w:p>
            <w:pPr>
              <w:pStyle w:val="TableContents"/>
              <w:spacing w:before="0" w:after="283"/>
              <w:rPr/>
            </w:pPr>
            <w:r>
              <w:rPr/>
              <w:t>  </w:t>
            </w:r>
          </w:p>
        </w:tc>
        <w:tc>
          <w:tcPr>
            <w:tcW w:w="143" w:type="dxa"/>
            <w:tcBorders/>
            <w:shd w:fill="CCEEFF" w:val="clear"/>
            <w:vAlign w:val="center"/>
          </w:tcPr>
          <w:p>
            <w:pPr>
              <w:pStyle w:val="TableContents"/>
              <w:spacing w:before="0" w:after="283"/>
              <w:rPr/>
            </w:pPr>
            <w:r>
              <w:rPr/>
              <w:t> </w:t>
            </w:r>
          </w:p>
        </w:tc>
        <w:tc>
          <w:tcPr>
            <w:tcW w:w="896" w:type="dxa"/>
            <w:tcBorders/>
            <w:shd w:fill="CCEEFF" w:val="clear"/>
            <w:vAlign w:val="center"/>
          </w:tcPr>
          <w:p>
            <w:pPr>
              <w:pStyle w:val="TableContents"/>
              <w:spacing w:before="0" w:after="283"/>
              <w:jc w:val="right"/>
              <w:rPr/>
            </w:pPr>
            <w:r>
              <w:rPr/>
              <w:t>904</w:t>
            </w:r>
          </w:p>
        </w:tc>
        <w:tc>
          <w:tcPr>
            <w:tcW w:w="158" w:type="dxa"/>
            <w:tcBorders/>
            <w:shd w:fill="CCEEFF" w:val="clear"/>
            <w:vAlign w:val="center"/>
          </w:tcPr>
          <w:p>
            <w:pPr>
              <w:pStyle w:val="TableContents"/>
              <w:spacing w:before="0" w:after="283"/>
              <w:rPr/>
            </w:pPr>
            <w:r>
              <w:rPr/>
              <w:t> </w:t>
            </w:r>
          </w:p>
        </w:tc>
        <w:tc>
          <w:tcPr>
            <w:tcW w:w="122" w:type="dxa"/>
            <w:tcBorders/>
            <w:shd w:fill="CCEEFF" w:val="clear"/>
            <w:vAlign w:val="center"/>
          </w:tcPr>
          <w:p>
            <w:pPr>
              <w:pStyle w:val="TableContents"/>
              <w:spacing w:before="0" w:after="283"/>
              <w:rPr/>
            </w:pPr>
            <w:r>
              <w:rPr/>
              <w:t>  </w:t>
            </w:r>
          </w:p>
        </w:tc>
        <w:tc>
          <w:tcPr>
            <w:tcW w:w="61" w:type="dxa"/>
            <w:tcBorders/>
            <w:shd w:fill="CCEEFF" w:val="clear"/>
            <w:vAlign w:val="center"/>
          </w:tcPr>
          <w:p>
            <w:pPr>
              <w:pStyle w:val="TableContents"/>
              <w:spacing w:before="0" w:after="283"/>
              <w:rPr>
                <w:sz w:val="4"/>
                <w:szCs w:val="4"/>
              </w:rPr>
            </w:pPr>
            <w:r>
              <w:rPr>
                <w:sz w:val="4"/>
                <w:szCs w:val="4"/>
              </w:rPr>
            </w:r>
          </w:p>
        </w:tc>
        <w:tc>
          <w:tcPr>
            <w:tcW w:w="527" w:type="dxa"/>
            <w:tcBorders/>
            <w:shd w:fill="CCEEFF" w:val="clear"/>
            <w:vAlign w:val="center"/>
          </w:tcPr>
          <w:p>
            <w:pPr>
              <w:pStyle w:val="TableContents"/>
              <w:spacing w:before="0" w:after="283"/>
              <w:rPr>
                <w:sz w:val="4"/>
                <w:szCs w:val="4"/>
              </w:rPr>
            </w:pPr>
            <w:r>
              <w:rPr>
                <w:sz w:val="4"/>
                <w:szCs w:val="4"/>
              </w:rPr>
            </w:r>
          </w:p>
        </w:tc>
        <w:tc>
          <w:tcPr>
            <w:tcW w:w="275"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pPr>
            <w:r>
              <w:rPr/>
              <w:t> </w:t>
            </w:r>
          </w:p>
        </w:tc>
        <w:tc>
          <w:tcPr>
            <w:tcW w:w="165" w:type="dxa"/>
            <w:tcBorders/>
            <w:shd w:fill="CCEEFF" w:val="clear"/>
            <w:vAlign w:val="center"/>
          </w:tcPr>
          <w:p>
            <w:pPr>
              <w:pStyle w:val="TableContents"/>
              <w:spacing w:before="0" w:after="283"/>
              <w:rPr/>
            </w:pPr>
            <w:r>
              <w:rPr/>
              <w:t> </w:t>
            </w:r>
          </w:p>
        </w:tc>
        <w:tc>
          <w:tcPr>
            <w:tcW w:w="943" w:type="dxa"/>
            <w:tcBorders/>
            <w:shd w:fill="CCEEFF" w:val="clear"/>
            <w:vAlign w:val="center"/>
          </w:tcPr>
          <w:p>
            <w:pPr>
              <w:pStyle w:val="TableContents"/>
              <w:spacing w:before="0" w:after="283"/>
              <w:jc w:val="right"/>
              <w:rPr/>
            </w:pPr>
            <w:r>
              <w:rPr/>
              <w:t>—  </w:t>
            </w:r>
          </w:p>
        </w:tc>
        <w:tc>
          <w:tcPr>
            <w:tcW w:w="70" w:type="dxa"/>
            <w:tcBorders/>
            <w:shd w:fill="CCEEFF" w:val="clear"/>
            <w:vAlign w:val="center"/>
          </w:tcPr>
          <w:p>
            <w:pPr>
              <w:pStyle w:val="TableContents"/>
              <w:spacing w:before="0" w:after="283"/>
              <w:rPr/>
            </w:pPr>
            <w:r>
              <w:rPr/>
              <w:t> </w:t>
            </w:r>
          </w:p>
        </w:tc>
        <w:tc>
          <w:tcPr>
            <w:tcW w:w="141" w:type="dxa"/>
            <w:tcBorders/>
            <w:shd w:fill="CCEEFF" w:val="clear"/>
            <w:vAlign w:val="center"/>
          </w:tcPr>
          <w:p>
            <w:pPr>
              <w:pStyle w:val="TableContents"/>
              <w:spacing w:before="0" w:after="283"/>
              <w:rPr/>
            </w:pPr>
            <w:r>
              <w:rPr/>
              <w:t>  </w:t>
            </w:r>
          </w:p>
        </w:tc>
        <w:tc>
          <w:tcPr>
            <w:tcW w:w="70" w:type="dxa"/>
            <w:tcBorders/>
            <w:shd w:fill="CCEEFF" w:val="clear"/>
            <w:vAlign w:val="center"/>
          </w:tcPr>
          <w:p>
            <w:pPr>
              <w:pStyle w:val="TableContents"/>
              <w:spacing w:before="0" w:after="283"/>
              <w:rPr>
                <w:sz w:val="4"/>
                <w:szCs w:val="4"/>
              </w:rPr>
            </w:pPr>
            <w:r>
              <w:rPr>
                <w:sz w:val="4"/>
                <w:szCs w:val="4"/>
              </w:rPr>
            </w:r>
          </w:p>
        </w:tc>
        <w:tc>
          <w:tcPr>
            <w:tcW w:w="518" w:type="dxa"/>
            <w:tcBorders/>
            <w:shd w:fill="CCEEFF" w:val="clear"/>
            <w:vAlign w:val="center"/>
          </w:tcPr>
          <w:p>
            <w:pPr>
              <w:pStyle w:val="TableContents"/>
              <w:spacing w:before="0" w:after="283"/>
              <w:rPr>
                <w:sz w:val="4"/>
                <w:szCs w:val="4"/>
              </w:rPr>
            </w:pPr>
            <w:r>
              <w:rPr>
                <w:sz w:val="4"/>
                <w:szCs w:val="4"/>
              </w:rPr>
            </w:r>
          </w:p>
        </w:tc>
        <w:tc>
          <w:tcPr>
            <w:tcW w:w="290" w:type="dxa"/>
            <w:tcBorders/>
            <w:shd w:fill="CCEEFF" w:val="clear"/>
            <w:vAlign w:val="center"/>
          </w:tcPr>
          <w:p>
            <w:pPr>
              <w:pStyle w:val="TableContents"/>
              <w:spacing w:before="0" w:after="283"/>
              <w:rPr>
                <w:sz w:val="4"/>
                <w:szCs w:val="4"/>
              </w:rPr>
            </w:pPr>
            <w:r>
              <w:rPr>
                <w:sz w:val="4"/>
                <w:szCs w:val="4"/>
              </w:rPr>
            </w:r>
          </w:p>
        </w:tc>
      </w:tr>
      <w:tr>
        <w:trPr/>
        <w:tc>
          <w:tcPr>
            <w:tcW w:w="482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Provision (benefit) for income tax</w:t>
            </w:r>
          </w:p>
        </w:tc>
        <w:tc>
          <w:tcPr>
            <w:tcW w:w="120" w:type="dxa"/>
            <w:tcBorders/>
            <w:shd w:fill="auto" w:val="clear"/>
            <w:vAlign w:val="center"/>
          </w:tcPr>
          <w:p>
            <w:pPr>
              <w:pStyle w:val="TableContents"/>
              <w:spacing w:before="0" w:after="283"/>
              <w:rPr/>
            </w:pPr>
            <w:r>
              <w:rPr/>
              <w:t>  </w:t>
            </w:r>
          </w:p>
        </w:tc>
        <w:tc>
          <w:tcPr>
            <w:tcW w:w="143" w:type="dxa"/>
            <w:tcBorders/>
            <w:shd w:fill="auto" w:val="clear"/>
            <w:vAlign w:val="center"/>
          </w:tcPr>
          <w:p>
            <w:pPr>
              <w:pStyle w:val="TableContents"/>
              <w:spacing w:before="0" w:after="283"/>
              <w:rPr/>
            </w:pPr>
            <w:r>
              <w:rPr/>
              <w:t> </w:t>
            </w:r>
          </w:p>
        </w:tc>
        <w:tc>
          <w:tcPr>
            <w:tcW w:w="896" w:type="dxa"/>
            <w:tcBorders/>
            <w:shd w:fill="auto" w:val="clear"/>
            <w:vAlign w:val="center"/>
          </w:tcPr>
          <w:p>
            <w:pPr>
              <w:pStyle w:val="TableContents"/>
              <w:spacing w:before="0" w:after="283"/>
              <w:jc w:val="right"/>
              <w:rPr/>
            </w:pPr>
            <w:r>
              <w:rPr/>
              <w:t>(83,432</w:t>
            </w:r>
          </w:p>
        </w:tc>
        <w:tc>
          <w:tcPr>
            <w:tcW w:w="158" w:type="dxa"/>
            <w:tcBorders/>
            <w:shd w:fill="auto" w:val="clear"/>
            <w:vAlign w:val="center"/>
          </w:tcPr>
          <w:p>
            <w:pPr>
              <w:pStyle w:val="TableContents"/>
              <w:spacing w:before="0" w:after="283"/>
              <w:rPr/>
            </w:pPr>
            <w:r>
              <w:rPr/>
              <w:t>) </w:t>
            </w:r>
          </w:p>
        </w:tc>
        <w:tc>
          <w:tcPr>
            <w:tcW w:w="122" w:type="dxa"/>
            <w:tcBorders/>
            <w:shd w:fill="auto" w:val="clear"/>
            <w:vAlign w:val="center"/>
          </w:tcPr>
          <w:p>
            <w:pPr>
              <w:pStyle w:val="TableContents"/>
              <w:spacing w:before="0" w:after="283"/>
              <w:rPr/>
            </w:pPr>
            <w:r>
              <w:rPr/>
              <w:t>  </w:t>
            </w:r>
          </w:p>
        </w:tc>
        <w:tc>
          <w:tcPr>
            <w:tcW w:w="61" w:type="dxa"/>
            <w:tcBorders/>
            <w:shd w:fill="auto" w:val="clear"/>
            <w:vAlign w:val="center"/>
          </w:tcPr>
          <w:p>
            <w:pPr>
              <w:pStyle w:val="TableContents"/>
              <w:spacing w:before="0" w:after="283"/>
              <w:rPr>
                <w:sz w:val="4"/>
                <w:szCs w:val="4"/>
              </w:rPr>
            </w:pPr>
            <w:r>
              <w:rPr>
                <w:sz w:val="4"/>
                <w:szCs w:val="4"/>
              </w:rPr>
            </w:r>
          </w:p>
        </w:tc>
        <w:tc>
          <w:tcPr>
            <w:tcW w:w="527"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65" w:type="dxa"/>
            <w:tcBorders/>
            <w:shd w:fill="auto" w:val="clear"/>
            <w:vAlign w:val="center"/>
          </w:tcPr>
          <w:p>
            <w:pPr>
              <w:pStyle w:val="TableContents"/>
              <w:spacing w:before="0" w:after="283"/>
              <w:rPr/>
            </w:pPr>
            <w:r>
              <w:rPr/>
              <w:t> </w:t>
            </w:r>
          </w:p>
        </w:tc>
        <w:tc>
          <w:tcPr>
            <w:tcW w:w="943" w:type="dxa"/>
            <w:tcBorders/>
            <w:shd w:fill="auto" w:val="clear"/>
            <w:vAlign w:val="center"/>
          </w:tcPr>
          <w:p>
            <w:pPr>
              <w:pStyle w:val="TableContents"/>
              <w:spacing w:before="0" w:after="283"/>
              <w:jc w:val="right"/>
              <w:rPr/>
            </w:pPr>
            <w:r>
              <w:rPr/>
              <w:t>26,879</w:t>
            </w:r>
          </w:p>
        </w:tc>
        <w:tc>
          <w:tcPr>
            <w:tcW w:w="70" w:type="dxa"/>
            <w:tcBorders/>
            <w:shd w:fill="auto" w:val="clear"/>
            <w:vAlign w:val="center"/>
          </w:tcPr>
          <w:p>
            <w:pPr>
              <w:pStyle w:val="TableContents"/>
              <w:spacing w:before="0" w:after="283"/>
              <w:rPr/>
            </w:pPr>
            <w:r>
              <w:rPr/>
              <w:t> </w:t>
            </w:r>
          </w:p>
        </w:tc>
        <w:tc>
          <w:tcPr>
            <w:tcW w:w="141" w:type="dxa"/>
            <w:tcBorders/>
            <w:shd w:fill="auto" w:val="clear"/>
            <w:vAlign w:val="center"/>
          </w:tcPr>
          <w:p>
            <w:pPr>
              <w:pStyle w:val="TableContents"/>
              <w:spacing w:before="0" w:after="283"/>
              <w:rPr/>
            </w:pPr>
            <w:r>
              <w:rPr/>
              <w:t>  </w:t>
            </w:r>
          </w:p>
        </w:tc>
        <w:tc>
          <w:tcPr>
            <w:tcW w:w="70" w:type="dxa"/>
            <w:tcBorders/>
            <w:shd w:fill="auto" w:val="clear"/>
            <w:vAlign w:val="center"/>
          </w:tcPr>
          <w:p>
            <w:pPr>
              <w:pStyle w:val="TableContents"/>
              <w:spacing w:before="0" w:after="283"/>
              <w:rPr>
                <w:sz w:val="4"/>
                <w:szCs w:val="4"/>
              </w:rPr>
            </w:pPr>
            <w:r>
              <w:rPr>
                <w:sz w:val="4"/>
                <w:szCs w:val="4"/>
              </w:rPr>
            </w:r>
          </w:p>
        </w:tc>
        <w:tc>
          <w:tcPr>
            <w:tcW w:w="518"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r>
      <w:tr>
        <w:trPr/>
        <w:tc>
          <w:tcPr>
            <w:tcW w:w="482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Depreciation and amortization expense</w:t>
            </w:r>
          </w:p>
        </w:tc>
        <w:tc>
          <w:tcPr>
            <w:tcW w:w="120" w:type="dxa"/>
            <w:tcBorders/>
            <w:shd w:fill="CCEEFF" w:val="clear"/>
            <w:vAlign w:val="center"/>
          </w:tcPr>
          <w:p>
            <w:pPr>
              <w:pStyle w:val="TableContents"/>
              <w:spacing w:before="0" w:after="283"/>
              <w:rPr/>
            </w:pPr>
            <w:r>
              <w:rPr/>
              <w:t>  </w:t>
            </w:r>
          </w:p>
        </w:tc>
        <w:tc>
          <w:tcPr>
            <w:tcW w:w="143" w:type="dxa"/>
            <w:tcBorders/>
            <w:shd w:fill="CCEEFF" w:val="clear"/>
            <w:vAlign w:val="center"/>
          </w:tcPr>
          <w:p>
            <w:pPr>
              <w:pStyle w:val="TableContents"/>
              <w:spacing w:before="0" w:after="283"/>
              <w:rPr/>
            </w:pPr>
            <w:r>
              <w:rPr/>
              <w:t> </w:t>
            </w:r>
          </w:p>
        </w:tc>
        <w:tc>
          <w:tcPr>
            <w:tcW w:w="896" w:type="dxa"/>
            <w:tcBorders/>
            <w:shd w:fill="CCEEFF" w:val="clear"/>
            <w:vAlign w:val="center"/>
          </w:tcPr>
          <w:p>
            <w:pPr>
              <w:pStyle w:val="TableContents"/>
              <w:spacing w:before="0" w:after="283"/>
              <w:jc w:val="right"/>
              <w:rPr/>
            </w:pPr>
            <w:r>
              <w:rPr/>
              <w:t>138,789</w:t>
            </w:r>
          </w:p>
        </w:tc>
        <w:tc>
          <w:tcPr>
            <w:tcW w:w="158" w:type="dxa"/>
            <w:tcBorders/>
            <w:shd w:fill="CCEEFF" w:val="clear"/>
            <w:vAlign w:val="center"/>
          </w:tcPr>
          <w:p>
            <w:pPr>
              <w:pStyle w:val="TableContents"/>
              <w:spacing w:before="0" w:after="283"/>
              <w:rPr/>
            </w:pPr>
            <w:r>
              <w:rPr/>
              <w:t> </w:t>
            </w:r>
          </w:p>
        </w:tc>
        <w:tc>
          <w:tcPr>
            <w:tcW w:w="122" w:type="dxa"/>
            <w:tcBorders/>
            <w:shd w:fill="CCEEFF" w:val="clear"/>
            <w:vAlign w:val="center"/>
          </w:tcPr>
          <w:p>
            <w:pPr>
              <w:pStyle w:val="TableContents"/>
              <w:spacing w:before="0" w:after="283"/>
              <w:rPr/>
            </w:pPr>
            <w:r>
              <w:rPr/>
              <w:t>  </w:t>
            </w:r>
          </w:p>
        </w:tc>
        <w:tc>
          <w:tcPr>
            <w:tcW w:w="61" w:type="dxa"/>
            <w:tcBorders/>
            <w:shd w:fill="CCEEFF" w:val="clear"/>
            <w:vAlign w:val="center"/>
          </w:tcPr>
          <w:p>
            <w:pPr>
              <w:pStyle w:val="TableContents"/>
              <w:spacing w:before="0" w:after="283"/>
              <w:rPr>
                <w:sz w:val="4"/>
                <w:szCs w:val="4"/>
              </w:rPr>
            </w:pPr>
            <w:r>
              <w:rPr>
                <w:sz w:val="4"/>
                <w:szCs w:val="4"/>
              </w:rPr>
            </w:r>
          </w:p>
        </w:tc>
        <w:tc>
          <w:tcPr>
            <w:tcW w:w="527" w:type="dxa"/>
            <w:tcBorders/>
            <w:shd w:fill="CCEEFF" w:val="clear"/>
            <w:vAlign w:val="center"/>
          </w:tcPr>
          <w:p>
            <w:pPr>
              <w:pStyle w:val="TableContents"/>
              <w:spacing w:before="0" w:after="283"/>
              <w:rPr>
                <w:sz w:val="4"/>
                <w:szCs w:val="4"/>
              </w:rPr>
            </w:pPr>
            <w:r>
              <w:rPr>
                <w:sz w:val="4"/>
                <w:szCs w:val="4"/>
              </w:rPr>
            </w:r>
          </w:p>
        </w:tc>
        <w:tc>
          <w:tcPr>
            <w:tcW w:w="275"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pPr>
            <w:r>
              <w:rPr/>
              <w:t> </w:t>
            </w:r>
          </w:p>
        </w:tc>
        <w:tc>
          <w:tcPr>
            <w:tcW w:w="165" w:type="dxa"/>
            <w:tcBorders/>
            <w:shd w:fill="CCEEFF" w:val="clear"/>
            <w:vAlign w:val="center"/>
          </w:tcPr>
          <w:p>
            <w:pPr>
              <w:pStyle w:val="TableContents"/>
              <w:spacing w:before="0" w:after="283"/>
              <w:rPr/>
            </w:pPr>
            <w:r>
              <w:rPr/>
              <w:t> </w:t>
            </w:r>
          </w:p>
        </w:tc>
        <w:tc>
          <w:tcPr>
            <w:tcW w:w="943" w:type="dxa"/>
            <w:tcBorders/>
            <w:shd w:fill="CCEEFF" w:val="clear"/>
            <w:vAlign w:val="center"/>
          </w:tcPr>
          <w:p>
            <w:pPr>
              <w:pStyle w:val="TableContents"/>
              <w:spacing w:before="0" w:after="283"/>
              <w:jc w:val="right"/>
              <w:rPr/>
            </w:pPr>
            <w:r>
              <w:rPr/>
              <w:t>132,460</w:t>
            </w:r>
          </w:p>
        </w:tc>
        <w:tc>
          <w:tcPr>
            <w:tcW w:w="70" w:type="dxa"/>
            <w:tcBorders/>
            <w:shd w:fill="CCEEFF" w:val="clear"/>
            <w:vAlign w:val="center"/>
          </w:tcPr>
          <w:p>
            <w:pPr>
              <w:pStyle w:val="TableContents"/>
              <w:spacing w:before="0" w:after="283"/>
              <w:rPr/>
            </w:pPr>
            <w:r>
              <w:rPr/>
              <w:t> </w:t>
            </w:r>
          </w:p>
        </w:tc>
        <w:tc>
          <w:tcPr>
            <w:tcW w:w="141" w:type="dxa"/>
            <w:tcBorders/>
            <w:shd w:fill="CCEEFF" w:val="clear"/>
            <w:vAlign w:val="center"/>
          </w:tcPr>
          <w:p>
            <w:pPr>
              <w:pStyle w:val="TableContents"/>
              <w:spacing w:before="0" w:after="283"/>
              <w:rPr/>
            </w:pPr>
            <w:r>
              <w:rPr/>
              <w:t>  </w:t>
            </w:r>
          </w:p>
        </w:tc>
        <w:tc>
          <w:tcPr>
            <w:tcW w:w="70" w:type="dxa"/>
            <w:tcBorders/>
            <w:shd w:fill="CCEEFF" w:val="clear"/>
            <w:vAlign w:val="center"/>
          </w:tcPr>
          <w:p>
            <w:pPr>
              <w:pStyle w:val="TableContents"/>
              <w:spacing w:before="0" w:after="283"/>
              <w:rPr>
                <w:sz w:val="4"/>
                <w:szCs w:val="4"/>
              </w:rPr>
            </w:pPr>
            <w:r>
              <w:rPr>
                <w:sz w:val="4"/>
                <w:szCs w:val="4"/>
              </w:rPr>
            </w:r>
          </w:p>
        </w:tc>
        <w:tc>
          <w:tcPr>
            <w:tcW w:w="518" w:type="dxa"/>
            <w:tcBorders/>
            <w:shd w:fill="CCEEFF" w:val="clear"/>
            <w:vAlign w:val="center"/>
          </w:tcPr>
          <w:p>
            <w:pPr>
              <w:pStyle w:val="TableContents"/>
              <w:spacing w:before="0" w:after="283"/>
              <w:rPr>
                <w:sz w:val="4"/>
                <w:szCs w:val="4"/>
              </w:rPr>
            </w:pPr>
            <w:r>
              <w:rPr>
                <w:sz w:val="4"/>
                <w:szCs w:val="4"/>
              </w:rPr>
            </w:r>
          </w:p>
        </w:tc>
        <w:tc>
          <w:tcPr>
            <w:tcW w:w="290" w:type="dxa"/>
            <w:tcBorders/>
            <w:shd w:fill="CCEEFF" w:val="clear"/>
            <w:vAlign w:val="center"/>
          </w:tcPr>
          <w:p>
            <w:pPr>
              <w:pStyle w:val="TableContents"/>
              <w:spacing w:before="0" w:after="283"/>
              <w:rPr>
                <w:sz w:val="4"/>
                <w:szCs w:val="4"/>
              </w:rPr>
            </w:pPr>
            <w:r>
              <w:rPr>
                <w:sz w:val="4"/>
                <w:szCs w:val="4"/>
              </w:rPr>
            </w:r>
          </w:p>
        </w:tc>
      </w:tr>
      <w:tr>
        <w:trPr/>
        <w:tc>
          <w:tcPr>
            <w:tcW w:w="482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43" w:type="dxa"/>
            <w:tcBorders/>
            <w:shd w:fill="auto" w:val="clear"/>
            <w:vAlign w:val="center"/>
          </w:tcPr>
          <w:p>
            <w:pPr>
              <w:pStyle w:val="TableContents"/>
              <w:spacing w:before="0" w:after="0"/>
              <w:rPr>
                <w:bdr w:val="single" w:sz="2" w:space="1" w:color="000000"/>
              </w:rPr>
            </w:pPr>
            <w:r>
              <w:rPr>
                <w:bdr w:val="single" w:sz="2" w:space="1" w:color="000000"/>
              </w:rPr>
              <w:t> </w:t>
            </w:r>
          </w:p>
        </w:tc>
        <w:tc>
          <w:tcPr>
            <w:tcW w:w="896" w:type="dxa"/>
            <w:tcBorders/>
            <w:shd w:fill="auto" w:val="clear"/>
            <w:vAlign w:val="center"/>
          </w:tcPr>
          <w:p>
            <w:pPr>
              <w:pStyle w:val="TableContents"/>
              <w:spacing w:before="0" w:after="0"/>
              <w:rPr>
                <w:bdr w:val="single" w:sz="2" w:space="1" w:color="000000"/>
              </w:rPr>
            </w:pPr>
            <w:r>
              <w:rPr>
                <w:bdr w:val="single" w:sz="2" w:space="1" w:color="000000"/>
              </w:rPr>
              <w:t> </w:t>
            </w:r>
          </w:p>
        </w:tc>
        <w:tc>
          <w:tcPr>
            <w:tcW w:w="158" w:type="dxa"/>
            <w:tcBorders/>
            <w:shd w:fill="auto" w:val="clear"/>
            <w:vAlign w:val="center"/>
          </w:tcPr>
          <w:p>
            <w:pPr>
              <w:pStyle w:val="TableContents"/>
              <w:spacing w:before="0" w:after="283"/>
              <w:rPr/>
            </w:pPr>
            <w:r>
              <w:rPr/>
              <w:t> </w:t>
            </w:r>
          </w:p>
        </w:tc>
        <w:tc>
          <w:tcPr>
            <w:tcW w:w="122" w:type="dxa"/>
            <w:tcBorders/>
            <w:shd w:fill="auto" w:val="clear"/>
            <w:vAlign w:val="center"/>
          </w:tcPr>
          <w:p>
            <w:pPr>
              <w:pStyle w:val="TableContents"/>
              <w:spacing w:before="0" w:after="283"/>
              <w:rPr/>
            </w:pPr>
            <w:r>
              <w:rPr/>
              <w:t>  </w:t>
            </w:r>
          </w:p>
        </w:tc>
        <w:tc>
          <w:tcPr>
            <w:tcW w:w="61" w:type="dxa"/>
            <w:tcBorders/>
            <w:shd w:fill="auto" w:val="clear"/>
            <w:vAlign w:val="center"/>
          </w:tcPr>
          <w:p>
            <w:pPr>
              <w:pStyle w:val="TableContents"/>
              <w:spacing w:before="0" w:after="283"/>
              <w:rPr>
                <w:sz w:val="4"/>
                <w:szCs w:val="4"/>
              </w:rPr>
            </w:pPr>
            <w:r>
              <w:rPr>
                <w:sz w:val="4"/>
                <w:szCs w:val="4"/>
              </w:rPr>
            </w:r>
          </w:p>
        </w:tc>
        <w:tc>
          <w:tcPr>
            <w:tcW w:w="527"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65" w:type="dxa"/>
            <w:tcBorders/>
            <w:shd w:fill="auto" w:val="clear"/>
            <w:vAlign w:val="center"/>
          </w:tcPr>
          <w:p>
            <w:pPr>
              <w:pStyle w:val="TableContents"/>
              <w:spacing w:before="0" w:after="0"/>
              <w:rPr>
                <w:bdr w:val="single" w:sz="2" w:space="1" w:color="000000"/>
              </w:rPr>
            </w:pPr>
            <w:r>
              <w:rPr>
                <w:bdr w:val="single" w:sz="2" w:space="1" w:color="000000"/>
              </w:rPr>
              <w:t> </w:t>
            </w:r>
          </w:p>
        </w:tc>
        <w:tc>
          <w:tcPr>
            <w:tcW w:w="943" w:type="dxa"/>
            <w:tcBorders/>
            <w:shd w:fill="auto" w:val="clear"/>
            <w:vAlign w:val="center"/>
          </w:tcPr>
          <w:p>
            <w:pPr>
              <w:pStyle w:val="TableContents"/>
              <w:spacing w:before="0" w:after="0"/>
              <w:rPr>
                <w:bdr w:val="single" w:sz="2" w:space="1" w:color="000000"/>
              </w:rPr>
            </w:pPr>
            <w:r>
              <w:rPr>
                <w:bdr w:val="single" w:sz="2" w:space="1" w:color="000000"/>
              </w:rPr>
              <w:t> </w:t>
            </w:r>
          </w:p>
        </w:tc>
        <w:tc>
          <w:tcPr>
            <w:tcW w:w="70" w:type="dxa"/>
            <w:tcBorders/>
            <w:shd w:fill="auto" w:val="clear"/>
            <w:vAlign w:val="center"/>
          </w:tcPr>
          <w:p>
            <w:pPr>
              <w:pStyle w:val="TableContents"/>
              <w:spacing w:before="0" w:after="283"/>
              <w:rPr/>
            </w:pPr>
            <w:r>
              <w:rPr/>
              <w:t> </w:t>
            </w:r>
          </w:p>
        </w:tc>
        <w:tc>
          <w:tcPr>
            <w:tcW w:w="141" w:type="dxa"/>
            <w:tcBorders/>
            <w:shd w:fill="auto" w:val="clear"/>
            <w:vAlign w:val="center"/>
          </w:tcPr>
          <w:p>
            <w:pPr>
              <w:pStyle w:val="TableContents"/>
              <w:spacing w:before="0" w:after="283"/>
              <w:rPr/>
            </w:pPr>
            <w:r>
              <w:rPr/>
              <w:t>  </w:t>
            </w:r>
          </w:p>
        </w:tc>
        <w:tc>
          <w:tcPr>
            <w:tcW w:w="70" w:type="dxa"/>
            <w:tcBorders/>
            <w:shd w:fill="auto" w:val="clear"/>
            <w:vAlign w:val="center"/>
          </w:tcPr>
          <w:p>
            <w:pPr>
              <w:pStyle w:val="TableContents"/>
              <w:spacing w:before="0" w:after="283"/>
              <w:rPr>
                <w:sz w:val="4"/>
                <w:szCs w:val="4"/>
              </w:rPr>
            </w:pPr>
            <w:r>
              <w:rPr>
                <w:sz w:val="4"/>
                <w:szCs w:val="4"/>
              </w:rPr>
            </w:r>
          </w:p>
        </w:tc>
        <w:tc>
          <w:tcPr>
            <w:tcW w:w="518"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r>
      <w:tr>
        <w:trPr/>
        <w:tc>
          <w:tcPr>
            <w:tcW w:w="482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EBITDA</w:t>
            </w:r>
          </w:p>
        </w:tc>
        <w:tc>
          <w:tcPr>
            <w:tcW w:w="120" w:type="dxa"/>
            <w:tcBorders/>
            <w:shd w:fill="auto" w:val="clear"/>
            <w:vAlign w:val="center"/>
          </w:tcPr>
          <w:p>
            <w:pPr>
              <w:pStyle w:val="TableContents"/>
              <w:spacing w:before="0" w:after="283"/>
              <w:rPr/>
            </w:pPr>
            <w:r>
              <w:rPr/>
              <w:t>  </w:t>
            </w:r>
          </w:p>
        </w:tc>
        <w:tc>
          <w:tcPr>
            <w:tcW w:w="143" w:type="dxa"/>
            <w:tcBorders/>
            <w:shd w:fill="auto" w:val="clear"/>
            <w:vAlign w:val="center"/>
          </w:tcPr>
          <w:p>
            <w:pPr>
              <w:pStyle w:val="TableContents"/>
              <w:spacing w:before="0" w:after="283"/>
              <w:rPr/>
            </w:pPr>
            <w:r>
              <w:rPr/>
              <w:t> </w:t>
            </w:r>
          </w:p>
        </w:tc>
        <w:tc>
          <w:tcPr>
            <w:tcW w:w="896" w:type="dxa"/>
            <w:tcBorders/>
            <w:shd w:fill="auto" w:val="clear"/>
            <w:vAlign w:val="center"/>
          </w:tcPr>
          <w:p>
            <w:pPr>
              <w:pStyle w:val="TableContents"/>
              <w:spacing w:before="0" w:after="283"/>
              <w:jc w:val="right"/>
              <w:rPr/>
            </w:pPr>
            <w:r>
              <w:rPr/>
              <w:t>(113,823</w:t>
            </w:r>
          </w:p>
        </w:tc>
        <w:tc>
          <w:tcPr>
            <w:tcW w:w="158" w:type="dxa"/>
            <w:tcBorders/>
            <w:shd w:fill="auto" w:val="clear"/>
            <w:vAlign w:val="center"/>
          </w:tcPr>
          <w:p>
            <w:pPr>
              <w:pStyle w:val="TableContents"/>
              <w:spacing w:before="0" w:after="283"/>
              <w:rPr/>
            </w:pPr>
            <w:r>
              <w:rPr/>
              <w:t>) </w:t>
            </w:r>
          </w:p>
        </w:tc>
        <w:tc>
          <w:tcPr>
            <w:tcW w:w="122" w:type="dxa"/>
            <w:tcBorders/>
            <w:shd w:fill="auto" w:val="clear"/>
            <w:vAlign w:val="center"/>
          </w:tcPr>
          <w:p>
            <w:pPr>
              <w:pStyle w:val="TableContents"/>
              <w:spacing w:before="0" w:after="283"/>
              <w:rPr/>
            </w:pPr>
            <w:r>
              <w:rPr/>
              <w:t>  </w:t>
            </w:r>
          </w:p>
        </w:tc>
        <w:tc>
          <w:tcPr>
            <w:tcW w:w="61" w:type="dxa"/>
            <w:tcBorders/>
            <w:shd w:fill="auto" w:val="clear"/>
            <w:vAlign w:val="center"/>
          </w:tcPr>
          <w:p>
            <w:pPr>
              <w:pStyle w:val="TableContents"/>
              <w:spacing w:before="0" w:after="283"/>
              <w:rPr/>
            </w:pPr>
            <w:r>
              <w:rPr/>
              <w:t> </w:t>
            </w:r>
          </w:p>
        </w:tc>
        <w:tc>
          <w:tcPr>
            <w:tcW w:w="527" w:type="dxa"/>
            <w:tcBorders/>
            <w:shd w:fill="auto" w:val="clear"/>
            <w:vAlign w:val="center"/>
          </w:tcPr>
          <w:p>
            <w:pPr>
              <w:pStyle w:val="TableContents"/>
              <w:spacing w:before="0" w:after="283"/>
              <w:jc w:val="right"/>
              <w:rPr/>
            </w:pPr>
            <w:r>
              <w:rPr/>
              <w:t>-26.1</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65" w:type="dxa"/>
            <w:tcBorders/>
            <w:shd w:fill="auto" w:val="clear"/>
            <w:vAlign w:val="center"/>
          </w:tcPr>
          <w:p>
            <w:pPr>
              <w:pStyle w:val="TableContents"/>
              <w:spacing w:before="0" w:after="283"/>
              <w:rPr/>
            </w:pPr>
            <w:r>
              <w:rPr/>
              <w:t> </w:t>
            </w:r>
          </w:p>
        </w:tc>
        <w:tc>
          <w:tcPr>
            <w:tcW w:w="943" w:type="dxa"/>
            <w:tcBorders/>
            <w:shd w:fill="auto" w:val="clear"/>
            <w:vAlign w:val="center"/>
          </w:tcPr>
          <w:p>
            <w:pPr>
              <w:pStyle w:val="TableContents"/>
              <w:spacing w:before="0" w:after="283"/>
              <w:jc w:val="right"/>
              <w:rPr/>
            </w:pPr>
            <w:r>
              <w:rPr/>
              <w:t>280,539</w:t>
            </w:r>
          </w:p>
        </w:tc>
        <w:tc>
          <w:tcPr>
            <w:tcW w:w="70" w:type="dxa"/>
            <w:tcBorders/>
            <w:shd w:fill="auto" w:val="clear"/>
            <w:vAlign w:val="center"/>
          </w:tcPr>
          <w:p>
            <w:pPr>
              <w:pStyle w:val="TableContents"/>
              <w:spacing w:before="0" w:after="283"/>
              <w:rPr/>
            </w:pPr>
            <w:r>
              <w:rPr/>
              <w:t> </w:t>
            </w:r>
          </w:p>
        </w:tc>
        <w:tc>
          <w:tcPr>
            <w:tcW w:w="141" w:type="dxa"/>
            <w:tcBorders/>
            <w:shd w:fill="auto" w:val="clear"/>
            <w:vAlign w:val="center"/>
          </w:tcPr>
          <w:p>
            <w:pPr>
              <w:pStyle w:val="TableContents"/>
              <w:spacing w:before="0" w:after="283"/>
              <w:rPr/>
            </w:pPr>
            <w:r>
              <w:rPr/>
              <w:t>  </w:t>
            </w:r>
          </w:p>
        </w:tc>
        <w:tc>
          <w:tcPr>
            <w:tcW w:w="70" w:type="dxa"/>
            <w:tcBorders/>
            <w:shd w:fill="auto" w:val="clear"/>
            <w:vAlign w:val="center"/>
          </w:tcPr>
          <w:p>
            <w:pPr>
              <w:pStyle w:val="TableContents"/>
              <w:spacing w:before="0" w:after="283"/>
              <w:rPr/>
            </w:pPr>
            <w:r>
              <w:rPr/>
              <w:t> </w:t>
            </w:r>
          </w:p>
        </w:tc>
        <w:tc>
          <w:tcPr>
            <w:tcW w:w="518" w:type="dxa"/>
            <w:tcBorders/>
            <w:shd w:fill="auto" w:val="clear"/>
            <w:vAlign w:val="center"/>
          </w:tcPr>
          <w:p>
            <w:pPr>
              <w:pStyle w:val="TableContents"/>
              <w:spacing w:before="0" w:after="283"/>
              <w:jc w:val="right"/>
              <w:rPr/>
            </w:pPr>
            <w:r>
              <w:rPr/>
              <w:t>20.7</w:t>
            </w:r>
          </w:p>
        </w:tc>
        <w:tc>
          <w:tcPr>
            <w:tcW w:w="290" w:type="dxa"/>
            <w:tcBorders/>
            <w:shd w:fill="auto" w:val="clear"/>
            <w:vAlign w:val="center"/>
          </w:tcPr>
          <w:p>
            <w:pPr>
              <w:pStyle w:val="TableContents"/>
              <w:spacing w:before="0" w:after="283"/>
              <w:rPr/>
            </w:pPr>
            <w:r>
              <w:rPr/>
              <w:t>% </w:t>
            </w:r>
          </w:p>
        </w:tc>
      </w:tr>
      <w:tr>
        <w:trPr/>
        <w:tc>
          <w:tcPr>
            <w:tcW w:w="482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Loss on asset disposal</w:t>
            </w:r>
          </w:p>
        </w:tc>
        <w:tc>
          <w:tcPr>
            <w:tcW w:w="120" w:type="dxa"/>
            <w:tcBorders/>
            <w:shd w:fill="CCEEFF" w:val="clear"/>
            <w:vAlign w:val="center"/>
          </w:tcPr>
          <w:p>
            <w:pPr>
              <w:pStyle w:val="TableContents"/>
              <w:spacing w:before="0" w:after="283"/>
              <w:rPr/>
            </w:pPr>
            <w:r>
              <w:rPr/>
              <w:t>  </w:t>
            </w:r>
          </w:p>
        </w:tc>
        <w:tc>
          <w:tcPr>
            <w:tcW w:w="143" w:type="dxa"/>
            <w:tcBorders/>
            <w:shd w:fill="CCEEFF" w:val="clear"/>
            <w:vAlign w:val="center"/>
          </w:tcPr>
          <w:p>
            <w:pPr>
              <w:pStyle w:val="TableContents"/>
              <w:spacing w:before="0" w:after="283"/>
              <w:rPr/>
            </w:pPr>
            <w:r>
              <w:rPr/>
              <w:t> </w:t>
            </w:r>
          </w:p>
        </w:tc>
        <w:tc>
          <w:tcPr>
            <w:tcW w:w="896" w:type="dxa"/>
            <w:tcBorders/>
            <w:shd w:fill="CCEEFF" w:val="clear"/>
            <w:vAlign w:val="center"/>
          </w:tcPr>
          <w:p>
            <w:pPr>
              <w:pStyle w:val="TableContents"/>
              <w:spacing w:before="0" w:after="283"/>
              <w:jc w:val="right"/>
              <w:rPr/>
            </w:pPr>
            <w:r>
              <w:rPr/>
              <w:t>577</w:t>
            </w:r>
          </w:p>
        </w:tc>
        <w:tc>
          <w:tcPr>
            <w:tcW w:w="158" w:type="dxa"/>
            <w:tcBorders/>
            <w:shd w:fill="CCEEFF" w:val="clear"/>
            <w:vAlign w:val="center"/>
          </w:tcPr>
          <w:p>
            <w:pPr>
              <w:pStyle w:val="TableContents"/>
              <w:spacing w:before="0" w:after="283"/>
              <w:rPr/>
            </w:pPr>
            <w:r>
              <w:rPr/>
              <w:t> </w:t>
            </w:r>
          </w:p>
        </w:tc>
        <w:tc>
          <w:tcPr>
            <w:tcW w:w="122" w:type="dxa"/>
            <w:tcBorders/>
            <w:shd w:fill="CCEEFF" w:val="clear"/>
            <w:vAlign w:val="center"/>
          </w:tcPr>
          <w:p>
            <w:pPr>
              <w:pStyle w:val="TableContents"/>
              <w:spacing w:before="0" w:after="283"/>
              <w:rPr/>
            </w:pPr>
            <w:r>
              <w:rPr/>
              <w:t>  </w:t>
            </w:r>
          </w:p>
        </w:tc>
        <w:tc>
          <w:tcPr>
            <w:tcW w:w="61" w:type="dxa"/>
            <w:tcBorders/>
            <w:shd w:fill="CCEEFF" w:val="clear"/>
            <w:vAlign w:val="center"/>
          </w:tcPr>
          <w:p>
            <w:pPr>
              <w:pStyle w:val="TableContents"/>
              <w:spacing w:before="0" w:after="283"/>
              <w:rPr>
                <w:sz w:val="4"/>
                <w:szCs w:val="4"/>
              </w:rPr>
            </w:pPr>
            <w:r>
              <w:rPr>
                <w:sz w:val="4"/>
                <w:szCs w:val="4"/>
              </w:rPr>
            </w:r>
          </w:p>
        </w:tc>
        <w:tc>
          <w:tcPr>
            <w:tcW w:w="527" w:type="dxa"/>
            <w:tcBorders/>
            <w:shd w:fill="CCEEFF" w:val="clear"/>
            <w:vAlign w:val="center"/>
          </w:tcPr>
          <w:p>
            <w:pPr>
              <w:pStyle w:val="TableContents"/>
              <w:spacing w:before="0" w:after="283"/>
              <w:rPr>
                <w:sz w:val="4"/>
                <w:szCs w:val="4"/>
              </w:rPr>
            </w:pPr>
            <w:r>
              <w:rPr>
                <w:sz w:val="4"/>
                <w:szCs w:val="4"/>
              </w:rPr>
            </w:r>
          </w:p>
        </w:tc>
        <w:tc>
          <w:tcPr>
            <w:tcW w:w="275"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pPr>
            <w:r>
              <w:rPr/>
              <w:t> </w:t>
            </w:r>
          </w:p>
        </w:tc>
        <w:tc>
          <w:tcPr>
            <w:tcW w:w="165" w:type="dxa"/>
            <w:tcBorders/>
            <w:shd w:fill="CCEEFF" w:val="clear"/>
            <w:vAlign w:val="center"/>
          </w:tcPr>
          <w:p>
            <w:pPr>
              <w:pStyle w:val="TableContents"/>
              <w:spacing w:before="0" w:after="283"/>
              <w:rPr/>
            </w:pPr>
            <w:r>
              <w:rPr/>
              <w:t> </w:t>
            </w:r>
          </w:p>
        </w:tc>
        <w:tc>
          <w:tcPr>
            <w:tcW w:w="943" w:type="dxa"/>
            <w:tcBorders/>
            <w:shd w:fill="CCEEFF" w:val="clear"/>
            <w:vAlign w:val="center"/>
          </w:tcPr>
          <w:p>
            <w:pPr>
              <w:pStyle w:val="TableContents"/>
              <w:spacing w:before="0" w:after="283"/>
              <w:jc w:val="right"/>
              <w:rPr/>
            </w:pPr>
            <w:r>
              <w:rPr/>
              <w:t>1,813</w:t>
            </w:r>
          </w:p>
        </w:tc>
        <w:tc>
          <w:tcPr>
            <w:tcW w:w="70" w:type="dxa"/>
            <w:tcBorders/>
            <w:shd w:fill="CCEEFF" w:val="clear"/>
            <w:vAlign w:val="center"/>
          </w:tcPr>
          <w:p>
            <w:pPr>
              <w:pStyle w:val="TableContents"/>
              <w:spacing w:before="0" w:after="283"/>
              <w:rPr/>
            </w:pPr>
            <w:r>
              <w:rPr/>
              <w:t> </w:t>
            </w:r>
          </w:p>
        </w:tc>
        <w:tc>
          <w:tcPr>
            <w:tcW w:w="141" w:type="dxa"/>
            <w:tcBorders/>
            <w:shd w:fill="CCEEFF" w:val="clear"/>
            <w:vAlign w:val="center"/>
          </w:tcPr>
          <w:p>
            <w:pPr>
              <w:pStyle w:val="TableContents"/>
              <w:spacing w:before="0" w:after="283"/>
              <w:rPr/>
            </w:pPr>
            <w:r>
              <w:rPr/>
              <w:t>  </w:t>
            </w:r>
          </w:p>
        </w:tc>
        <w:tc>
          <w:tcPr>
            <w:tcW w:w="70" w:type="dxa"/>
            <w:tcBorders/>
            <w:shd w:fill="CCEEFF" w:val="clear"/>
            <w:vAlign w:val="center"/>
          </w:tcPr>
          <w:p>
            <w:pPr>
              <w:pStyle w:val="TableContents"/>
              <w:spacing w:before="0" w:after="283"/>
              <w:rPr>
                <w:sz w:val="4"/>
                <w:szCs w:val="4"/>
              </w:rPr>
            </w:pPr>
            <w:r>
              <w:rPr>
                <w:sz w:val="4"/>
                <w:szCs w:val="4"/>
              </w:rPr>
            </w:r>
          </w:p>
        </w:tc>
        <w:tc>
          <w:tcPr>
            <w:tcW w:w="518" w:type="dxa"/>
            <w:tcBorders/>
            <w:shd w:fill="CCEEFF" w:val="clear"/>
            <w:vAlign w:val="center"/>
          </w:tcPr>
          <w:p>
            <w:pPr>
              <w:pStyle w:val="TableContents"/>
              <w:spacing w:before="0" w:after="283"/>
              <w:rPr>
                <w:sz w:val="4"/>
                <w:szCs w:val="4"/>
              </w:rPr>
            </w:pPr>
            <w:r>
              <w:rPr>
                <w:sz w:val="4"/>
                <w:szCs w:val="4"/>
              </w:rPr>
            </w:r>
          </w:p>
        </w:tc>
        <w:tc>
          <w:tcPr>
            <w:tcW w:w="290" w:type="dxa"/>
            <w:tcBorders/>
            <w:shd w:fill="CCEEFF" w:val="clear"/>
            <w:vAlign w:val="center"/>
          </w:tcPr>
          <w:p>
            <w:pPr>
              <w:pStyle w:val="TableContents"/>
              <w:spacing w:before="0" w:after="283"/>
              <w:rPr>
                <w:sz w:val="4"/>
                <w:szCs w:val="4"/>
              </w:rPr>
            </w:pPr>
            <w:r>
              <w:rPr>
                <w:sz w:val="4"/>
                <w:szCs w:val="4"/>
              </w:rPr>
            </w:r>
          </w:p>
        </w:tc>
      </w:tr>
      <w:tr>
        <w:trPr/>
        <w:tc>
          <w:tcPr>
            <w:tcW w:w="482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Impairment of long-lived assets and lease termination costs</w:t>
            </w:r>
          </w:p>
        </w:tc>
        <w:tc>
          <w:tcPr>
            <w:tcW w:w="120" w:type="dxa"/>
            <w:tcBorders/>
            <w:shd w:fill="auto" w:val="clear"/>
            <w:vAlign w:val="center"/>
          </w:tcPr>
          <w:p>
            <w:pPr>
              <w:pStyle w:val="TableContents"/>
              <w:spacing w:before="0" w:after="283"/>
              <w:rPr/>
            </w:pPr>
            <w:r>
              <w:rPr/>
              <w:t>  </w:t>
            </w:r>
          </w:p>
        </w:tc>
        <w:tc>
          <w:tcPr>
            <w:tcW w:w="143" w:type="dxa"/>
            <w:tcBorders/>
            <w:shd w:fill="auto" w:val="clear"/>
            <w:vAlign w:val="center"/>
          </w:tcPr>
          <w:p>
            <w:pPr>
              <w:pStyle w:val="TableContents"/>
              <w:spacing w:before="0" w:after="283"/>
              <w:rPr/>
            </w:pPr>
            <w:r>
              <w:rPr/>
              <w:t> </w:t>
            </w:r>
          </w:p>
        </w:tc>
        <w:tc>
          <w:tcPr>
            <w:tcW w:w="896" w:type="dxa"/>
            <w:tcBorders/>
            <w:shd w:fill="auto" w:val="clear"/>
            <w:vAlign w:val="center"/>
          </w:tcPr>
          <w:p>
            <w:pPr>
              <w:pStyle w:val="TableContents"/>
              <w:spacing w:before="0" w:after="283"/>
              <w:jc w:val="right"/>
              <w:rPr/>
            </w:pPr>
            <w:r>
              <w:rPr/>
              <w:t>13,727</w:t>
            </w:r>
          </w:p>
        </w:tc>
        <w:tc>
          <w:tcPr>
            <w:tcW w:w="158" w:type="dxa"/>
            <w:tcBorders/>
            <w:shd w:fill="auto" w:val="clear"/>
            <w:vAlign w:val="center"/>
          </w:tcPr>
          <w:p>
            <w:pPr>
              <w:pStyle w:val="TableContents"/>
              <w:spacing w:before="0" w:after="283"/>
              <w:rPr/>
            </w:pPr>
            <w:r>
              <w:rPr/>
              <w:t> </w:t>
            </w:r>
          </w:p>
        </w:tc>
        <w:tc>
          <w:tcPr>
            <w:tcW w:w="122" w:type="dxa"/>
            <w:tcBorders/>
            <w:shd w:fill="auto" w:val="clear"/>
            <w:vAlign w:val="center"/>
          </w:tcPr>
          <w:p>
            <w:pPr>
              <w:pStyle w:val="TableContents"/>
              <w:spacing w:before="0" w:after="283"/>
              <w:rPr/>
            </w:pPr>
            <w:r>
              <w:rPr/>
              <w:t>  </w:t>
            </w:r>
          </w:p>
        </w:tc>
        <w:tc>
          <w:tcPr>
            <w:tcW w:w="61" w:type="dxa"/>
            <w:tcBorders/>
            <w:shd w:fill="auto" w:val="clear"/>
            <w:vAlign w:val="center"/>
          </w:tcPr>
          <w:p>
            <w:pPr>
              <w:pStyle w:val="TableContents"/>
              <w:spacing w:before="0" w:after="283"/>
              <w:rPr>
                <w:sz w:val="4"/>
                <w:szCs w:val="4"/>
              </w:rPr>
            </w:pPr>
            <w:r>
              <w:rPr>
                <w:sz w:val="4"/>
                <w:szCs w:val="4"/>
              </w:rPr>
            </w:r>
          </w:p>
        </w:tc>
        <w:tc>
          <w:tcPr>
            <w:tcW w:w="527"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65" w:type="dxa"/>
            <w:tcBorders/>
            <w:shd w:fill="auto" w:val="clear"/>
            <w:vAlign w:val="center"/>
          </w:tcPr>
          <w:p>
            <w:pPr>
              <w:pStyle w:val="TableContents"/>
              <w:spacing w:before="0" w:after="283"/>
              <w:rPr/>
            </w:pPr>
            <w:r>
              <w:rPr/>
              <w:t> </w:t>
            </w:r>
          </w:p>
        </w:tc>
        <w:tc>
          <w:tcPr>
            <w:tcW w:w="943" w:type="dxa"/>
            <w:tcBorders/>
            <w:shd w:fill="auto" w:val="clear"/>
            <w:vAlign w:val="center"/>
          </w:tcPr>
          <w:p>
            <w:pPr>
              <w:pStyle w:val="TableContents"/>
              <w:spacing w:before="0" w:after="283"/>
              <w:jc w:val="right"/>
              <w:rPr/>
            </w:pPr>
            <w:r>
              <w:rPr/>
              <w:t>—  </w:t>
            </w:r>
          </w:p>
        </w:tc>
        <w:tc>
          <w:tcPr>
            <w:tcW w:w="70" w:type="dxa"/>
            <w:tcBorders/>
            <w:shd w:fill="auto" w:val="clear"/>
            <w:vAlign w:val="center"/>
          </w:tcPr>
          <w:p>
            <w:pPr>
              <w:pStyle w:val="TableContents"/>
              <w:spacing w:before="0" w:after="283"/>
              <w:rPr/>
            </w:pPr>
            <w:r>
              <w:rPr/>
              <w:t> </w:t>
            </w:r>
          </w:p>
        </w:tc>
        <w:tc>
          <w:tcPr>
            <w:tcW w:w="141" w:type="dxa"/>
            <w:tcBorders/>
            <w:shd w:fill="auto" w:val="clear"/>
            <w:vAlign w:val="center"/>
          </w:tcPr>
          <w:p>
            <w:pPr>
              <w:pStyle w:val="TableContents"/>
              <w:spacing w:before="0" w:after="283"/>
              <w:rPr/>
            </w:pPr>
            <w:r>
              <w:rPr/>
              <w:t>  </w:t>
            </w:r>
          </w:p>
        </w:tc>
        <w:tc>
          <w:tcPr>
            <w:tcW w:w="70" w:type="dxa"/>
            <w:tcBorders/>
            <w:shd w:fill="auto" w:val="clear"/>
            <w:vAlign w:val="center"/>
          </w:tcPr>
          <w:p>
            <w:pPr>
              <w:pStyle w:val="TableContents"/>
              <w:spacing w:before="0" w:after="283"/>
              <w:rPr>
                <w:sz w:val="4"/>
                <w:szCs w:val="4"/>
              </w:rPr>
            </w:pPr>
            <w:r>
              <w:rPr>
                <w:sz w:val="4"/>
                <w:szCs w:val="4"/>
              </w:rPr>
            </w:r>
          </w:p>
        </w:tc>
        <w:tc>
          <w:tcPr>
            <w:tcW w:w="518"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r>
      <w:tr>
        <w:trPr/>
        <w:tc>
          <w:tcPr>
            <w:tcW w:w="482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Share-based compensation</w:t>
            </w:r>
          </w:p>
        </w:tc>
        <w:tc>
          <w:tcPr>
            <w:tcW w:w="120" w:type="dxa"/>
            <w:tcBorders/>
            <w:shd w:fill="CCEEFF" w:val="clear"/>
            <w:vAlign w:val="center"/>
          </w:tcPr>
          <w:p>
            <w:pPr>
              <w:pStyle w:val="TableContents"/>
              <w:spacing w:before="0" w:after="283"/>
              <w:rPr/>
            </w:pPr>
            <w:r>
              <w:rPr/>
              <w:t>  </w:t>
            </w:r>
          </w:p>
        </w:tc>
        <w:tc>
          <w:tcPr>
            <w:tcW w:w="143" w:type="dxa"/>
            <w:tcBorders/>
            <w:shd w:fill="CCEEFF" w:val="clear"/>
            <w:vAlign w:val="center"/>
          </w:tcPr>
          <w:p>
            <w:pPr>
              <w:pStyle w:val="TableContents"/>
              <w:spacing w:before="0" w:after="283"/>
              <w:rPr/>
            </w:pPr>
            <w:r>
              <w:rPr/>
              <w:t> </w:t>
            </w:r>
          </w:p>
        </w:tc>
        <w:tc>
          <w:tcPr>
            <w:tcW w:w="896" w:type="dxa"/>
            <w:tcBorders/>
            <w:shd w:fill="CCEEFF" w:val="clear"/>
            <w:vAlign w:val="center"/>
          </w:tcPr>
          <w:p>
            <w:pPr>
              <w:pStyle w:val="TableContents"/>
              <w:spacing w:before="0" w:after="283"/>
              <w:jc w:val="right"/>
              <w:rPr/>
            </w:pPr>
            <w:r>
              <w:rPr/>
              <w:t>6,985</w:t>
            </w:r>
          </w:p>
        </w:tc>
        <w:tc>
          <w:tcPr>
            <w:tcW w:w="158" w:type="dxa"/>
            <w:tcBorders/>
            <w:shd w:fill="CCEEFF" w:val="clear"/>
            <w:vAlign w:val="center"/>
          </w:tcPr>
          <w:p>
            <w:pPr>
              <w:pStyle w:val="TableContents"/>
              <w:spacing w:before="0" w:after="283"/>
              <w:rPr/>
            </w:pPr>
            <w:r>
              <w:rPr/>
              <w:t> </w:t>
            </w:r>
          </w:p>
        </w:tc>
        <w:tc>
          <w:tcPr>
            <w:tcW w:w="122" w:type="dxa"/>
            <w:tcBorders/>
            <w:shd w:fill="CCEEFF" w:val="clear"/>
            <w:vAlign w:val="center"/>
          </w:tcPr>
          <w:p>
            <w:pPr>
              <w:pStyle w:val="TableContents"/>
              <w:spacing w:before="0" w:after="283"/>
              <w:rPr/>
            </w:pPr>
            <w:r>
              <w:rPr/>
              <w:t>  </w:t>
            </w:r>
          </w:p>
        </w:tc>
        <w:tc>
          <w:tcPr>
            <w:tcW w:w="61" w:type="dxa"/>
            <w:tcBorders/>
            <w:shd w:fill="CCEEFF" w:val="clear"/>
            <w:vAlign w:val="center"/>
          </w:tcPr>
          <w:p>
            <w:pPr>
              <w:pStyle w:val="TableContents"/>
              <w:spacing w:before="0" w:after="283"/>
              <w:rPr>
                <w:sz w:val="4"/>
                <w:szCs w:val="4"/>
              </w:rPr>
            </w:pPr>
            <w:r>
              <w:rPr>
                <w:sz w:val="4"/>
                <w:szCs w:val="4"/>
              </w:rPr>
            </w:r>
          </w:p>
        </w:tc>
        <w:tc>
          <w:tcPr>
            <w:tcW w:w="527" w:type="dxa"/>
            <w:tcBorders/>
            <w:shd w:fill="CCEEFF" w:val="clear"/>
            <w:vAlign w:val="center"/>
          </w:tcPr>
          <w:p>
            <w:pPr>
              <w:pStyle w:val="TableContents"/>
              <w:spacing w:before="0" w:after="283"/>
              <w:rPr>
                <w:sz w:val="4"/>
                <w:szCs w:val="4"/>
              </w:rPr>
            </w:pPr>
            <w:r>
              <w:rPr>
                <w:sz w:val="4"/>
                <w:szCs w:val="4"/>
              </w:rPr>
            </w:r>
          </w:p>
        </w:tc>
        <w:tc>
          <w:tcPr>
            <w:tcW w:w="275"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pPr>
            <w:r>
              <w:rPr/>
              <w:t> </w:t>
            </w:r>
          </w:p>
        </w:tc>
        <w:tc>
          <w:tcPr>
            <w:tcW w:w="165" w:type="dxa"/>
            <w:tcBorders/>
            <w:shd w:fill="CCEEFF" w:val="clear"/>
            <w:vAlign w:val="center"/>
          </w:tcPr>
          <w:p>
            <w:pPr>
              <w:pStyle w:val="TableContents"/>
              <w:spacing w:before="0" w:after="283"/>
              <w:rPr/>
            </w:pPr>
            <w:r>
              <w:rPr/>
              <w:t> </w:t>
            </w:r>
          </w:p>
        </w:tc>
        <w:tc>
          <w:tcPr>
            <w:tcW w:w="943" w:type="dxa"/>
            <w:tcBorders/>
            <w:shd w:fill="CCEEFF" w:val="clear"/>
            <w:vAlign w:val="center"/>
          </w:tcPr>
          <w:p>
            <w:pPr>
              <w:pStyle w:val="TableContents"/>
              <w:spacing w:before="0" w:after="283"/>
              <w:jc w:val="right"/>
              <w:rPr/>
            </w:pPr>
            <w:r>
              <w:rPr/>
              <w:t>6,857</w:t>
            </w:r>
          </w:p>
        </w:tc>
        <w:tc>
          <w:tcPr>
            <w:tcW w:w="70" w:type="dxa"/>
            <w:tcBorders/>
            <w:shd w:fill="CCEEFF" w:val="clear"/>
            <w:vAlign w:val="center"/>
          </w:tcPr>
          <w:p>
            <w:pPr>
              <w:pStyle w:val="TableContents"/>
              <w:spacing w:before="0" w:after="283"/>
              <w:rPr/>
            </w:pPr>
            <w:r>
              <w:rPr/>
              <w:t> </w:t>
            </w:r>
          </w:p>
        </w:tc>
        <w:tc>
          <w:tcPr>
            <w:tcW w:w="141" w:type="dxa"/>
            <w:tcBorders/>
            <w:shd w:fill="CCEEFF" w:val="clear"/>
            <w:vAlign w:val="center"/>
          </w:tcPr>
          <w:p>
            <w:pPr>
              <w:pStyle w:val="TableContents"/>
              <w:spacing w:before="0" w:after="283"/>
              <w:rPr/>
            </w:pPr>
            <w:r>
              <w:rPr/>
              <w:t>  </w:t>
            </w:r>
          </w:p>
        </w:tc>
        <w:tc>
          <w:tcPr>
            <w:tcW w:w="70" w:type="dxa"/>
            <w:tcBorders/>
            <w:shd w:fill="CCEEFF" w:val="clear"/>
            <w:vAlign w:val="center"/>
          </w:tcPr>
          <w:p>
            <w:pPr>
              <w:pStyle w:val="TableContents"/>
              <w:spacing w:before="0" w:after="283"/>
              <w:rPr>
                <w:sz w:val="4"/>
                <w:szCs w:val="4"/>
              </w:rPr>
            </w:pPr>
            <w:r>
              <w:rPr>
                <w:sz w:val="4"/>
                <w:szCs w:val="4"/>
              </w:rPr>
            </w:r>
          </w:p>
        </w:tc>
        <w:tc>
          <w:tcPr>
            <w:tcW w:w="518" w:type="dxa"/>
            <w:tcBorders/>
            <w:shd w:fill="CCEEFF" w:val="clear"/>
            <w:vAlign w:val="center"/>
          </w:tcPr>
          <w:p>
            <w:pPr>
              <w:pStyle w:val="TableContents"/>
              <w:spacing w:before="0" w:after="283"/>
              <w:rPr>
                <w:sz w:val="4"/>
                <w:szCs w:val="4"/>
              </w:rPr>
            </w:pPr>
            <w:r>
              <w:rPr>
                <w:sz w:val="4"/>
                <w:szCs w:val="4"/>
              </w:rPr>
            </w:r>
          </w:p>
        </w:tc>
        <w:tc>
          <w:tcPr>
            <w:tcW w:w="290" w:type="dxa"/>
            <w:tcBorders/>
            <w:shd w:fill="CCEEFF" w:val="clear"/>
            <w:vAlign w:val="center"/>
          </w:tcPr>
          <w:p>
            <w:pPr>
              <w:pStyle w:val="TableContents"/>
              <w:spacing w:before="0" w:after="283"/>
              <w:rPr>
                <w:sz w:val="4"/>
                <w:szCs w:val="4"/>
              </w:rPr>
            </w:pPr>
            <w:r>
              <w:rPr>
                <w:sz w:val="4"/>
                <w:szCs w:val="4"/>
              </w:rPr>
            </w:r>
          </w:p>
        </w:tc>
      </w:tr>
      <w:tr>
        <w:trPr/>
        <w:tc>
          <w:tcPr>
            <w:tcW w:w="482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Pre-opening</w:t>
            </w:r>
          </w:p>
          <w:p>
            <w:pPr>
              <w:pStyle w:val="TableContents"/>
              <w:spacing w:before="0" w:after="0"/>
              <w:rPr>
                <w:rFonts w:ascii="Times New Roman" w:hAnsi="Times New Roman"/>
                <w:sz w:val="20"/>
              </w:rPr>
            </w:pPr>
            <w:r>
              <w:rPr>
                <w:rFonts w:ascii="Times New Roman" w:hAnsi="Times New Roman"/>
                <w:sz w:val="20"/>
              </w:rPr>
              <w:t>costs</w:t>
            </w:r>
          </w:p>
        </w:tc>
        <w:tc>
          <w:tcPr>
            <w:tcW w:w="120" w:type="dxa"/>
            <w:tcBorders/>
            <w:shd w:fill="auto" w:val="clear"/>
            <w:vAlign w:val="center"/>
          </w:tcPr>
          <w:p>
            <w:pPr>
              <w:pStyle w:val="TableContents"/>
              <w:spacing w:before="0" w:after="283"/>
              <w:rPr/>
            </w:pPr>
            <w:r>
              <w:rPr/>
              <w:t>  </w:t>
            </w:r>
          </w:p>
        </w:tc>
        <w:tc>
          <w:tcPr>
            <w:tcW w:w="143" w:type="dxa"/>
            <w:tcBorders/>
            <w:shd w:fill="auto" w:val="clear"/>
            <w:vAlign w:val="center"/>
          </w:tcPr>
          <w:p>
            <w:pPr>
              <w:pStyle w:val="TableContents"/>
              <w:spacing w:before="0" w:after="283"/>
              <w:rPr/>
            </w:pPr>
            <w:r>
              <w:rPr/>
              <w:t> </w:t>
            </w:r>
          </w:p>
        </w:tc>
        <w:tc>
          <w:tcPr>
            <w:tcW w:w="896" w:type="dxa"/>
            <w:tcBorders/>
            <w:shd w:fill="auto" w:val="clear"/>
            <w:vAlign w:val="center"/>
          </w:tcPr>
          <w:p>
            <w:pPr>
              <w:pStyle w:val="TableContents"/>
              <w:spacing w:before="0" w:after="283"/>
              <w:jc w:val="right"/>
              <w:rPr/>
            </w:pPr>
            <w:r>
              <w:rPr/>
              <w:t>11,276</w:t>
            </w:r>
          </w:p>
        </w:tc>
        <w:tc>
          <w:tcPr>
            <w:tcW w:w="158" w:type="dxa"/>
            <w:tcBorders/>
            <w:shd w:fill="auto" w:val="clear"/>
            <w:vAlign w:val="center"/>
          </w:tcPr>
          <w:p>
            <w:pPr>
              <w:pStyle w:val="TableContents"/>
              <w:spacing w:before="0" w:after="283"/>
              <w:rPr/>
            </w:pPr>
            <w:r>
              <w:rPr/>
              <w:t> </w:t>
            </w:r>
          </w:p>
        </w:tc>
        <w:tc>
          <w:tcPr>
            <w:tcW w:w="122" w:type="dxa"/>
            <w:tcBorders/>
            <w:shd w:fill="auto" w:val="clear"/>
            <w:vAlign w:val="center"/>
          </w:tcPr>
          <w:p>
            <w:pPr>
              <w:pStyle w:val="TableContents"/>
              <w:spacing w:before="0" w:after="283"/>
              <w:rPr/>
            </w:pPr>
            <w:r>
              <w:rPr/>
              <w:t>  </w:t>
            </w:r>
          </w:p>
        </w:tc>
        <w:tc>
          <w:tcPr>
            <w:tcW w:w="61" w:type="dxa"/>
            <w:tcBorders/>
            <w:shd w:fill="auto" w:val="clear"/>
            <w:vAlign w:val="center"/>
          </w:tcPr>
          <w:p>
            <w:pPr>
              <w:pStyle w:val="TableContents"/>
              <w:spacing w:before="0" w:after="283"/>
              <w:rPr>
                <w:sz w:val="4"/>
                <w:szCs w:val="4"/>
              </w:rPr>
            </w:pPr>
            <w:r>
              <w:rPr>
                <w:sz w:val="4"/>
                <w:szCs w:val="4"/>
              </w:rPr>
            </w:r>
          </w:p>
        </w:tc>
        <w:tc>
          <w:tcPr>
            <w:tcW w:w="527"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65" w:type="dxa"/>
            <w:tcBorders/>
            <w:shd w:fill="auto" w:val="clear"/>
            <w:vAlign w:val="center"/>
          </w:tcPr>
          <w:p>
            <w:pPr>
              <w:pStyle w:val="TableContents"/>
              <w:spacing w:before="0" w:after="283"/>
              <w:rPr/>
            </w:pPr>
            <w:r>
              <w:rPr/>
              <w:t> </w:t>
            </w:r>
          </w:p>
        </w:tc>
        <w:tc>
          <w:tcPr>
            <w:tcW w:w="943" w:type="dxa"/>
            <w:tcBorders/>
            <w:shd w:fill="auto" w:val="clear"/>
            <w:vAlign w:val="center"/>
          </w:tcPr>
          <w:p>
            <w:pPr>
              <w:pStyle w:val="TableContents"/>
              <w:spacing w:before="0" w:after="283"/>
              <w:jc w:val="right"/>
              <w:rPr/>
            </w:pPr>
            <w:r>
              <w:rPr/>
              <w:t>18,971</w:t>
            </w:r>
          </w:p>
        </w:tc>
        <w:tc>
          <w:tcPr>
            <w:tcW w:w="70" w:type="dxa"/>
            <w:tcBorders/>
            <w:shd w:fill="auto" w:val="clear"/>
            <w:vAlign w:val="center"/>
          </w:tcPr>
          <w:p>
            <w:pPr>
              <w:pStyle w:val="TableContents"/>
              <w:spacing w:before="0" w:after="283"/>
              <w:rPr/>
            </w:pPr>
            <w:r>
              <w:rPr/>
              <w:t> </w:t>
            </w:r>
          </w:p>
        </w:tc>
        <w:tc>
          <w:tcPr>
            <w:tcW w:w="141" w:type="dxa"/>
            <w:tcBorders/>
            <w:shd w:fill="auto" w:val="clear"/>
            <w:vAlign w:val="center"/>
          </w:tcPr>
          <w:p>
            <w:pPr>
              <w:pStyle w:val="TableContents"/>
              <w:spacing w:before="0" w:after="283"/>
              <w:rPr/>
            </w:pPr>
            <w:r>
              <w:rPr/>
              <w:t>  </w:t>
            </w:r>
          </w:p>
        </w:tc>
        <w:tc>
          <w:tcPr>
            <w:tcW w:w="70" w:type="dxa"/>
            <w:tcBorders/>
            <w:shd w:fill="auto" w:val="clear"/>
            <w:vAlign w:val="center"/>
          </w:tcPr>
          <w:p>
            <w:pPr>
              <w:pStyle w:val="TableContents"/>
              <w:spacing w:before="0" w:after="283"/>
              <w:rPr>
                <w:sz w:val="4"/>
                <w:szCs w:val="4"/>
              </w:rPr>
            </w:pPr>
            <w:r>
              <w:rPr>
                <w:sz w:val="4"/>
                <w:szCs w:val="4"/>
              </w:rPr>
            </w:r>
          </w:p>
        </w:tc>
        <w:tc>
          <w:tcPr>
            <w:tcW w:w="518"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r>
      <w:tr>
        <w:trPr/>
        <w:tc>
          <w:tcPr>
            <w:tcW w:w="482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 xml:space="preserve">Other costs </w:t>
            </w:r>
          </w:p>
          <w:p>
            <w:pPr>
              <w:pStyle w:val="TableContents"/>
              <w:spacing w:before="0" w:after="0"/>
              <w:rPr>
                <w:rFonts w:ascii="Times New Roman" w:hAnsi="Times New Roman"/>
                <w:spacing w:val="0"/>
                <w:sz w:val="14"/>
              </w:rPr>
            </w:pPr>
            <w:r>
              <w:rPr>
                <w:rFonts w:ascii="Times New Roman" w:hAnsi="Times New Roman"/>
                <w:spacing w:val="0"/>
                <w:sz w:val="14"/>
              </w:rPr>
              <w:t>(1)</w:t>
            </w:r>
          </w:p>
        </w:tc>
        <w:tc>
          <w:tcPr>
            <w:tcW w:w="120" w:type="dxa"/>
            <w:tcBorders/>
            <w:shd w:fill="CCEEFF" w:val="clear"/>
            <w:vAlign w:val="center"/>
          </w:tcPr>
          <w:p>
            <w:pPr>
              <w:pStyle w:val="TableContents"/>
              <w:spacing w:before="0" w:after="283"/>
              <w:rPr/>
            </w:pPr>
            <w:r>
              <w:rPr/>
              <w:t>  </w:t>
            </w:r>
          </w:p>
        </w:tc>
        <w:tc>
          <w:tcPr>
            <w:tcW w:w="143" w:type="dxa"/>
            <w:tcBorders/>
            <w:shd w:fill="CCEEFF" w:val="clear"/>
            <w:vAlign w:val="center"/>
          </w:tcPr>
          <w:p>
            <w:pPr>
              <w:pStyle w:val="TableContents"/>
              <w:spacing w:before="0" w:after="283"/>
              <w:rPr/>
            </w:pPr>
            <w:r>
              <w:rPr/>
              <w:t> </w:t>
            </w:r>
          </w:p>
        </w:tc>
        <w:tc>
          <w:tcPr>
            <w:tcW w:w="896" w:type="dxa"/>
            <w:tcBorders/>
            <w:shd w:fill="CCEEFF" w:val="clear"/>
            <w:vAlign w:val="center"/>
          </w:tcPr>
          <w:p>
            <w:pPr>
              <w:pStyle w:val="TableContents"/>
              <w:spacing w:before="0" w:after="283"/>
              <w:jc w:val="right"/>
              <w:rPr/>
            </w:pPr>
            <w:r>
              <w:rPr/>
              <w:t>(15</w:t>
            </w:r>
          </w:p>
        </w:tc>
        <w:tc>
          <w:tcPr>
            <w:tcW w:w="158" w:type="dxa"/>
            <w:tcBorders/>
            <w:shd w:fill="CCEEFF" w:val="clear"/>
            <w:vAlign w:val="center"/>
          </w:tcPr>
          <w:p>
            <w:pPr>
              <w:pStyle w:val="TableContents"/>
              <w:spacing w:before="0" w:after="283"/>
              <w:rPr/>
            </w:pPr>
            <w:r>
              <w:rPr/>
              <w:t>) </w:t>
            </w:r>
          </w:p>
        </w:tc>
        <w:tc>
          <w:tcPr>
            <w:tcW w:w="122" w:type="dxa"/>
            <w:tcBorders/>
            <w:shd w:fill="CCEEFF" w:val="clear"/>
            <w:vAlign w:val="center"/>
          </w:tcPr>
          <w:p>
            <w:pPr>
              <w:pStyle w:val="TableContents"/>
              <w:spacing w:before="0" w:after="283"/>
              <w:rPr/>
            </w:pPr>
            <w:r>
              <w:rPr/>
              <w:t>  </w:t>
            </w:r>
          </w:p>
        </w:tc>
        <w:tc>
          <w:tcPr>
            <w:tcW w:w="61" w:type="dxa"/>
            <w:tcBorders/>
            <w:shd w:fill="CCEEFF" w:val="clear"/>
            <w:vAlign w:val="center"/>
          </w:tcPr>
          <w:p>
            <w:pPr>
              <w:pStyle w:val="TableContents"/>
              <w:spacing w:before="0" w:after="283"/>
              <w:rPr>
                <w:sz w:val="4"/>
                <w:szCs w:val="4"/>
              </w:rPr>
            </w:pPr>
            <w:r>
              <w:rPr>
                <w:sz w:val="4"/>
                <w:szCs w:val="4"/>
              </w:rPr>
            </w:r>
          </w:p>
        </w:tc>
        <w:tc>
          <w:tcPr>
            <w:tcW w:w="527" w:type="dxa"/>
            <w:tcBorders/>
            <w:shd w:fill="CCEEFF" w:val="clear"/>
            <w:vAlign w:val="center"/>
          </w:tcPr>
          <w:p>
            <w:pPr>
              <w:pStyle w:val="TableContents"/>
              <w:spacing w:before="0" w:after="283"/>
              <w:rPr>
                <w:sz w:val="4"/>
                <w:szCs w:val="4"/>
              </w:rPr>
            </w:pPr>
            <w:r>
              <w:rPr>
                <w:sz w:val="4"/>
                <w:szCs w:val="4"/>
              </w:rPr>
            </w:r>
          </w:p>
        </w:tc>
        <w:tc>
          <w:tcPr>
            <w:tcW w:w="275"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pPr>
            <w:r>
              <w:rPr/>
              <w:t> </w:t>
            </w:r>
          </w:p>
        </w:tc>
        <w:tc>
          <w:tcPr>
            <w:tcW w:w="165" w:type="dxa"/>
            <w:tcBorders/>
            <w:shd w:fill="CCEEFF" w:val="clear"/>
            <w:vAlign w:val="center"/>
          </w:tcPr>
          <w:p>
            <w:pPr>
              <w:pStyle w:val="TableContents"/>
              <w:spacing w:before="0" w:after="283"/>
              <w:rPr/>
            </w:pPr>
            <w:r>
              <w:rPr/>
              <w:t> </w:t>
            </w:r>
          </w:p>
        </w:tc>
        <w:tc>
          <w:tcPr>
            <w:tcW w:w="943" w:type="dxa"/>
            <w:tcBorders/>
            <w:shd w:fill="CCEEFF" w:val="clear"/>
            <w:vAlign w:val="center"/>
          </w:tcPr>
          <w:p>
            <w:pPr>
              <w:pStyle w:val="TableContents"/>
              <w:spacing w:before="0" w:after="283"/>
              <w:jc w:val="right"/>
              <w:rPr/>
            </w:pPr>
            <w:r>
              <w:rPr/>
              <w:t>42</w:t>
            </w:r>
          </w:p>
        </w:tc>
        <w:tc>
          <w:tcPr>
            <w:tcW w:w="70" w:type="dxa"/>
            <w:tcBorders/>
            <w:shd w:fill="CCEEFF" w:val="clear"/>
            <w:vAlign w:val="center"/>
          </w:tcPr>
          <w:p>
            <w:pPr>
              <w:pStyle w:val="TableContents"/>
              <w:spacing w:before="0" w:after="283"/>
              <w:rPr/>
            </w:pPr>
            <w:r>
              <w:rPr/>
              <w:t> </w:t>
            </w:r>
          </w:p>
        </w:tc>
        <w:tc>
          <w:tcPr>
            <w:tcW w:w="141" w:type="dxa"/>
            <w:tcBorders/>
            <w:shd w:fill="CCEEFF" w:val="clear"/>
            <w:vAlign w:val="center"/>
          </w:tcPr>
          <w:p>
            <w:pPr>
              <w:pStyle w:val="TableContents"/>
              <w:spacing w:before="0" w:after="283"/>
              <w:rPr/>
            </w:pPr>
            <w:r>
              <w:rPr/>
              <w:t>  </w:t>
            </w:r>
          </w:p>
        </w:tc>
        <w:tc>
          <w:tcPr>
            <w:tcW w:w="70" w:type="dxa"/>
            <w:tcBorders/>
            <w:shd w:fill="CCEEFF" w:val="clear"/>
            <w:vAlign w:val="center"/>
          </w:tcPr>
          <w:p>
            <w:pPr>
              <w:pStyle w:val="TableContents"/>
              <w:spacing w:before="0" w:after="283"/>
              <w:rPr>
                <w:sz w:val="4"/>
                <w:szCs w:val="4"/>
              </w:rPr>
            </w:pPr>
            <w:r>
              <w:rPr>
                <w:sz w:val="4"/>
                <w:szCs w:val="4"/>
              </w:rPr>
            </w:r>
          </w:p>
        </w:tc>
        <w:tc>
          <w:tcPr>
            <w:tcW w:w="518" w:type="dxa"/>
            <w:tcBorders/>
            <w:shd w:fill="CCEEFF" w:val="clear"/>
            <w:vAlign w:val="center"/>
          </w:tcPr>
          <w:p>
            <w:pPr>
              <w:pStyle w:val="TableContents"/>
              <w:spacing w:before="0" w:after="283"/>
              <w:rPr>
                <w:sz w:val="4"/>
                <w:szCs w:val="4"/>
              </w:rPr>
            </w:pPr>
            <w:r>
              <w:rPr>
                <w:sz w:val="4"/>
                <w:szCs w:val="4"/>
              </w:rPr>
            </w:r>
          </w:p>
        </w:tc>
        <w:tc>
          <w:tcPr>
            <w:tcW w:w="290" w:type="dxa"/>
            <w:tcBorders/>
            <w:shd w:fill="CCEEFF" w:val="clear"/>
            <w:vAlign w:val="center"/>
          </w:tcPr>
          <w:p>
            <w:pPr>
              <w:pStyle w:val="TableContents"/>
              <w:spacing w:before="0" w:after="283"/>
              <w:rPr>
                <w:sz w:val="4"/>
                <w:szCs w:val="4"/>
              </w:rPr>
            </w:pPr>
            <w:r>
              <w:rPr>
                <w:sz w:val="4"/>
                <w:szCs w:val="4"/>
              </w:rPr>
            </w:r>
          </w:p>
        </w:tc>
      </w:tr>
      <w:tr>
        <w:trPr/>
        <w:tc>
          <w:tcPr>
            <w:tcW w:w="482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43" w:type="dxa"/>
            <w:tcBorders/>
            <w:shd w:fill="auto" w:val="clear"/>
            <w:vAlign w:val="center"/>
          </w:tcPr>
          <w:p>
            <w:pPr>
              <w:pStyle w:val="TableContents"/>
              <w:spacing w:before="0" w:after="0"/>
              <w:rPr>
                <w:bdr w:val="single" w:sz="2" w:space="1" w:color="000000"/>
              </w:rPr>
            </w:pPr>
            <w:r>
              <w:rPr>
                <w:bdr w:val="single" w:sz="2" w:space="1" w:color="000000"/>
              </w:rPr>
              <w:t> </w:t>
            </w:r>
          </w:p>
        </w:tc>
        <w:tc>
          <w:tcPr>
            <w:tcW w:w="896" w:type="dxa"/>
            <w:tcBorders/>
            <w:shd w:fill="auto" w:val="clear"/>
            <w:vAlign w:val="center"/>
          </w:tcPr>
          <w:p>
            <w:pPr>
              <w:pStyle w:val="TableContents"/>
              <w:spacing w:before="0" w:after="0"/>
              <w:rPr>
                <w:bdr w:val="single" w:sz="2" w:space="1" w:color="000000"/>
              </w:rPr>
            </w:pPr>
            <w:r>
              <w:rPr>
                <w:bdr w:val="single" w:sz="2" w:space="1" w:color="000000"/>
              </w:rPr>
              <w:t> </w:t>
            </w:r>
          </w:p>
        </w:tc>
        <w:tc>
          <w:tcPr>
            <w:tcW w:w="158" w:type="dxa"/>
            <w:tcBorders/>
            <w:shd w:fill="auto" w:val="clear"/>
            <w:vAlign w:val="center"/>
          </w:tcPr>
          <w:p>
            <w:pPr>
              <w:pStyle w:val="TableContents"/>
              <w:spacing w:before="0" w:after="283"/>
              <w:rPr/>
            </w:pPr>
            <w:r>
              <w:rPr/>
              <w:t> </w:t>
            </w:r>
          </w:p>
        </w:tc>
        <w:tc>
          <w:tcPr>
            <w:tcW w:w="122" w:type="dxa"/>
            <w:tcBorders/>
            <w:shd w:fill="auto" w:val="clear"/>
            <w:vAlign w:val="center"/>
          </w:tcPr>
          <w:p>
            <w:pPr>
              <w:pStyle w:val="TableContents"/>
              <w:spacing w:before="0" w:after="283"/>
              <w:rPr/>
            </w:pPr>
            <w:r>
              <w:rPr/>
              <w:t>  </w:t>
            </w:r>
          </w:p>
        </w:tc>
        <w:tc>
          <w:tcPr>
            <w:tcW w:w="61" w:type="dxa"/>
            <w:tcBorders/>
            <w:shd w:fill="auto" w:val="clear"/>
            <w:vAlign w:val="center"/>
          </w:tcPr>
          <w:p>
            <w:pPr>
              <w:pStyle w:val="TableContents"/>
              <w:spacing w:before="0" w:after="283"/>
              <w:rPr>
                <w:sz w:val="4"/>
                <w:szCs w:val="4"/>
              </w:rPr>
            </w:pPr>
            <w:r>
              <w:rPr>
                <w:sz w:val="4"/>
                <w:szCs w:val="4"/>
              </w:rPr>
            </w:r>
          </w:p>
        </w:tc>
        <w:tc>
          <w:tcPr>
            <w:tcW w:w="527"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65" w:type="dxa"/>
            <w:tcBorders/>
            <w:shd w:fill="auto" w:val="clear"/>
            <w:vAlign w:val="center"/>
          </w:tcPr>
          <w:p>
            <w:pPr>
              <w:pStyle w:val="TableContents"/>
              <w:spacing w:before="0" w:after="0"/>
              <w:rPr>
                <w:bdr w:val="single" w:sz="2" w:space="1" w:color="000000"/>
              </w:rPr>
            </w:pPr>
            <w:r>
              <w:rPr>
                <w:bdr w:val="single" w:sz="2" w:space="1" w:color="000000"/>
              </w:rPr>
              <w:t> </w:t>
            </w:r>
          </w:p>
        </w:tc>
        <w:tc>
          <w:tcPr>
            <w:tcW w:w="943" w:type="dxa"/>
            <w:tcBorders/>
            <w:shd w:fill="auto" w:val="clear"/>
            <w:vAlign w:val="center"/>
          </w:tcPr>
          <w:p>
            <w:pPr>
              <w:pStyle w:val="TableContents"/>
              <w:spacing w:before="0" w:after="0"/>
              <w:rPr>
                <w:bdr w:val="single" w:sz="2" w:space="1" w:color="000000"/>
              </w:rPr>
            </w:pPr>
            <w:r>
              <w:rPr>
                <w:bdr w:val="single" w:sz="2" w:space="1" w:color="000000"/>
              </w:rPr>
              <w:t> </w:t>
            </w:r>
          </w:p>
        </w:tc>
        <w:tc>
          <w:tcPr>
            <w:tcW w:w="70" w:type="dxa"/>
            <w:tcBorders/>
            <w:shd w:fill="auto" w:val="clear"/>
            <w:vAlign w:val="center"/>
          </w:tcPr>
          <w:p>
            <w:pPr>
              <w:pStyle w:val="TableContents"/>
              <w:spacing w:before="0" w:after="283"/>
              <w:rPr/>
            </w:pPr>
            <w:r>
              <w:rPr/>
              <w:t> </w:t>
            </w:r>
          </w:p>
        </w:tc>
        <w:tc>
          <w:tcPr>
            <w:tcW w:w="141" w:type="dxa"/>
            <w:tcBorders/>
            <w:shd w:fill="auto" w:val="clear"/>
            <w:vAlign w:val="center"/>
          </w:tcPr>
          <w:p>
            <w:pPr>
              <w:pStyle w:val="TableContents"/>
              <w:spacing w:before="0" w:after="283"/>
              <w:rPr/>
            </w:pPr>
            <w:r>
              <w:rPr/>
              <w:t>  </w:t>
            </w:r>
          </w:p>
        </w:tc>
        <w:tc>
          <w:tcPr>
            <w:tcW w:w="70" w:type="dxa"/>
            <w:tcBorders/>
            <w:shd w:fill="auto" w:val="clear"/>
            <w:vAlign w:val="center"/>
          </w:tcPr>
          <w:p>
            <w:pPr>
              <w:pStyle w:val="TableContents"/>
              <w:spacing w:before="0" w:after="283"/>
              <w:rPr>
                <w:sz w:val="4"/>
                <w:szCs w:val="4"/>
              </w:rPr>
            </w:pPr>
            <w:r>
              <w:rPr>
                <w:sz w:val="4"/>
                <w:szCs w:val="4"/>
              </w:rPr>
            </w:r>
          </w:p>
        </w:tc>
        <w:tc>
          <w:tcPr>
            <w:tcW w:w="518"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r>
      <w:tr>
        <w:trPr/>
        <w:tc>
          <w:tcPr>
            <w:tcW w:w="482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Adjusted EBITDA</w:t>
            </w:r>
          </w:p>
        </w:tc>
        <w:tc>
          <w:tcPr>
            <w:tcW w:w="120" w:type="dxa"/>
            <w:tcBorders/>
            <w:shd w:fill="auto" w:val="clear"/>
            <w:vAlign w:val="center"/>
          </w:tcPr>
          <w:p>
            <w:pPr>
              <w:pStyle w:val="TableContents"/>
              <w:spacing w:before="0" w:after="283"/>
              <w:rPr/>
            </w:pPr>
            <w:r>
              <w:rPr/>
              <w:t>  </w:t>
            </w:r>
          </w:p>
        </w:tc>
        <w:tc>
          <w:tcPr>
            <w:tcW w:w="143" w:type="dxa"/>
            <w:tcBorders/>
            <w:shd w:fill="auto" w:val="clear"/>
            <w:vAlign w:val="center"/>
          </w:tcPr>
          <w:p>
            <w:pPr>
              <w:pStyle w:val="TableContents"/>
              <w:spacing w:before="0" w:after="283"/>
              <w:rPr/>
            </w:pPr>
            <w:r>
              <w:rPr/>
              <w:t>$</w:t>
            </w:r>
          </w:p>
        </w:tc>
        <w:tc>
          <w:tcPr>
            <w:tcW w:w="896" w:type="dxa"/>
            <w:tcBorders/>
            <w:shd w:fill="auto" w:val="clear"/>
            <w:vAlign w:val="center"/>
          </w:tcPr>
          <w:p>
            <w:pPr>
              <w:pStyle w:val="TableContents"/>
              <w:spacing w:before="0" w:after="283"/>
              <w:jc w:val="right"/>
              <w:rPr/>
            </w:pPr>
            <w:r>
              <w:rPr/>
              <w:t>(81,273</w:t>
            </w:r>
          </w:p>
        </w:tc>
        <w:tc>
          <w:tcPr>
            <w:tcW w:w="158" w:type="dxa"/>
            <w:tcBorders/>
            <w:shd w:fill="auto" w:val="clear"/>
            <w:vAlign w:val="center"/>
          </w:tcPr>
          <w:p>
            <w:pPr>
              <w:pStyle w:val="TableContents"/>
              <w:spacing w:before="0" w:after="283"/>
              <w:rPr/>
            </w:pPr>
            <w:r>
              <w:rPr/>
              <w:t>) </w:t>
            </w:r>
          </w:p>
        </w:tc>
        <w:tc>
          <w:tcPr>
            <w:tcW w:w="122" w:type="dxa"/>
            <w:tcBorders/>
            <w:shd w:fill="auto" w:val="clear"/>
            <w:vAlign w:val="center"/>
          </w:tcPr>
          <w:p>
            <w:pPr>
              <w:pStyle w:val="TableContents"/>
              <w:spacing w:before="0" w:after="283"/>
              <w:rPr/>
            </w:pPr>
            <w:r>
              <w:rPr/>
              <w:t>  </w:t>
            </w:r>
          </w:p>
        </w:tc>
        <w:tc>
          <w:tcPr>
            <w:tcW w:w="61" w:type="dxa"/>
            <w:tcBorders/>
            <w:shd w:fill="auto" w:val="clear"/>
            <w:vAlign w:val="center"/>
          </w:tcPr>
          <w:p>
            <w:pPr>
              <w:pStyle w:val="TableContents"/>
              <w:spacing w:before="0" w:after="283"/>
              <w:rPr/>
            </w:pPr>
            <w:r>
              <w:rPr/>
              <w:t> </w:t>
            </w:r>
          </w:p>
        </w:tc>
        <w:tc>
          <w:tcPr>
            <w:tcW w:w="527" w:type="dxa"/>
            <w:tcBorders/>
            <w:shd w:fill="auto" w:val="clear"/>
            <w:vAlign w:val="center"/>
          </w:tcPr>
          <w:p>
            <w:pPr>
              <w:pStyle w:val="TableContents"/>
              <w:spacing w:before="0" w:after="283"/>
              <w:jc w:val="right"/>
              <w:rPr/>
            </w:pPr>
            <w:r>
              <w:rPr/>
              <w:t>-18.6</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65" w:type="dxa"/>
            <w:tcBorders/>
            <w:shd w:fill="auto" w:val="clear"/>
            <w:vAlign w:val="center"/>
          </w:tcPr>
          <w:p>
            <w:pPr>
              <w:pStyle w:val="TableContents"/>
              <w:spacing w:before="0" w:after="283"/>
              <w:rPr/>
            </w:pPr>
            <w:r>
              <w:rPr/>
              <w:t>$</w:t>
            </w:r>
          </w:p>
        </w:tc>
        <w:tc>
          <w:tcPr>
            <w:tcW w:w="943" w:type="dxa"/>
            <w:tcBorders/>
            <w:shd w:fill="auto" w:val="clear"/>
            <w:vAlign w:val="center"/>
          </w:tcPr>
          <w:p>
            <w:pPr>
              <w:pStyle w:val="TableContents"/>
              <w:spacing w:before="0" w:after="283"/>
              <w:jc w:val="right"/>
              <w:rPr/>
            </w:pPr>
            <w:r>
              <w:rPr/>
              <w:t>308,222</w:t>
            </w:r>
          </w:p>
        </w:tc>
        <w:tc>
          <w:tcPr>
            <w:tcW w:w="70" w:type="dxa"/>
            <w:tcBorders/>
            <w:shd w:fill="auto" w:val="clear"/>
            <w:vAlign w:val="center"/>
          </w:tcPr>
          <w:p>
            <w:pPr>
              <w:pStyle w:val="TableContents"/>
              <w:spacing w:before="0" w:after="283"/>
              <w:rPr/>
            </w:pPr>
            <w:r>
              <w:rPr/>
              <w:t> </w:t>
            </w:r>
          </w:p>
        </w:tc>
        <w:tc>
          <w:tcPr>
            <w:tcW w:w="141" w:type="dxa"/>
            <w:tcBorders/>
            <w:shd w:fill="auto" w:val="clear"/>
            <w:vAlign w:val="center"/>
          </w:tcPr>
          <w:p>
            <w:pPr>
              <w:pStyle w:val="TableContents"/>
              <w:spacing w:before="0" w:after="283"/>
              <w:rPr/>
            </w:pPr>
            <w:r>
              <w:rPr/>
              <w:t>  </w:t>
            </w:r>
          </w:p>
        </w:tc>
        <w:tc>
          <w:tcPr>
            <w:tcW w:w="70" w:type="dxa"/>
            <w:tcBorders/>
            <w:shd w:fill="auto" w:val="clear"/>
            <w:vAlign w:val="center"/>
          </w:tcPr>
          <w:p>
            <w:pPr>
              <w:pStyle w:val="TableContents"/>
              <w:spacing w:before="0" w:after="283"/>
              <w:rPr/>
            </w:pPr>
            <w:r>
              <w:rPr/>
              <w:t> </w:t>
            </w:r>
          </w:p>
        </w:tc>
        <w:tc>
          <w:tcPr>
            <w:tcW w:w="518" w:type="dxa"/>
            <w:tcBorders/>
            <w:shd w:fill="auto" w:val="clear"/>
            <w:vAlign w:val="center"/>
          </w:tcPr>
          <w:p>
            <w:pPr>
              <w:pStyle w:val="TableContents"/>
              <w:spacing w:before="0" w:after="283"/>
              <w:jc w:val="right"/>
              <w:rPr/>
            </w:pPr>
            <w:r>
              <w:rPr/>
              <w:t>22.8</w:t>
            </w:r>
          </w:p>
        </w:tc>
        <w:tc>
          <w:tcPr>
            <w:tcW w:w="290" w:type="dxa"/>
            <w:tcBorders/>
            <w:shd w:fill="auto" w:val="clear"/>
            <w:vAlign w:val="center"/>
          </w:tcPr>
          <w:p>
            <w:pPr>
              <w:pStyle w:val="TableContents"/>
              <w:spacing w:before="0" w:after="283"/>
              <w:rPr/>
            </w:pPr>
            <w:r>
              <w:rPr/>
              <w:t>% </w:t>
            </w:r>
          </w:p>
        </w:tc>
      </w:tr>
      <w:tr>
        <w:trPr/>
        <w:tc>
          <w:tcPr>
            <w:tcW w:w="482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43" w:type="dxa"/>
            <w:tcBorders/>
            <w:shd w:fill="auto" w:val="clear"/>
            <w:vAlign w:val="center"/>
          </w:tcPr>
          <w:p>
            <w:pPr>
              <w:pStyle w:val="TableContents"/>
              <w:spacing w:before="0" w:after="0"/>
              <w:rPr>
                <w:bdr w:val="double" w:sz="6" w:space="1" w:color="000000"/>
              </w:rPr>
            </w:pPr>
            <w:r>
              <w:rPr>
                <w:bdr w:val="double" w:sz="6" w:space="1" w:color="000000"/>
              </w:rPr>
              <w:t> </w:t>
            </w:r>
          </w:p>
        </w:tc>
        <w:tc>
          <w:tcPr>
            <w:tcW w:w="896" w:type="dxa"/>
            <w:tcBorders/>
            <w:shd w:fill="auto" w:val="clear"/>
            <w:vAlign w:val="center"/>
          </w:tcPr>
          <w:p>
            <w:pPr>
              <w:pStyle w:val="TableContents"/>
              <w:spacing w:before="0" w:after="0"/>
              <w:rPr>
                <w:bdr w:val="double" w:sz="6" w:space="1" w:color="000000"/>
              </w:rPr>
            </w:pPr>
            <w:r>
              <w:rPr>
                <w:bdr w:val="double" w:sz="6" w:space="1" w:color="000000"/>
              </w:rPr>
              <w:t> </w:t>
            </w:r>
          </w:p>
        </w:tc>
        <w:tc>
          <w:tcPr>
            <w:tcW w:w="158" w:type="dxa"/>
            <w:tcBorders/>
            <w:shd w:fill="auto" w:val="clear"/>
            <w:vAlign w:val="center"/>
          </w:tcPr>
          <w:p>
            <w:pPr>
              <w:pStyle w:val="TableContents"/>
              <w:spacing w:before="0" w:after="283"/>
              <w:rPr/>
            </w:pPr>
            <w:r>
              <w:rPr/>
              <w:t> </w:t>
            </w:r>
          </w:p>
        </w:tc>
        <w:tc>
          <w:tcPr>
            <w:tcW w:w="122" w:type="dxa"/>
            <w:tcBorders/>
            <w:shd w:fill="auto" w:val="clear"/>
            <w:vAlign w:val="center"/>
          </w:tcPr>
          <w:p>
            <w:pPr>
              <w:pStyle w:val="TableContents"/>
              <w:spacing w:before="0" w:after="283"/>
              <w:rPr/>
            </w:pPr>
            <w:r>
              <w:rPr/>
              <w:t>  </w:t>
            </w:r>
          </w:p>
        </w:tc>
        <w:tc>
          <w:tcPr>
            <w:tcW w:w="61" w:type="dxa"/>
            <w:tcBorders/>
            <w:shd w:fill="auto" w:val="clear"/>
            <w:vAlign w:val="center"/>
          </w:tcPr>
          <w:p>
            <w:pPr>
              <w:pStyle w:val="TableContents"/>
              <w:spacing w:before="0" w:after="283"/>
              <w:rPr>
                <w:sz w:val="4"/>
                <w:szCs w:val="4"/>
              </w:rPr>
            </w:pPr>
            <w:r>
              <w:rPr>
                <w:sz w:val="4"/>
                <w:szCs w:val="4"/>
              </w:rPr>
            </w:r>
          </w:p>
        </w:tc>
        <w:tc>
          <w:tcPr>
            <w:tcW w:w="527"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65" w:type="dxa"/>
            <w:tcBorders/>
            <w:shd w:fill="auto" w:val="clear"/>
            <w:vAlign w:val="center"/>
          </w:tcPr>
          <w:p>
            <w:pPr>
              <w:pStyle w:val="TableContents"/>
              <w:spacing w:before="0" w:after="0"/>
              <w:rPr>
                <w:bdr w:val="double" w:sz="6" w:space="1" w:color="000000"/>
              </w:rPr>
            </w:pPr>
            <w:r>
              <w:rPr>
                <w:bdr w:val="double" w:sz="6" w:space="1" w:color="000000"/>
              </w:rPr>
              <w:t> </w:t>
            </w:r>
          </w:p>
        </w:tc>
        <w:tc>
          <w:tcPr>
            <w:tcW w:w="943" w:type="dxa"/>
            <w:tcBorders/>
            <w:shd w:fill="auto" w:val="clear"/>
            <w:vAlign w:val="center"/>
          </w:tcPr>
          <w:p>
            <w:pPr>
              <w:pStyle w:val="TableContents"/>
              <w:spacing w:before="0" w:after="0"/>
              <w:rPr>
                <w:bdr w:val="double" w:sz="6" w:space="1" w:color="000000"/>
              </w:rPr>
            </w:pPr>
            <w:r>
              <w:rPr>
                <w:bdr w:val="double" w:sz="6" w:space="1" w:color="000000"/>
              </w:rPr>
              <w:t> </w:t>
            </w:r>
          </w:p>
        </w:tc>
        <w:tc>
          <w:tcPr>
            <w:tcW w:w="70" w:type="dxa"/>
            <w:tcBorders/>
            <w:shd w:fill="auto" w:val="clear"/>
            <w:vAlign w:val="center"/>
          </w:tcPr>
          <w:p>
            <w:pPr>
              <w:pStyle w:val="TableContents"/>
              <w:spacing w:before="0" w:after="283"/>
              <w:rPr/>
            </w:pPr>
            <w:r>
              <w:rPr/>
              <w:t> </w:t>
            </w:r>
          </w:p>
        </w:tc>
        <w:tc>
          <w:tcPr>
            <w:tcW w:w="141" w:type="dxa"/>
            <w:tcBorders/>
            <w:shd w:fill="auto" w:val="clear"/>
            <w:vAlign w:val="center"/>
          </w:tcPr>
          <w:p>
            <w:pPr>
              <w:pStyle w:val="TableContents"/>
              <w:spacing w:before="0" w:after="283"/>
              <w:rPr/>
            </w:pPr>
            <w:r>
              <w:rPr/>
              <w:t>  </w:t>
            </w:r>
          </w:p>
        </w:tc>
        <w:tc>
          <w:tcPr>
            <w:tcW w:w="70" w:type="dxa"/>
            <w:tcBorders/>
            <w:shd w:fill="auto" w:val="clear"/>
            <w:vAlign w:val="center"/>
          </w:tcPr>
          <w:p>
            <w:pPr>
              <w:pStyle w:val="TableContents"/>
              <w:spacing w:before="0" w:after="283"/>
              <w:rPr>
                <w:sz w:val="4"/>
                <w:szCs w:val="4"/>
              </w:rPr>
            </w:pPr>
            <w:r>
              <w:rPr>
                <w:sz w:val="4"/>
                <w:szCs w:val="4"/>
              </w:rPr>
            </w:r>
          </w:p>
        </w:tc>
        <w:tc>
          <w:tcPr>
            <w:tcW w:w="518"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jc w:val="left"/>
        <w:rPr>
          <w:spacing w:val="0"/>
        </w:rPr>
      </w:pPr>
      <w:r>
        <w:rPr>
          <w:spacing w:val="0"/>
        </w:rPr>
        <w:t> </w:t>
      </w:r>
    </w:p>
    <w:tbl>
      <w:tblPr>
        <w:tblW w:w="6220" w:type="dxa"/>
        <w:jc w:val="left"/>
        <w:tblInd w:w="0" w:type="dxa"/>
        <w:tblCellMar>
          <w:top w:w="0" w:type="dxa"/>
          <w:left w:w="0" w:type="dxa"/>
          <w:bottom w:w="0" w:type="dxa"/>
          <w:right w:w="0" w:type="dxa"/>
        </w:tblCellMar>
      </w:tblPr>
      <w:tblGrid>
        <w:gridCol w:w="200"/>
        <w:gridCol w:w="6020"/>
      </w:tblGrid>
      <w:tr>
        <w:trPr/>
        <w:tc>
          <w:tcPr>
            <w:tcW w:w="200" w:type="dxa"/>
            <w:tcBorders/>
            <w:shd w:fill="auto" w:val="clear"/>
            <w:vAlign w:val="center"/>
          </w:tcPr>
          <w:p>
            <w:pPr>
              <w:pStyle w:val="TableContents"/>
              <w:spacing w:before="0" w:after="0"/>
              <w:jc w:val="left"/>
              <w:rPr>
                <w:sz w:val="14"/>
              </w:rPr>
            </w:pPr>
            <w:r>
              <w:rPr>
                <w:sz w:val="14"/>
              </w:rPr>
              <w:t>(1)</w:t>
            </w:r>
          </w:p>
          <w:p>
            <w:pPr>
              <w:pStyle w:val="TableContents"/>
              <w:spacing w:before="0" w:after="0"/>
              <w:jc w:val="left"/>
              <w:rPr/>
            </w:pPr>
            <w:r>
              <w:rPr/>
              <w:t> </w:t>
            </w:r>
          </w:p>
        </w:tc>
        <w:tc>
          <w:tcPr>
            <w:tcW w:w="602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Primarily represents costs related to currency transaction (gains) or losses. </w:t>
            </w:r>
          </w:p>
        </w:tc>
      </w:tr>
    </w:tbl>
    <w:p>
      <w:pPr>
        <w:pStyle w:val="TextBody"/>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Store Operating Income Before Depreciation and Amortization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The following table reconciles Operating income (loss) to Store Operating Income Before Depreciation and Amortization for the periods indicated: </w:t>
      </w:r>
    </w:p>
    <w:p>
      <w:pPr>
        <w:pStyle w:val="TextBody"/>
        <w:spacing w:before="0" w:after="0"/>
        <w:jc w:val="left"/>
        <w:rPr>
          <w:spacing w:val="0"/>
        </w:rPr>
      </w:pPr>
      <w:r>
        <w:rPr>
          <w:spacing w:val="0"/>
        </w:rPr>
        <w:t> </w:t>
      </w:r>
    </w:p>
    <w:tbl>
      <w:tblPr>
        <w:tblW w:w="9667" w:type="dxa"/>
        <w:jc w:val="left"/>
        <w:tblInd w:w="0" w:type="dxa"/>
        <w:tblCellMar>
          <w:top w:w="0" w:type="dxa"/>
          <w:left w:w="0" w:type="dxa"/>
          <w:bottom w:w="0" w:type="dxa"/>
          <w:right w:w="0" w:type="dxa"/>
        </w:tblCellMar>
      </w:tblPr>
      <w:tblGrid>
        <w:gridCol w:w="5105"/>
        <w:gridCol w:w="120"/>
        <w:gridCol w:w="143"/>
        <w:gridCol w:w="896"/>
        <w:gridCol w:w="158"/>
        <w:gridCol w:w="122"/>
        <w:gridCol w:w="61"/>
        <w:gridCol w:w="530"/>
        <w:gridCol w:w="275"/>
        <w:gridCol w:w="60"/>
        <w:gridCol w:w="165"/>
        <w:gridCol w:w="943"/>
        <w:gridCol w:w="70"/>
        <w:gridCol w:w="141"/>
        <w:gridCol w:w="70"/>
        <w:gridCol w:w="518"/>
        <w:gridCol w:w="290"/>
      </w:tblGrid>
      <w:tr>
        <w:trPr/>
        <w:tc>
          <w:tcPr>
            <w:tcW w:w="510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3" w:type="dxa"/>
            <w:tcBorders/>
            <w:shd w:fill="auto" w:val="clear"/>
            <w:vAlign w:val="center"/>
          </w:tcPr>
          <w:p>
            <w:pPr>
              <w:pStyle w:val="TableContents"/>
              <w:spacing w:before="0" w:after="283"/>
              <w:rPr>
                <w:sz w:val="4"/>
                <w:szCs w:val="4"/>
              </w:rPr>
            </w:pPr>
            <w:r>
              <w:rPr>
                <w:sz w:val="4"/>
                <w:szCs w:val="4"/>
              </w:rPr>
            </w:r>
          </w:p>
        </w:tc>
        <w:tc>
          <w:tcPr>
            <w:tcW w:w="896"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61" w:type="dxa"/>
            <w:tcBorders/>
            <w:shd w:fill="auto" w:val="clear"/>
            <w:vAlign w:val="center"/>
          </w:tcPr>
          <w:p>
            <w:pPr>
              <w:pStyle w:val="TableContents"/>
              <w:spacing w:before="0" w:after="283"/>
              <w:rPr>
                <w:sz w:val="4"/>
                <w:szCs w:val="4"/>
              </w:rPr>
            </w:pPr>
            <w:r>
              <w:rPr>
                <w:sz w:val="4"/>
                <w:szCs w:val="4"/>
              </w:rPr>
            </w:r>
          </w:p>
        </w:tc>
        <w:tc>
          <w:tcPr>
            <w:tcW w:w="530"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943" w:type="dxa"/>
            <w:tcBorders/>
            <w:shd w:fill="auto" w:val="clear"/>
            <w:vAlign w:val="center"/>
          </w:tcPr>
          <w:p>
            <w:pPr>
              <w:pStyle w:val="TableContents"/>
              <w:spacing w:before="0" w:after="283"/>
              <w:rPr>
                <w:sz w:val="4"/>
                <w:szCs w:val="4"/>
              </w:rPr>
            </w:pPr>
            <w:r>
              <w:rPr>
                <w:sz w:val="4"/>
                <w:szCs w:val="4"/>
              </w:rPr>
            </w:r>
          </w:p>
        </w:tc>
        <w:tc>
          <w:tcPr>
            <w:tcW w:w="70"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70" w:type="dxa"/>
            <w:tcBorders/>
            <w:shd w:fill="auto" w:val="clear"/>
            <w:vAlign w:val="center"/>
          </w:tcPr>
          <w:p>
            <w:pPr>
              <w:pStyle w:val="TableContents"/>
              <w:spacing w:before="0" w:after="283"/>
              <w:rPr>
                <w:sz w:val="4"/>
                <w:szCs w:val="4"/>
              </w:rPr>
            </w:pPr>
            <w:r>
              <w:rPr>
                <w:sz w:val="4"/>
                <w:szCs w:val="4"/>
              </w:rPr>
            </w:r>
          </w:p>
        </w:tc>
        <w:tc>
          <w:tcPr>
            <w:tcW w:w="518"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r>
      <w:tr>
        <w:trPr/>
        <w:tc>
          <w:tcPr>
            <w:tcW w:w="510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910" w:type="dxa"/>
            <w:gridSpan w:val="6"/>
            <w:tcBorders/>
            <w:shd w:fill="auto" w:val="clear"/>
            <w:vAlign w:val="center"/>
          </w:tcPr>
          <w:p>
            <w:pPr>
              <w:pStyle w:val="TableContents"/>
              <w:spacing w:before="0" w:after="0"/>
              <w:jc w:val="center"/>
              <w:rPr>
                <w:b/>
                <w:spacing w:val="0"/>
              </w:rPr>
            </w:pPr>
            <w:r>
              <w:rPr>
                <w:b/>
                <w:spacing w:val="0"/>
              </w:rPr>
              <w:t>Fiscal Year Ended</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907" w:type="dxa"/>
            <w:gridSpan w:val="6"/>
            <w:tcBorders/>
            <w:shd w:fill="auto" w:val="clear"/>
            <w:vAlign w:val="center"/>
          </w:tcPr>
          <w:p>
            <w:pPr>
              <w:pStyle w:val="TableContents"/>
              <w:spacing w:before="0" w:after="0"/>
              <w:jc w:val="center"/>
              <w:rPr>
                <w:b/>
                <w:spacing w:val="0"/>
              </w:rPr>
            </w:pPr>
            <w:r>
              <w:rPr>
                <w:b/>
                <w:spacing w:val="0"/>
              </w:rPr>
              <w:t>Fiscal Year Ended</w:t>
            </w:r>
          </w:p>
        </w:tc>
        <w:tc>
          <w:tcPr>
            <w:tcW w:w="290" w:type="dxa"/>
            <w:tcBorders/>
            <w:shd w:fill="auto" w:val="clear"/>
            <w:vAlign w:val="center"/>
          </w:tcPr>
          <w:p>
            <w:pPr>
              <w:pStyle w:val="TableContents"/>
              <w:spacing w:before="0" w:after="283"/>
              <w:rPr/>
            </w:pPr>
            <w:r>
              <w:rPr/>
              <w:t> </w:t>
            </w:r>
          </w:p>
        </w:tc>
      </w:tr>
      <w:tr>
        <w:trPr/>
        <w:tc>
          <w:tcPr>
            <w:tcW w:w="510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910" w:type="dxa"/>
            <w:gridSpan w:val="6"/>
            <w:tcBorders/>
            <w:shd w:fill="auto" w:val="clear"/>
            <w:vAlign w:val="center"/>
          </w:tcPr>
          <w:p>
            <w:pPr>
              <w:pStyle w:val="TableContents"/>
              <w:spacing w:before="0" w:after="0"/>
              <w:jc w:val="center"/>
              <w:rPr>
                <w:b/>
                <w:spacing w:val="0"/>
              </w:rPr>
            </w:pPr>
            <w:r>
              <w:rPr>
                <w:b/>
                <w:spacing w:val="0"/>
              </w:rPr>
              <w:t>January 31, 2021</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907" w:type="dxa"/>
            <w:gridSpan w:val="6"/>
            <w:tcBorders/>
            <w:shd w:fill="auto" w:val="clear"/>
            <w:vAlign w:val="center"/>
          </w:tcPr>
          <w:p>
            <w:pPr>
              <w:pStyle w:val="TableContents"/>
              <w:spacing w:before="0" w:after="0"/>
              <w:jc w:val="center"/>
              <w:rPr>
                <w:b/>
                <w:spacing w:val="0"/>
              </w:rPr>
            </w:pPr>
            <w:r>
              <w:rPr>
                <w:b/>
                <w:spacing w:val="0"/>
              </w:rPr>
              <w:t>February 2, 2020</w:t>
            </w:r>
          </w:p>
        </w:tc>
        <w:tc>
          <w:tcPr>
            <w:tcW w:w="290" w:type="dxa"/>
            <w:tcBorders/>
            <w:shd w:fill="auto" w:val="clear"/>
            <w:vAlign w:val="center"/>
          </w:tcPr>
          <w:p>
            <w:pPr>
              <w:pStyle w:val="TableContents"/>
              <w:spacing w:before="0" w:after="283"/>
              <w:rPr/>
            </w:pPr>
            <w:r>
              <w:rPr/>
              <w:t> </w:t>
            </w:r>
          </w:p>
        </w:tc>
      </w:tr>
      <w:tr>
        <w:trPr/>
        <w:tc>
          <w:tcPr>
            <w:tcW w:w="510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Operating income (loss)</w:t>
            </w:r>
          </w:p>
        </w:tc>
        <w:tc>
          <w:tcPr>
            <w:tcW w:w="120" w:type="dxa"/>
            <w:tcBorders/>
            <w:shd w:fill="CCEEFF" w:val="clear"/>
            <w:vAlign w:val="center"/>
          </w:tcPr>
          <w:p>
            <w:pPr>
              <w:pStyle w:val="TableContents"/>
              <w:spacing w:before="0" w:after="283"/>
              <w:rPr/>
            </w:pPr>
            <w:r>
              <w:rPr/>
              <w:t>  </w:t>
            </w:r>
          </w:p>
        </w:tc>
        <w:tc>
          <w:tcPr>
            <w:tcW w:w="143" w:type="dxa"/>
            <w:tcBorders/>
            <w:shd w:fill="CCEEFF" w:val="clear"/>
            <w:vAlign w:val="center"/>
          </w:tcPr>
          <w:p>
            <w:pPr>
              <w:pStyle w:val="TableContents"/>
              <w:spacing w:before="0" w:after="283"/>
              <w:rPr/>
            </w:pPr>
            <w:r>
              <w:rPr/>
              <w:t>$</w:t>
            </w:r>
          </w:p>
        </w:tc>
        <w:tc>
          <w:tcPr>
            <w:tcW w:w="896" w:type="dxa"/>
            <w:tcBorders/>
            <w:shd w:fill="CCEEFF" w:val="clear"/>
            <w:vAlign w:val="center"/>
          </w:tcPr>
          <w:p>
            <w:pPr>
              <w:pStyle w:val="TableContents"/>
              <w:spacing w:before="0" w:after="283"/>
              <w:jc w:val="right"/>
              <w:rPr/>
            </w:pPr>
            <w:r>
              <w:rPr/>
              <w:t>(252,612</w:t>
            </w:r>
          </w:p>
        </w:tc>
        <w:tc>
          <w:tcPr>
            <w:tcW w:w="158" w:type="dxa"/>
            <w:tcBorders/>
            <w:shd w:fill="CCEEFF" w:val="clear"/>
            <w:vAlign w:val="center"/>
          </w:tcPr>
          <w:p>
            <w:pPr>
              <w:pStyle w:val="TableContents"/>
              <w:spacing w:before="0" w:after="283"/>
              <w:rPr/>
            </w:pPr>
            <w:r>
              <w:rPr/>
              <w:t>) </w:t>
            </w:r>
          </w:p>
        </w:tc>
        <w:tc>
          <w:tcPr>
            <w:tcW w:w="122" w:type="dxa"/>
            <w:tcBorders/>
            <w:shd w:fill="CCEEFF" w:val="clear"/>
            <w:vAlign w:val="center"/>
          </w:tcPr>
          <w:p>
            <w:pPr>
              <w:pStyle w:val="TableContents"/>
              <w:spacing w:before="0" w:after="283"/>
              <w:rPr/>
            </w:pPr>
            <w:r>
              <w:rPr/>
              <w:t>  </w:t>
            </w:r>
          </w:p>
        </w:tc>
        <w:tc>
          <w:tcPr>
            <w:tcW w:w="61" w:type="dxa"/>
            <w:tcBorders/>
            <w:shd w:fill="CCEEFF" w:val="clear"/>
            <w:vAlign w:val="center"/>
          </w:tcPr>
          <w:p>
            <w:pPr>
              <w:pStyle w:val="TableContents"/>
              <w:spacing w:before="0" w:after="283"/>
              <w:rPr/>
            </w:pPr>
            <w:r>
              <w:rPr/>
              <w:t> </w:t>
            </w:r>
          </w:p>
        </w:tc>
        <w:tc>
          <w:tcPr>
            <w:tcW w:w="530" w:type="dxa"/>
            <w:tcBorders/>
            <w:shd w:fill="CCEEFF" w:val="clear"/>
            <w:vAlign w:val="center"/>
          </w:tcPr>
          <w:p>
            <w:pPr>
              <w:pStyle w:val="TableContents"/>
              <w:spacing w:before="0" w:after="0"/>
              <w:jc w:val="right"/>
              <w:rPr>
                <w:spacing w:val="0"/>
              </w:rPr>
            </w:pPr>
            <w:r>
              <w:rPr>
                <w:spacing w:val="0"/>
              </w:rPr>
              <w:t>-57.9</w:t>
            </w:r>
          </w:p>
        </w:tc>
        <w:tc>
          <w:tcPr>
            <w:tcW w:w="27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65" w:type="dxa"/>
            <w:tcBorders/>
            <w:shd w:fill="CCEEFF" w:val="clear"/>
            <w:vAlign w:val="center"/>
          </w:tcPr>
          <w:p>
            <w:pPr>
              <w:pStyle w:val="TableContents"/>
              <w:spacing w:before="0" w:after="283"/>
              <w:rPr/>
            </w:pPr>
            <w:r>
              <w:rPr/>
              <w:t>$</w:t>
            </w:r>
          </w:p>
        </w:tc>
        <w:tc>
          <w:tcPr>
            <w:tcW w:w="943" w:type="dxa"/>
            <w:tcBorders/>
            <w:shd w:fill="CCEEFF" w:val="clear"/>
            <w:vAlign w:val="center"/>
          </w:tcPr>
          <w:p>
            <w:pPr>
              <w:pStyle w:val="TableContents"/>
              <w:spacing w:before="0" w:after="283"/>
              <w:jc w:val="right"/>
              <w:rPr/>
            </w:pPr>
            <w:r>
              <w:rPr/>
              <w:t>148,079</w:t>
            </w:r>
          </w:p>
        </w:tc>
        <w:tc>
          <w:tcPr>
            <w:tcW w:w="70" w:type="dxa"/>
            <w:tcBorders/>
            <w:shd w:fill="CCEEFF" w:val="clear"/>
            <w:vAlign w:val="center"/>
          </w:tcPr>
          <w:p>
            <w:pPr>
              <w:pStyle w:val="TableContents"/>
              <w:spacing w:before="0" w:after="283"/>
              <w:rPr/>
            </w:pPr>
            <w:r>
              <w:rPr/>
              <w:t> </w:t>
            </w:r>
          </w:p>
        </w:tc>
        <w:tc>
          <w:tcPr>
            <w:tcW w:w="141" w:type="dxa"/>
            <w:tcBorders/>
            <w:shd w:fill="CCEEFF" w:val="clear"/>
            <w:vAlign w:val="center"/>
          </w:tcPr>
          <w:p>
            <w:pPr>
              <w:pStyle w:val="TableContents"/>
              <w:spacing w:before="0" w:after="283"/>
              <w:rPr/>
            </w:pPr>
            <w:r>
              <w:rPr/>
              <w:t>  </w:t>
            </w:r>
          </w:p>
        </w:tc>
        <w:tc>
          <w:tcPr>
            <w:tcW w:w="70" w:type="dxa"/>
            <w:tcBorders/>
            <w:shd w:fill="CCEEFF" w:val="clear"/>
            <w:vAlign w:val="center"/>
          </w:tcPr>
          <w:p>
            <w:pPr>
              <w:pStyle w:val="TableContents"/>
              <w:spacing w:before="0" w:after="283"/>
              <w:rPr/>
            </w:pPr>
            <w:r>
              <w:rPr/>
              <w:t> </w:t>
            </w:r>
          </w:p>
        </w:tc>
        <w:tc>
          <w:tcPr>
            <w:tcW w:w="518" w:type="dxa"/>
            <w:tcBorders/>
            <w:shd w:fill="CCEEFF" w:val="clear"/>
            <w:vAlign w:val="center"/>
          </w:tcPr>
          <w:p>
            <w:pPr>
              <w:pStyle w:val="TableContents"/>
              <w:spacing w:before="0" w:after="283"/>
              <w:jc w:val="right"/>
              <w:rPr/>
            </w:pPr>
            <w:r>
              <w:rPr/>
              <w:t>10.9</w:t>
            </w:r>
          </w:p>
        </w:tc>
        <w:tc>
          <w:tcPr>
            <w:tcW w:w="290" w:type="dxa"/>
            <w:tcBorders/>
            <w:shd w:fill="CCEEFF" w:val="clear"/>
            <w:vAlign w:val="center"/>
          </w:tcPr>
          <w:p>
            <w:pPr>
              <w:pStyle w:val="TableContents"/>
              <w:spacing w:before="0" w:after="283"/>
              <w:rPr/>
            </w:pPr>
            <w:r>
              <w:rPr/>
              <w:t>% </w:t>
            </w:r>
          </w:p>
        </w:tc>
      </w:tr>
      <w:tr>
        <w:trPr/>
        <w:tc>
          <w:tcPr>
            <w:tcW w:w="510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General and administrative expenses</w:t>
            </w:r>
          </w:p>
        </w:tc>
        <w:tc>
          <w:tcPr>
            <w:tcW w:w="120" w:type="dxa"/>
            <w:tcBorders/>
            <w:shd w:fill="auto" w:val="clear"/>
            <w:vAlign w:val="center"/>
          </w:tcPr>
          <w:p>
            <w:pPr>
              <w:pStyle w:val="TableContents"/>
              <w:spacing w:before="0" w:after="283"/>
              <w:rPr/>
            </w:pPr>
            <w:r>
              <w:rPr/>
              <w:t>  </w:t>
            </w:r>
          </w:p>
        </w:tc>
        <w:tc>
          <w:tcPr>
            <w:tcW w:w="143" w:type="dxa"/>
            <w:tcBorders/>
            <w:shd w:fill="auto" w:val="clear"/>
            <w:vAlign w:val="center"/>
          </w:tcPr>
          <w:p>
            <w:pPr>
              <w:pStyle w:val="TableContents"/>
              <w:spacing w:before="0" w:after="283"/>
              <w:rPr/>
            </w:pPr>
            <w:r>
              <w:rPr/>
              <w:t> </w:t>
            </w:r>
          </w:p>
        </w:tc>
        <w:tc>
          <w:tcPr>
            <w:tcW w:w="896" w:type="dxa"/>
            <w:tcBorders/>
            <w:shd w:fill="auto" w:val="clear"/>
            <w:vAlign w:val="center"/>
          </w:tcPr>
          <w:p>
            <w:pPr>
              <w:pStyle w:val="TableContents"/>
              <w:spacing w:before="0" w:after="283"/>
              <w:jc w:val="right"/>
              <w:rPr/>
            </w:pPr>
            <w:r>
              <w:rPr/>
              <w:t>47,215</w:t>
            </w:r>
          </w:p>
        </w:tc>
        <w:tc>
          <w:tcPr>
            <w:tcW w:w="158" w:type="dxa"/>
            <w:tcBorders/>
            <w:shd w:fill="auto" w:val="clear"/>
            <w:vAlign w:val="center"/>
          </w:tcPr>
          <w:p>
            <w:pPr>
              <w:pStyle w:val="TableContents"/>
              <w:spacing w:before="0" w:after="283"/>
              <w:rPr/>
            </w:pPr>
            <w:r>
              <w:rPr/>
              <w:t> </w:t>
            </w:r>
          </w:p>
        </w:tc>
        <w:tc>
          <w:tcPr>
            <w:tcW w:w="122" w:type="dxa"/>
            <w:tcBorders/>
            <w:shd w:fill="auto" w:val="clear"/>
            <w:vAlign w:val="center"/>
          </w:tcPr>
          <w:p>
            <w:pPr>
              <w:pStyle w:val="TableContents"/>
              <w:spacing w:before="0" w:after="283"/>
              <w:rPr/>
            </w:pPr>
            <w:r>
              <w:rPr/>
              <w:t>  </w:t>
            </w:r>
          </w:p>
        </w:tc>
        <w:tc>
          <w:tcPr>
            <w:tcW w:w="61" w:type="dxa"/>
            <w:tcBorders/>
            <w:shd w:fill="auto" w:val="clear"/>
            <w:vAlign w:val="center"/>
          </w:tcPr>
          <w:p>
            <w:pPr>
              <w:pStyle w:val="TableContents"/>
              <w:spacing w:before="0" w:after="283"/>
              <w:rPr>
                <w:sz w:val="4"/>
                <w:szCs w:val="4"/>
              </w:rPr>
            </w:pPr>
            <w:r>
              <w:rPr>
                <w:sz w:val="4"/>
                <w:szCs w:val="4"/>
              </w:rPr>
            </w:r>
          </w:p>
        </w:tc>
        <w:tc>
          <w:tcPr>
            <w:tcW w:w="530"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65" w:type="dxa"/>
            <w:tcBorders/>
            <w:shd w:fill="auto" w:val="clear"/>
            <w:vAlign w:val="center"/>
          </w:tcPr>
          <w:p>
            <w:pPr>
              <w:pStyle w:val="TableContents"/>
              <w:spacing w:before="0" w:after="283"/>
              <w:rPr/>
            </w:pPr>
            <w:r>
              <w:rPr/>
              <w:t> </w:t>
            </w:r>
          </w:p>
        </w:tc>
        <w:tc>
          <w:tcPr>
            <w:tcW w:w="943" w:type="dxa"/>
            <w:tcBorders/>
            <w:shd w:fill="auto" w:val="clear"/>
            <w:vAlign w:val="center"/>
          </w:tcPr>
          <w:p>
            <w:pPr>
              <w:pStyle w:val="TableContents"/>
              <w:spacing w:before="0" w:after="283"/>
              <w:jc w:val="right"/>
              <w:rPr/>
            </w:pPr>
            <w:r>
              <w:rPr/>
              <w:t>69,469</w:t>
            </w:r>
          </w:p>
        </w:tc>
        <w:tc>
          <w:tcPr>
            <w:tcW w:w="70" w:type="dxa"/>
            <w:tcBorders/>
            <w:shd w:fill="auto" w:val="clear"/>
            <w:vAlign w:val="center"/>
          </w:tcPr>
          <w:p>
            <w:pPr>
              <w:pStyle w:val="TableContents"/>
              <w:spacing w:before="0" w:after="283"/>
              <w:rPr/>
            </w:pPr>
            <w:r>
              <w:rPr/>
              <w:t> </w:t>
            </w:r>
          </w:p>
        </w:tc>
        <w:tc>
          <w:tcPr>
            <w:tcW w:w="141" w:type="dxa"/>
            <w:tcBorders/>
            <w:shd w:fill="auto" w:val="clear"/>
            <w:vAlign w:val="center"/>
          </w:tcPr>
          <w:p>
            <w:pPr>
              <w:pStyle w:val="TableContents"/>
              <w:spacing w:before="0" w:after="283"/>
              <w:rPr/>
            </w:pPr>
            <w:r>
              <w:rPr/>
              <w:t>  </w:t>
            </w:r>
          </w:p>
        </w:tc>
        <w:tc>
          <w:tcPr>
            <w:tcW w:w="70" w:type="dxa"/>
            <w:tcBorders/>
            <w:shd w:fill="auto" w:val="clear"/>
            <w:vAlign w:val="center"/>
          </w:tcPr>
          <w:p>
            <w:pPr>
              <w:pStyle w:val="TableContents"/>
              <w:spacing w:before="0" w:after="283"/>
              <w:rPr>
                <w:sz w:val="4"/>
                <w:szCs w:val="4"/>
              </w:rPr>
            </w:pPr>
            <w:r>
              <w:rPr>
                <w:sz w:val="4"/>
                <w:szCs w:val="4"/>
              </w:rPr>
            </w:r>
          </w:p>
        </w:tc>
        <w:tc>
          <w:tcPr>
            <w:tcW w:w="518"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r>
      <w:tr>
        <w:trPr/>
        <w:tc>
          <w:tcPr>
            <w:tcW w:w="510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Depreciation and amortization expense</w:t>
            </w:r>
          </w:p>
        </w:tc>
        <w:tc>
          <w:tcPr>
            <w:tcW w:w="120" w:type="dxa"/>
            <w:tcBorders/>
            <w:shd w:fill="CCEEFF" w:val="clear"/>
            <w:vAlign w:val="center"/>
          </w:tcPr>
          <w:p>
            <w:pPr>
              <w:pStyle w:val="TableContents"/>
              <w:spacing w:before="0" w:after="283"/>
              <w:rPr/>
            </w:pPr>
            <w:r>
              <w:rPr/>
              <w:t>  </w:t>
            </w:r>
          </w:p>
        </w:tc>
        <w:tc>
          <w:tcPr>
            <w:tcW w:w="143" w:type="dxa"/>
            <w:tcBorders/>
            <w:shd w:fill="CCEEFF" w:val="clear"/>
            <w:vAlign w:val="center"/>
          </w:tcPr>
          <w:p>
            <w:pPr>
              <w:pStyle w:val="TableContents"/>
              <w:spacing w:before="0" w:after="283"/>
              <w:rPr/>
            </w:pPr>
            <w:r>
              <w:rPr/>
              <w:t> </w:t>
            </w:r>
          </w:p>
        </w:tc>
        <w:tc>
          <w:tcPr>
            <w:tcW w:w="896" w:type="dxa"/>
            <w:tcBorders/>
            <w:shd w:fill="CCEEFF" w:val="clear"/>
            <w:vAlign w:val="center"/>
          </w:tcPr>
          <w:p>
            <w:pPr>
              <w:pStyle w:val="TableContents"/>
              <w:spacing w:before="0" w:after="283"/>
              <w:jc w:val="right"/>
              <w:rPr/>
            </w:pPr>
            <w:r>
              <w:rPr/>
              <w:t>138,789</w:t>
            </w:r>
          </w:p>
        </w:tc>
        <w:tc>
          <w:tcPr>
            <w:tcW w:w="158" w:type="dxa"/>
            <w:tcBorders/>
            <w:shd w:fill="CCEEFF" w:val="clear"/>
            <w:vAlign w:val="center"/>
          </w:tcPr>
          <w:p>
            <w:pPr>
              <w:pStyle w:val="TableContents"/>
              <w:spacing w:before="0" w:after="283"/>
              <w:rPr/>
            </w:pPr>
            <w:r>
              <w:rPr/>
              <w:t> </w:t>
            </w:r>
          </w:p>
        </w:tc>
        <w:tc>
          <w:tcPr>
            <w:tcW w:w="122" w:type="dxa"/>
            <w:tcBorders/>
            <w:shd w:fill="CCEEFF" w:val="clear"/>
            <w:vAlign w:val="center"/>
          </w:tcPr>
          <w:p>
            <w:pPr>
              <w:pStyle w:val="TableContents"/>
              <w:spacing w:before="0" w:after="283"/>
              <w:rPr/>
            </w:pPr>
            <w:r>
              <w:rPr/>
              <w:t>  </w:t>
            </w:r>
          </w:p>
        </w:tc>
        <w:tc>
          <w:tcPr>
            <w:tcW w:w="61" w:type="dxa"/>
            <w:tcBorders/>
            <w:shd w:fill="CCEEFF" w:val="clear"/>
            <w:vAlign w:val="center"/>
          </w:tcPr>
          <w:p>
            <w:pPr>
              <w:pStyle w:val="TableContents"/>
              <w:spacing w:before="0" w:after="283"/>
              <w:rPr>
                <w:sz w:val="4"/>
                <w:szCs w:val="4"/>
              </w:rPr>
            </w:pPr>
            <w:r>
              <w:rPr>
                <w:sz w:val="4"/>
                <w:szCs w:val="4"/>
              </w:rPr>
            </w:r>
          </w:p>
        </w:tc>
        <w:tc>
          <w:tcPr>
            <w:tcW w:w="530" w:type="dxa"/>
            <w:tcBorders/>
            <w:shd w:fill="CCEEFF" w:val="clear"/>
            <w:vAlign w:val="center"/>
          </w:tcPr>
          <w:p>
            <w:pPr>
              <w:pStyle w:val="TableContents"/>
              <w:spacing w:before="0" w:after="283"/>
              <w:rPr>
                <w:sz w:val="4"/>
                <w:szCs w:val="4"/>
              </w:rPr>
            </w:pPr>
            <w:r>
              <w:rPr>
                <w:sz w:val="4"/>
                <w:szCs w:val="4"/>
              </w:rPr>
            </w:r>
          </w:p>
        </w:tc>
        <w:tc>
          <w:tcPr>
            <w:tcW w:w="275"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pPr>
            <w:r>
              <w:rPr/>
              <w:t> </w:t>
            </w:r>
          </w:p>
        </w:tc>
        <w:tc>
          <w:tcPr>
            <w:tcW w:w="165" w:type="dxa"/>
            <w:tcBorders/>
            <w:shd w:fill="CCEEFF" w:val="clear"/>
            <w:vAlign w:val="center"/>
          </w:tcPr>
          <w:p>
            <w:pPr>
              <w:pStyle w:val="TableContents"/>
              <w:spacing w:before="0" w:after="283"/>
              <w:rPr/>
            </w:pPr>
            <w:r>
              <w:rPr/>
              <w:t> </w:t>
            </w:r>
          </w:p>
        </w:tc>
        <w:tc>
          <w:tcPr>
            <w:tcW w:w="943" w:type="dxa"/>
            <w:tcBorders/>
            <w:shd w:fill="CCEEFF" w:val="clear"/>
            <w:vAlign w:val="center"/>
          </w:tcPr>
          <w:p>
            <w:pPr>
              <w:pStyle w:val="TableContents"/>
              <w:spacing w:before="0" w:after="283"/>
              <w:jc w:val="right"/>
              <w:rPr/>
            </w:pPr>
            <w:r>
              <w:rPr/>
              <w:t>132,460</w:t>
            </w:r>
          </w:p>
        </w:tc>
        <w:tc>
          <w:tcPr>
            <w:tcW w:w="70" w:type="dxa"/>
            <w:tcBorders/>
            <w:shd w:fill="CCEEFF" w:val="clear"/>
            <w:vAlign w:val="center"/>
          </w:tcPr>
          <w:p>
            <w:pPr>
              <w:pStyle w:val="TableContents"/>
              <w:spacing w:before="0" w:after="283"/>
              <w:rPr/>
            </w:pPr>
            <w:r>
              <w:rPr/>
              <w:t> </w:t>
            </w:r>
          </w:p>
        </w:tc>
        <w:tc>
          <w:tcPr>
            <w:tcW w:w="141" w:type="dxa"/>
            <w:tcBorders/>
            <w:shd w:fill="CCEEFF" w:val="clear"/>
            <w:vAlign w:val="center"/>
          </w:tcPr>
          <w:p>
            <w:pPr>
              <w:pStyle w:val="TableContents"/>
              <w:spacing w:before="0" w:after="283"/>
              <w:rPr/>
            </w:pPr>
            <w:r>
              <w:rPr/>
              <w:t>  </w:t>
            </w:r>
          </w:p>
        </w:tc>
        <w:tc>
          <w:tcPr>
            <w:tcW w:w="70" w:type="dxa"/>
            <w:tcBorders/>
            <w:shd w:fill="CCEEFF" w:val="clear"/>
            <w:vAlign w:val="center"/>
          </w:tcPr>
          <w:p>
            <w:pPr>
              <w:pStyle w:val="TableContents"/>
              <w:spacing w:before="0" w:after="283"/>
              <w:rPr>
                <w:sz w:val="4"/>
                <w:szCs w:val="4"/>
              </w:rPr>
            </w:pPr>
            <w:r>
              <w:rPr>
                <w:sz w:val="4"/>
                <w:szCs w:val="4"/>
              </w:rPr>
            </w:r>
          </w:p>
        </w:tc>
        <w:tc>
          <w:tcPr>
            <w:tcW w:w="518" w:type="dxa"/>
            <w:tcBorders/>
            <w:shd w:fill="CCEEFF" w:val="clear"/>
            <w:vAlign w:val="center"/>
          </w:tcPr>
          <w:p>
            <w:pPr>
              <w:pStyle w:val="TableContents"/>
              <w:spacing w:before="0" w:after="283"/>
              <w:rPr>
                <w:sz w:val="4"/>
                <w:szCs w:val="4"/>
              </w:rPr>
            </w:pPr>
            <w:r>
              <w:rPr>
                <w:sz w:val="4"/>
                <w:szCs w:val="4"/>
              </w:rPr>
            </w:r>
          </w:p>
        </w:tc>
        <w:tc>
          <w:tcPr>
            <w:tcW w:w="290" w:type="dxa"/>
            <w:tcBorders/>
            <w:shd w:fill="CCEEFF" w:val="clear"/>
            <w:vAlign w:val="center"/>
          </w:tcPr>
          <w:p>
            <w:pPr>
              <w:pStyle w:val="TableContents"/>
              <w:spacing w:before="0" w:after="283"/>
              <w:rPr>
                <w:sz w:val="4"/>
                <w:szCs w:val="4"/>
              </w:rPr>
            </w:pPr>
            <w:r>
              <w:rPr>
                <w:sz w:val="4"/>
                <w:szCs w:val="4"/>
              </w:rPr>
            </w:r>
          </w:p>
        </w:tc>
      </w:tr>
      <w:tr>
        <w:trPr/>
        <w:tc>
          <w:tcPr>
            <w:tcW w:w="510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Pre-opening</w:t>
            </w:r>
          </w:p>
          <w:p>
            <w:pPr>
              <w:pStyle w:val="TableContents"/>
              <w:spacing w:before="0" w:after="0"/>
              <w:rPr>
                <w:rFonts w:ascii="Times New Roman" w:hAnsi="Times New Roman"/>
                <w:sz w:val="20"/>
              </w:rPr>
            </w:pPr>
            <w:r>
              <w:rPr>
                <w:rFonts w:ascii="Times New Roman" w:hAnsi="Times New Roman"/>
                <w:sz w:val="20"/>
              </w:rPr>
              <w:t>costs</w:t>
            </w:r>
          </w:p>
        </w:tc>
        <w:tc>
          <w:tcPr>
            <w:tcW w:w="120" w:type="dxa"/>
            <w:tcBorders/>
            <w:shd w:fill="auto" w:val="clear"/>
            <w:vAlign w:val="center"/>
          </w:tcPr>
          <w:p>
            <w:pPr>
              <w:pStyle w:val="TableContents"/>
              <w:spacing w:before="0" w:after="283"/>
              <w:rPr/>
            </w:pPr>
            <w:r>
              <w:rPr/>
              <w:t>  </w:t>
            </w:r>
          </w:p>
        </w:tc>
        <w:tc>
          <w:tcPr>
            <w:tcW w:w="143" w:type="dxa"/>
            <w:tcBorders/>
            <w:shd w:fill="auto" w:val="clear"/>
            <w:vAlign w:val="center"/>
          </w:tcPr>
          <w:p>
            <w:pPr>
              <w:pStyle w:val="TableContents"/>
              <w:spacing w:before="0" w:after="283"/>
              <w:rPr/>
            </w:pPr>
            <w:r>
              <w:rPr/>
              <w:t> </w:t>
            </w:r>
          </w:p>
        </w:tc>
        <w:tc>
          <w:tcPr>
            <w:tcW w:w="896" w:type="dxa"/>
            <w:tcBorders/>
            <w:shd w:fill="auto" w:val="clear"/>
            <w:vAlign w:val="center"/>
          </w:tcPr>
          <w:p>
            <w:pPr>
              <w:pStyle w:val="TableContents"/>
              <w:spacing w:before="0" w:after="283"/>
              <w:jc w:val="right"/>
              <w:rPr/>
            </w:pPr>
            <w:r>
              <w:rPr/>
              <w:t>11,276</w:t>
            </w:r>
          </w:p>
        </w:tc>
        <w:tc>
          <w:tcPr>
            <w:tcW w:w="158" w:type="dxa"/>
            <w:tcBorders/>
            <w:shd w:fill="auto" w:val="clear"/>
            <w:vAlign w:val="center"/>
          </w:tcPr>
          <w:p>
            <w:pPr>
              <w:pStyle w:val="TableContents"/>
              <w:spacing w:before="0" w:after="283"/>
              <w:rPr/>
            </w:pPr>
            <w:r>
              <w:rPr/>
              <w:t> </w:t>
            </w:r>
          </w:p>
        </w:tc>
        <w:tc>
          <w:tcPr>
            <w:tcW w:w="122" w:type="dxa"/>
            <w:tcBorders/>
            <w:shd w:fill="auto" w:val="clear"/>
            <w:vAlign w:val="center"/>
          </w:tcPr>
          <w:p>
            <w:pPr>
              <w:pStyle w:val="TableContents"/>
              <w:spacing w:before="0" w:after="283"/>
              <w:rPr/>
            </w:pPr>
            <w:r>
              <w:rPr/>
              <w:t>  </w:t>
            </w:r>
          </w:p>
        </w:tc>
        <w:tc>
          <w:tcPr>
            <w:tcW w:w="61" w:type="dxa"/>
            <w:tcBorders/>
            <w:shd w:fill="auto" w:val="clear"/>
            <w:vAlign w:val="center"/>
          </w:tcPr>
          <w:p>
            <w:pPr>
              <w:pStyle w:val="TableContents"/>
              <w:spacing w:before="0" w:after="283"/>
              <w:rPr>
                <w:sz w:val="4"/>
                <w:szCs w:val="4"/>
              </w:rPr>
            </w:pPr>
            <w:r>
              <w:rPr>
                <w:sz w:val="4"/>
                <w:szCs w:val="4"/>
              </w:rPr>
            </w:r>
          </w:p>
        </w:tc>
        <w:tc>
          <w:tcPr>
            <w:tcW w:w="530"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65" w:type="dxa"/>
            <w:tcBorders/>
            <w:shd w:fill="auto" w:val="clear"/>
            <w:vAlign w:val="center"/>
          </w:tcPr>
          <w:p>
            <w:pPr>
              <w:pStyle w:val="TableContents"/>
              <w:spacing w:before="0" w:after="283"/>
              <w:rPr/>
            </w:pPr>
            <w:r>
              <w:rPr/>
              <w:t> </w:t>
            </w:r>
          </w:p>
        </w:tc>
        <w:tc>
          <w:tcPr>
            <w:tcW w:w="943" w:type="dxa"/>
            <w:tcBorders/>
            <w:shd w:fill="auto" w:val="clear"/>
            <w:vAlign w:val="center"/>
          </w:tcPr>
          <w:p>
            <w:pPr>
              <w:pStyle w:val="TableContents"/>
              <w:spacing w:before="0" w:after="283"/>
              <w:jc w:val="right"/>
              <w:rPr/>
            </w:pPr>
            <w:r>
              <w:rPr/>
              <w:t>18,971</w:t>
            </w:r>
          </w:p>
        </w:tc>
        <w:tc>
          <w:tcPr>
            <w:tcW w:w="70" w:type="dxa"/>
            <w:tcBorders/>
            <w:shd w:fill="auto" w:val="clear"/>
            <w:vAlign w:val="center"/>
          </w:tcPr>
          <w:p>
            <w:pPr>
              <w:pStyle w:val="TableContents"/>
              <w:spacing w:before="0" w:after="283"/>
              <w:rPr/>
            </w:pPr>
            <w:r>
              <w:rPr/>
              <w:t> </w:t>
            </w:r>
          </w:p>
        </w:tc>
        <w:tc>
          <w:tcPr>
            <w:tcW w:w="141" w:type="dxa"/>
            <w:tcBorders/>
            <w:shd w:fill="auto" w:val="clear"/>
            <w:vAlign w:val="center"/>
          </w:tcPr>
          <w:p>
            <w:pPr>
              <w:pStyle w:val="TableContents"/>
              <w:spacing w:before="0" w:after="283"/>
              <w:rPr/>
            </w:pPr>
            <w:r>
              <w:rPr/>
              <w:t>  </w:t>
            </w:r>
          </w:p>
        </w:tc>
        <w:tc>
          <w:tcPr>
            <w:tcW w:w="70" w:type="dxa"/>
            <w:tcBorders/>
            <w:shd w:fill="auto" w:val="clear"/>
            <w:vAlign w:val="center"/>
          </w:tcPr>
          <w:p>
            <w:pPr>
              <w:pStyle w:val="TableContents"/>
              <w:spacing w:before="0" w:after="283"/>
              <w:rPr>
                <w:sz w:val="4"/>
                <w:szCs w:val="4"/>
              </w:rPr>
            </w:pPr>
            <w:r>
              <w:rPr>
                <w:sz w:val="4"/>
                <w:szCs w:val="4"/>
              </w:rPr>
            </w:r>
          </w:p>
        </w:tc>
        <w:tc>
          <w:tcPr>
            <w:tcW w:w="518"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r>
      <w:tr>
        <w:trPr/>
        <w:tc>
          <w:tcPr>
            <w:tcW w:w="510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43" w:type="dxa"/>
            <w:tcBorders/>
            <w:shd w:fill="auto" w:val="clear"/>
            <w:vAlign w:val="center"/>
          </w:tcPr>
          <w:p>
            <w:pPr>
              <w:pStyle w:val="TableContents"/>
              <w:spacing w:before="0" w:after="0"/>
              <w:rPr>
                <w:bdr w:val="single" w:sz="2" w:space="1" w:color="000000"/>
              </w:rPr>
            </w:pPr>
            <w:r>
              <w:rPr>
                <w:bdr w:val="single" w:sz="2" w:space="1" w:color="000000"/>
              </w:rPr>
              <w:t> </w:t>
            </w:r>
          </w:p>
        </w:tc>
        <w:tc>
          <w:tcPr>
            <w:tcW w:w="896" w:type="dxa"/>
            <w:tcBorders/>
            <w:shd w:fill="auto" w:val="clear"/>
            <w:vAlign w:val="center"/>
          </w:tcPr>
          <w:p>
            <w:pPr>
              <w:pStyle w:val="TableContents"/>
              <w:spacing w:before="0" w:after="0"/>
              <w:rPr>
                <w:bdr w:val="single" w:sz="2" w:space="1" w:color="000000"/>
              </w:rPr>
            </w:pPr>
            <w:r>
              <w:rPr>
                <w:bdr w:val="single" w:sz="2" w:space="1" w:color="000000"/>
              </w:rPr>
              <w:t> </w:t>
            </w:r>
          </w:p>
        </w:tc>
        <w:tc>
          <w:tcPr>
            <w:tcW w:w="158" w:type="dxa"/>
            <w:tcBorders/>
            <w:shd w:fill="auto" w:val="clear"/>
            <w:vAlign w:val="center"/>
          </w:tcPr>
          <w:p>
            <w:pPr>
              <w:pStyle w:val="TableContents"/>
              <w:spacing w:before="0" w:after="283"/>
              <w:rPr/>
            </w:pPr>
            <w:r>
              <w:rPr/>
              <w:t> </w:t>
            </w:r>
          </w:p>
        </w:tc>
        <w:tc>
          <w:tcPr>
            <w:tcW w:w="122" w:type="dxa"/>
            <w:tcBorders/>
            <w:shd w:fill="auto" w:val="clear"/>
            <w:vAlign w:val="center"/>
          </w:tcPr>
          <w:p>
            <w:pPr>
              <w:pStyle w:val="TableContents"/>
              <w:spacing w:before="0" w:after="283"/>
              <w:rPr/>
            </w:pPr>
            <w:r>
              <w:rPr/>
              <w:t>  </w:t>
            </w:r>
          </w:p>
        </w:tc>
        <w:tc>
          <w:tcPr>
            <w:tcW w:w="61" w:type="dxa"/>
            <w:tcBorders/>
            <w:shd w:fill="auto" w:val="clear"/>
            <w:vAlign w:val="center"/>
          </w:tcPr>
          <w:p>
            <w:pPr>
              <w:pStyle w:val="TableContents"/>
              <w:spacing w:before="0" w:after="283"/>
              <w:rPr>
                <w:sz w:val="4"/>
                <w:szCs w:val="4"/>
              </w:rPr>
            </w:pPr>
            <w:r>
              <w:rPr>
                <w:sz w:val="4"/>
                <w:szCs w:val="4"/>
              </w:rPr>
            </w:r>
          </w:p>
        </w:tc>
        <w:tc>
          <w:tcPr>
            <w:tcW w:w="530"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65" w:type="dxa"/>
            <w:tcBorders/>
            <w:shd w:fill="auto" w:val="clear"/>
            <w:vAlign w:val="center"/>
          </w:tcPr>
          <w:p>
            <w:pPr>
              <w:pStyle w:val="TableContents"/>
              <w:spacing w:before="0" w:after="0"/>
              <w:rPr>
                <w:bdr w:val="single" w:sz="2" w:space="1" w:color="000000"/>
              </w:rPr>
            </w:pPr>
            <w:r>
              <w:rPr>
                <w:bdr w:val="single" w:sz="2" w:space="1" w:color="000000"/>
              </w:rPr>
              <w:t> </w:t>
            </w:r>
          </w:p>
        </w:tc>
        <w:tc>
          <w:tcPr>
            <w:tcW w:w="943" w:type="dxa"/>
            <w:tcBorders/>
            <w:shd w:fill="auto" w:val="clear"/>
            <w:vAlign w:val="center"/>
          </w:tcPr>
          <w:p>
            <w:pPr>
              <w:pStyle w:val="TableContents"/>
              <w:spacing w:before="0" w:after="0"/>
              <w:rPr>
                <w:bdr w:val="single" w:sz="2" w:space="1" w:color="000000"/>
              </w:rPr>
            </w:pPr>
            <w:r>
              <w:rPr>
                <w:bdr w:val="single" w:sz="2" w:space="1" w:color="000000"/>
              </w:rPr>
              <w:t> </w:t>
            </w:r>
          </w:p>
        </w:tc>
        <w:tc>
          <w:tcPr>
            <w:tcW w:w="70" w:type="dxa"/>
            <w:tcBorders/>
            <w:shd w:fill="auto" w:val="clear"/>
            <w:vAlign w:val="center"/>
          </w:tcPr>
          <w:p>
            <w:pPr>
              <w:pStyle w:val="TableContents"/>
              <w:spacing w:before="0" w:after="283"/>
              <w:rPr/>
            </w:pPr>
            <w:r>
              <w:rPr/>
              <w:t> </w:t>
            </w:r>
          </w:p>
        </w:tc>
        <w:tc>
          <w:tcPr>
            <w:tcW w:w="141" w:type="dxa"/>
            <w:tcBorders/>
            <w:shd w:fill="auto" w:val="clear"/>
            <w:vAlign w:val="center"/>
          </w:tcPr>
          <w:p>
            <w:pPr>
              <w:pStyle w:val="TableContents"/>
              <w:spacing w:before="0" w:after="283"/>
              <w:rPr/>
            </w:pPr>
            <w:r>
              <w:rPr/>
              <w:t>  </w:t>
            </w:r>
          </w:p>
        </w:tc>
        <w:tc>
          <w:tcPr>
            <w:tcW w:w="70" w:type="dxa"/>
            <w:tcBorders/>
            <w:shd w:fill="auto" w:val="clear"/>
            <w:vAlign w:val="center"/>
          </w:tcPr>
          <w:p>
            <w:pPr>
              <w:pStyle w:val="TableContents"/>
              <w:spacing w:before="0" w:after="283"/>
              <w:rPr>
                <w:sz w:val="4"/>
                <w:szCs w:val="4"/>
              </w:rPr>
            </w:pPr>
            <w:r>
              <w:rPr>
                <w:sz w:val="4"/>
                <w:szCs w:val="4"/>
              </w:rPr>
            </w:r>
          </w:p>
        </w:tc>
        <w:tc>
          <w:tcPr>
            <w:tcW w:w="518"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r>
      <w:tr>
        <w:trPr/>
        <w:tc>
          <w:tcPr>
            <w:tcW w:w="510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Store Operating Income Before Depreciation and Amortization</w:t>
            </w:r>
          </w:p>
        </w:tc>
        <w:tc>
          <w:tcPr>
            <w:tcW w:w="120" w:type="dxa"/>
            <w:tcBorders/>
            <w:shd w:fill="CCEEFF" w:val="clear"/>
            <w:vAlign w:val="center"/>
          </w:tcPr>
          <w:p>
            <w:pPr>
              <w:pStyle w:val="TableContents"/>
              <w:spacing w:before="0" w:after="283"/>
              <w:rPr/>
            </w:pPr>
            <w:r>
              <w:rPr/>
              <w:t>  </w:t>
            </w:r>
          </w:p>
        </w:tc>
        <w:tc>
          <w:tcPr>
            <w:tcW w:w="143" w:type="dxa"/>
            <w:tcBorders/>
            <w:shd w:fill="CCEEFF" w:val="clear"/>
            <w:vAlign w:val="center"/>
          </w:tcPr>
          <w:p>
            <w:pPr>
              <w:pStyle w:val="TableContents"/>
              <w:spacing w:before="0" w:after="283"/>
              <w:rPr/>
            </w:pPr>
            <w:r>
              <w:rPr/>
              <w:t>$</w:t>
            </w:r>
          </w:p>
        </w:tc>
        <w:tc>
          <w:tcPr>
            <w:tcW w:w="896" w:type="dxa"/>
            <w:tcBorders/>
            <w:shd w:fill="CCEEFF" w:val="clear"/>
            <w:vAlign w:val="center"/>
          </w:tcPr>
          <w:p>
            <w:pPr>
              <w:pStyle w:val="TableContents"/>
              <w:spacing w:before="0" w:after="283"/>
              <w:jc w:val="right"/>
              <w:rPr/>
            </w:pPr>
            <w:r>
              <w:rPr/>
              <w:t>(55,332</w:t>
            </w:r>
          </w:p>
        </w:tc>
        <w:tc>
          <w:tcPr>
            <w:tcW w:w="158" w:type="dxa"/>
            <w:tcBorders/>
            <w:shd w:fill="CCEEFF" w:val="clear"/>
            <w:vAlign w:val="center"/>
          </w:tcPr>
          <w:p>
            <w:pPr>
              <w:pStyle w:val="TableContents"/>
              <w:spacing w:before="0" w:after="283"/>
              <w:rPr/>
            </w:pPr>
            <w:r>
              <w:rPr/>
              <w:t>) </w:t>
            </w:r>
          </w:p>
        </w:tc>
        <w:tc>
          <w:tcPr>
            <w:tcW w:w="122" w:type="dxa"/>
            <w:tcBorders/>
            <w:shd w:fill="CCEEFF" w:val="clear"/>
            <w:vAlign w:val="center"/>
          </w:tcPr>
          <w:p>
            <w:pPr>
              <w:pStyle w:val="TableContents"/>
              <w:spacing w:before="0" w:after="283"/>
              <w:rPr/>
            </w:pPr>
            <w:r>
              <w:rPr/>
              <w:t>  </w:t>
            </w:r>
          </w:p>
        </w:tc>
        <w:tc>
          <w:tcPr>
            <w:tcW w:w="61" w:type="dxa"/>
            <w:tcBorders/>
            <w:shd w:fill="CCEEFF" w:val="clear"/>
            <w:vAlign w:val="center"/>
          </w:tcPr>
          <w:p>
            <w:pPr>
              <w:pStyle w:val="TableContents"/>
              <w:spacing w:before="0" w:after="283"/>
              <w:rPr/>
            </w:pPr>
            <w:r>
              <w:rPr/>
              <w:t> </w:t>
            </w:r>
          </w:p>
        </w:tc>
        <w:tc>
          <w:tcPr>
            <w:tcW w:w="530" w:type="dxa"/>
            <w:tcBorders/>
            <w:shd w:fill="CCEEFF" w:val="clear"/>
            <w:vAlign w:val="center"/>
          </w:tcPr>
          <w:p>
            <w:pPr>
              <w:pStyle w:val="TableContents"/>
              <w:spacing w:before="0" w:after="0"/>
              <w:jc w:val="right"/>
              <w:rPr>
                <w:spacing w:val="0"/>
              </w:rPr>
            </w:pPr>
            <w:r>
              <w:rPr>
                <w:spacing w:val="0"/>
              </w:rPr>
              <w:t>-12.7</w:t>
            </w:r>
          </w:p>
        </w:tc>
        <w:tc>
          <w:tcPr>
            <w:tcW w:w="27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65" w:type="dxa"/>
            <w:tcBorders/>
            <w:shd w:fill="CCEEFF" w:val="clear"/>
            <w:vAlign w:val="center"/>
          </w:tcPr>
          <w:p>
            <w:pPr>
              <w:pStyle w:val="TableContents"/>
              <w:spacing w:before="0" w:after="283"/>
              <w:rPr/>
            </w:pPr>
            <w:r>
              <w:rPr/>
              <w:t>$</w:t>
            </w:r>
          </w:p>
        </w:tc>
        <w:tc>
          <w:tcPr>
            <w:tcW w:w="943" w:type="dxa"/>
            <w:tcBorders/>
            <w:shd w:fill="CCEEFF" w:val="clear"/>
            <w:vAlign w:val="center"/>
          </w:tcPr>
          <w:p>
            <w:pPr>
              <w:pStyle w:val="TableContents"/>
              <w:spacing w:before="0" w:after="283"/>
              <w:jc w:val="right"/>
              <w:rPr/>
            </w:pPr>
            <w:r>
              <w:rPr/>
              <w:t>368,979</w:t>
            </w:r>
          </w:p>
        </w:tc>
        <w:tc>
          <w:tcPr>
            <w:tcW w:w="70" w:type="dxa"/>
            <w:tcBorders/>
            <w:shd w:fill="CCEEFF" w:val="clear"/>
            <w:vAlign w:val="center"/>
          </w:tcPr>
          <w:p>
            <w:pPr>
              <w:pStyle w:val="TableContents"/>
              <w:spacing w:before="0" w:after="283"/>
              <w:rPr/>
            </w:pPr>
            <w:r>
              <w:rPr/>
              <w:t> </w:t>
            </w:r>
          </w:p>
        </w:tc>
        <w:tc>
          <w:tcPr>
            <w:tcW w:w="141" w:type="dxa"/>
            <w:tcBorders/>
            <w:shd w:fill="CCEEFF" w:val="clear"/>
            <w:vAlign w:val="center"/>
          </w:tcPr>
          <w:p>
            <w:pPr>
              <w:pStyle w:val="TableContents"/>
              <w:spacing w:before="0" w:after="283"/>
              <w:rPr/>
            </w:pPr>
            <w:r>
              <w:rPr/>
              <w:t>  </w:t>
            </w:r>
          </w:p>
        </w:tc>
        <w:tc>
          <w:tcPr>
            <w:tcW w:w="70" w:type="dxa"/>
            <w:tcBorders/>
            <w:shd w:fill="CCEEFF" w:val="clear"/>
            <w:vAlign w:val="center"/>
          </w:tcPr>
          <w:p>
            <w:pPr>
              <w:pStyle w:val="TableContents"/>
              <w:spacing w:before="0" w:after="283"/>
              <w:rPr/>
            </w:pPr>
            <w:r>
              <w:rPr/>
              <w:t> </w:t>
            </w:r>
          </w:p>
        </w:tc>
        <w:tc>
          <w:tcPr>
            <w:tcW w:w="518" w:type="dxa"/>
            <w:tcBorders/>
            <w:shd w:fill="CCEEFF" w:val="clear"/>
            <w:vAlign w:val="center"/>
          </w:tcPr>
          <w:p>
            <w:pPr>
              <w:pStyle w:val="TableContents"/>
              <w:spacing w:before="0" w:after="283"/>
              <w:jc w:val="right"/>
              <w:rPr/>
            </w:pPr>
            <w:r>
              <w:rPr/>
              <w:t>27.2</w:t>
            </w:r>
          </w:p>
        </w:tc>
        <w:tc>
          <w:tcPr>
            <w:tcW w:w="290" w:type="dxa"/>
            <w:tcBorders/>
            <w:shd w:fill="CCEEFF" w:val="clear"/>
            <w:vAlign w:val="center"/>
          </w:tcPr>
          <w:p>
            <w:pPr>
              <w:pStyle w:val="TableContents"/>
              <w:spacing w:before="0" w:after="283"/>
              <w:rPr/>
            </w:pPr>
            <w:r>
              <w:rPr/>
              <w:t>% </w:t>
            </w:r>
          </w:p>
        </w:tc>
      </w:tr>
      <w:tr>
        <w:trPr/>
        <w:tc>
          <w:tcPr>
            <w:tcW w:w="510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43" w:type="dxa"/>
            <w:tcBorders/>
            <w:shd w:fill="auto" w:val="clear"/>
            <w:vAlign w:val="center"/>
          </w:tcPr>
          <w:p>
            <w:pPr>
              <w:pStyle w:val="TableContents"/>
              <w:spacing w:before="0" w:after="0"/>
              <w:rPr>
                <w:bdr w:val="double" w:sz="6" w:space="1" w:color="000000"/>
              </w:rPr>
            </w:pPr>
            <w:r>
              <w:rPr>
                <w:bdr w:val="double" w:sz="6" w:space="1" w:color="000000"/>
              </w:rPr>
              <w:t> </w:t>
            </w:r>
          </w:p>
        </w:tc>
        <w:tc>
          <w:tcPr>
            <w:tcW w:w="896" w:type="dxa"/>
            <w:tcBorders/>
            <w:shd w:fill="auto" w:val="clear"/>
            <w:vAlign w:val="center"/>
          </w:tcPr>
          <w:p>
            <w:pPr>
              <w:pStyle w:val="TableContents"/>
              <w:spacing w:before="0" w:after="0"/>
              <w:rPr>
                <w:bdr w:val="double" w:sz="6" w:space="1" w:color="000000"/>
              </w:rPr>
            </w:pPr>
            <w:r>
              <w:rPr>
                <w:bdr w:val="double" w:sz="6" w:space="1" w:color="000000"/>
              </w:rPr>
              <w:t> </w:t>
            </w:r>
          </w:p>
        </w:tc>
        <w:tc>
          <w:tcPr>
            <w:tcW w:w="158" w:type="dxa"/>
            <w:tcBorders/>
            <w:shd w:fill="auto" w:val="clear"/>
            <w:vAlign w:val="center"/>
          </w:tcPr>
          <w:p>
            <w:pPr>
              <w:pStyle w:val="TableContents"/>
              <w:spacing w:before="0" w:after="283"/>
              <w:rPr/>
            </w:pPr>
            <w:r>
              <w:rPr/>
              <w:t> </w:t>
            </w:r>
          </w:p>
        </w:tc>
        <w:tc>
          <w:tcPr>
            <w:tcW w:w="122" w:type="dxa"/>
            <w:tcBorders/>
            <w:shd w:fill="auto" w:val="clear"/>
            <w:vAlign w:val="center"/>
          </w:tcPr>
          <w:p>
            <w:pPr>
              <w:pStyle w:val="TableContents"/>
              <w:spacing w:before="0" w:after="283"/>
              <w:rPr/>
            </w:pPr>
            <w:r>
              <w:rPr/>
              <w:t>  </w:t>
            </w:r>
          </w:p>
        </w:tc>
        <w:tc>
          <w:tcPr>
            <w:tcW w:w="61" w:type="dxa"/>
            <w:tcBorders/>
            <w:shd w:fill="auto" w:val="clear"/>
            <w:vAlign w:val="center"/>
          </w:tcPr>
          <w:p>
            <w:pPr>
              <w:pStyle w:val="TableContents"/>
              <w:spacing w:before="0" w:after="283"/>
              <w:rPr>
                <w:sz w:val="4"/>
                <w:szCs w:val="4"/>
              </w:rPr>
            </w:pPr>
            <w:r>
              <w:rPr>
                <w:sz w:val="4"/>
                <w:szCs w:val="4"/>
              </w:rPr>
            </w:r>
          </w:p>
        </w:tc>
        <w:tc>
          <w:tcPr>
            <w:tcW w:w="530"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65" w:type="dxa"/>
            <w:tcBorders/>
            <w:shd w:fill="auto" w:val="clear"/>
            <w:vAlign w:val="center"/>
          </w:tcPr>
          <w:p>
            <w:pPr>
              <w:pStyle w:val="TableContents"/>
              <w:spacing w:before="0" w:after="0"/>
              <w:rPr>
                <w:bdr w:val="double" w:sz="6" w:space="1" w:color="000000"/>
              </w:rPr>
            </w:pPr>
            <w:r>
              <w:rPr>
                <w:bdr w:val="double" w:sz="6" w:space="1" w:color="000000"/>
              </w:rPr>
              <w:t> </w:t>
            </w:r>
          </w:p>
        </w:tc>
        <w:tc>
          <w:tcPr>
            <w:tcW w:w="943" w:type="dxa"/>
            <w:tcBorders/>
            <w:shd w:fill="auto" w:val="clear"/>
            <w:vAlign w:val="center"/>
          </w:tcPr>
          <w:p>
            <w:pPr>
              <w:pStyle w:val="TableContents"/>
              <w:spacing w:before="0" w:after="0"/>
              <w:rPr>
                <w:bdr w:val="double" w:sz="6" w:space="1" w:color="000000"/>
              </w:rPr>
            </w:pPr>
            <w:r>
              <w:rPr>
                <w:bdr w:val="double" w:sz="6" w:space="1" w:color="000000"/>
              </w:rPr>
              <w:t> </w:t>
            </w:r>
          </w:p>
        </w:tc>
        <w:tc>
          <w:tcPr>
            <w:tcW w:w="70" w:type="dxa"/>
            <w:tcBorders/>
            <w:shd w:fill="auto" w:val="clear"/>
            <w:vAlign w:val="center"/>
          </w:tcPr>
          <w:p>
            <w:pPr>
              <w:pStyle w:val="TableContents"/>
              <w:spacing w:before="0" w:after="283"/>
              <w:rPr/>
            </w:pPr>
            <w:r>
              <w:rPr/>
              <w:t> </w:t>
            </w:r>
          </w:p>
        </w:tc>
        <w:tc>
          <w:tcPr>
            <w:tcW w:w="141" w:type="dxa"/>
            <w:tcBorders/>
            <w:shd w:fill="auto" w:val="clear"/>
            <w:vAlign w:val="center"/>
          </w:tcPr>
          <w:p>
            <w:pPr>
              <w:pStyle w:val="TableContents"/>
              <w:spacing w:before="0" w:after="283"/>
              <w:rPr/>
            </w:pPr>
            <w:r>
              <w:rPr/>
              <w:t>  </w:t>
            </w:r>
          </w:p>
        </w:tc>
        <w:tc>
          <w:tcPr>
            <w:tcW w:w="70" w:type="dxa"/>
            <w:tcBorders/>
            <w:shd w:fill="auto" w:val="clear"/>
            <w:vAlign w:val="center"/>
          </w:tcPr>
          <w:p>
            <w:pPr>
              <w:pStyle w:val="TableContents"/>
              <w:spacing w:before="0" w:after="283"/>
              <w:rPr>
                <w:sz w:val="4"/>
                <w:szCs w:val="4"/>
              </w:rPr>
            </w:pPr>
            <w:r>
              <w:rPr>
                <w:sz w:val="4"/>
                <w:szCs w:val="4"/>
              </w:rPr>
            </w:r>
          </w:p>
        </w:tc>
        <w:tc>
          <w:tcPr>
            <w:tcW w:w="518"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jc w:val="left"/>
        <w:rPr>
          <w:spacing w:val="0"/>
        </w:rPr>
      </w:pPr>
      <w:r>
        <w:rPr>
          <w:spacing w:val="0"/>
        </w:rPr>
        <w:t> </w:t>
      </w:r>
    </w:p>
    <w:p>
      <w:pPr>
        <w:pStyle w:val="TextBody"/>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Capital Additions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The following table reflects accrual-based capital additions. Capital additions do not include any reductions for accrual-based tenant improvement allowances or proceeds from sale-leaseback transactions (collectively, “Payments from landlords”). </w:t>
      </w:r>
    </w:p>
    <w:p>
      <w:pPr>
        <w:pStyle w:val="TextBody"/>
        <w:spacing w:before="0" w:after="0"/>
        <w:jc w:val="left"/>
        <w:rPr>
          <w:spacing w:val="0"/>
        </w:rPr>
      </w:pPr>
      <w:r>
        <w:rPr>
          <w:spacing w:val="0"/>
        </w:rPr>
        <w:t> </w:t>
      </w:r>
    </w:p>
    <w:tbl>
      <w:tblPr>
        <w:tblW w:w="5715" w:type="dxa"/>
        <w:jc w:val="left"/>
        <w:tblInd w:w="0" w:type="dxa"/>
        <w:tblCellMar>
          <w:top w:w="0" w:type="dxa"/>
          <w:left w:w="0" w:type="dxa"/>
          <w:bottom w:w="0" w:type="dxa"/>
          <w:right w:w="0" w:type="dxa"/>
        </w:tblCellMar>
      </w:tblPr>
      <w:tblGrid>
        <w:gridCol w:w="2870"/>
        <w:gridCol w:w="120"/>
        <w:gridCol w:w="210"/>
        <w:gridCol w:w="1025"/>
        <w:gridCol w:w="60"/>
        <w:gridCol w:w="120"/>
        <w:gridCol w:w="183"/>
        <w:gridCol w:w="1052"/>
        <w:gridCol w:w="75"/>
      </w:tblGrid>
      <w:tr>
        <w:trPr/>
        <w:tc>
          <w:tcPr>
            <w:tcW w:w="287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102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83" w:type="dxa"/>
            <w:tcBorders/>
            <w:shd w:fill="auto" w:val="clear"/>
            <w:vAlign w:val="center"/>
          </w:tcPr>
          <w:p>
            <w:pPr>
              <w:pStyle w:val="TableContents"/>
              <w:spacing w:before="0" w:after="283"/>
              <w:rPr>
                <w:sz w:val="4"/>
                <w:szCs w:val="4"/>
              </w:rPr>
            </w:pPr>
            <w:r>
              <w:rPr>
                <w:sz w:val="4"/>
                <w:szCs w:val="4"/>
              </w:rPr>
            </w:r>
          </w:p>
        </w:tc>
        <w:tc>
          <w:tcPr>
            <w:tcW w:w="1052"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287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235" w:type="dxa"/>
            <w:gridSpan w:val="2"/>
            <w:tcBorders/>
            <w:shd w:fill="auto" w:val="clear"/>
            <w:vAlign w:val="center"/>
          </w:tcPr>
          <w:p>
            <w:pPr>
              <w:pStyle w:val="TableContents"/>
              <w:spacing w:before="0" w:after="0"/>
              <w:jc w:val="center"/>
              <w:rPr>
                <w:b/>
                <w:spacing w:val="0"/>
              </w:rPr>
            </w:pPr>
            <w:r>
              <w:rPr>
                <w:b/>
                <w:spacing w:val="0"/>
              </w:rPr>
              <w:t>Fiscal Year</w:t>
              <w:br/>
              <w:t>Ended</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235" w:type="dxa"/>
            <w:gridSpan w:val="2"/>
            <w:tcBorders/>
            <w:shd w:fill="auto" w:val="clear"/>
            <w:vAlign w:val="center"/>
          </w:tcPr>
          <w:p>
            <w:pPr>
              <w:pStyle w:val="TableContents"/>
              <w:spacing w:before="0" w:after="0"/>
              <w:jc w:val="center"/>
              <w:rPr>
                <w:b/>
                <w:spacing w:val="0"/>
              </w:rPr>
            </w:pPr>
            <w:r>
              <w:rPr>
                <w:b/>
                <w:spacing w:val="0"/>
              </w:rPr>
              <w:t>Fiscal Year</w:t>
              <w:br/>
              <w:t>Ended</w:t>
            </w:r>
          </w:p>
        </w:tc>
        <w:tc>
          <w:tcPr>
            <w:tcW w:w="75" w:type="dxa"/>
            <w:tcBorders/>
            <w:shd w:fill="auto" w:val="clear"/>
            <w:vAlign w:val="center"/>
          </w:tcPr>
          <w:p>
            <w:pPr>
              <w:pStyle w:val="TableContents"/>
              <w:spacing w:before="0" w:after="283"/>
              <w:rPr/>
            </w:pPr>
            <w:r>
              <w:rPr/>
              <w:t> </w:t>
            </w:r>
          </w:p>
        </w:tc>
      </w:tr>
      <w:tr>
        <w:trPr/>
        <w:tc>
          <w:tcPr>
            <w:tcW w:w="287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235" w:type="dxa"/>
            <w:gridSpan w:val="2"/>
            <w:tcBorders/>
            <w:shd w:fill="auto" w:val="clear"/>
            <w:vAlign w:val="center"/>
          </w:tcPr>
          <w:p>
            <w:pPr>
              <w:pStyle w:val="TableContents"/>
              <w:spacing w:before="0" w:after="0"/>
              <w:jc w:val="center"/>
              <w:rPr>
                <w:b/>
                <w:spacing w:val="0"/>
              </w:rPr>
            </w:pPr>
            <w:r>
              <w:rPr>
                <w:b/>
                <w:spacing w:val="0"/>
              </w:rPr>
              <w:t>January 31,</w:t>
              <w:br/>
              <w:t>2021</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235" w:type="dxa"/>
            <w:gridSpan w:val="2"/>
            <w:tcBorders/>
            <w:shd w:fill="auto" w:val="clear"/>
            <w:vAlign w:val="center"/>
          </w:tcPr>
          <w:p>
            <w:pPr>
              <w:pStyle w:val="TableContents"/>
              <w:spacing w:before="0" w:after="0"/>
              <w:jc w:val="center"/>
              <w:rPr>
                <w:b/>
                <w:spacing w:val="0"/>
              </w:rPr>
            </w:pPr>
            <w:r>
              <w:rPr>
                <w:b/>
                <w:spacing w:val="0"/>
              </w:rPr>
              <w:t>February 3,</w:t>
              <w:br/>
              <w:t>2020</w:t>
            </w:r>
          </w:p>
        </w:tc>
        <w:tc>
          <w:tcPr>
            <w:tcW w:w="75" w:type="dxa"/>
            <w:tcBorders/>
            <w:shd w:fill="auto" w:val="clear"/>
            <w:vAlign w:val="center"/>
          </w:tcPr>
          <w:p>
            <w:pPr>
              <w:pStyle w:val="TableContents"/>
              <w:spacing w:before="0" w:after="283"/>
              <w:rPr/>
            </w:pPr>
            <w:r>
              <w:rPr/>
              <w:t> </w:t>
            </w:r>
          </w:p>
        </w:tc>
      </w:tr>
      <w:tr>
        <w:trPr/>
        <w:tc>
          <w:tcPr>
            <w:tcW w:w="287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New store and operating initiatives</w:t>
            </w:r>
          </w:p>
        </w:tc>
        <w:tc>
          <w:tcPr>
            <w:tcW w:w="120" w:type="dxa"/>
            <w:tcBorders/>
            <w:shd w:fill="CCEEFF" w:val="clear"/>
            <w:vAlign w:val="center"/>
          </w:tcPr>
          <w:p>
            <w:pPr>
              <w:pStyle w:val="TableContents"/>
              <w:spacing w:before="0" w:after="283"/>
              <w:rPr/>
            </w:pPr>
            <w:r>
              <w:rPr/>
              <w:t>  </w:t>
            </w:r>
          </w:p>
        </w:tc>
        <w:tc>
          <w:tcPr>
            <w:tcW w:w="210" w:type="dxa"/>
            <w:tcBorders/>
            <w:shd w:fill="CCEEFF" w:val="clear"/>
            <w:vAlign w:val="center"/>
          </w:tcPr>
          <w:p>
            <w:pPr>
              <w:pStyle w:val="TableContents"/>
              <w:spacing w:before="0" w:after="283"/>
              <w:rPr/>
            </w:pPr>
            <w:r>
              <w:rPr/>
              <w:t>$</w:t>
            </w:r>
          </w:p>
        </w:tc>
        <w:tc>
          <w:tcPr>
            <w:tcW w:w="1025" w:type="dxa"/>
            <w:tcBorders/>
            <w:shd w:fill="CCEEFF" w:val="clear"/>
            <w:vAlign w:val="center"/>
          </w:tcPr>
          <w:p>
            <w:pPr>
              <w:pStyle w:val="TableContents"/>
              <w:spacing w:before="0" w:after="283"/>
              <w:jc w:val="right"/>
              <w:rPr/>
            </w:pPr>
            <w:r>
              <w:rPr/>
              <w:t>51,572</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83" w:type="dxa"/>
            <w:tcBorders/>
            <w:shd w:fill="CCEEFF" w:val="clear"/>
            <w:vAlign w:val="center"/>
          </w:tcPr>
          <w:p>
            <w:pPr>
              <w:pStyle w:val="TableContents"/>
              <w:spacing w:before="0" w:after="283"/>
              <w:rPr/>
            </w:pPr>
            <w:r>
              <w:rPr/>
              <w:t>$</w:t>
            </w:r>
          </w:p>
        </w:tc>
        <w:tc>
          <w:tcPr>
            <w:tcW w:w="1052" w:type="dxa"/>
            <w:tcBorders/>
            <w:shd w:fill="CCEEFF" w:val="clear"/>
            <w:vAlign w:val="center"/>
          </w:tcPr>
          <w:p>
            <w:pPr>
              <w:pStyle w:val="TableContents"/>
              <w:spacing w:before="0" w:after="283"/>
              <w:jc w:val="right"/>
              <w:rPr/>
            </w:pPr>
            <w:r>
              <w:rPr/>
              <w:t>183,897</w:t>
            </w:r>
          </w:p>
        </w:tc>
        <w:tc>
          <w:tcPr>
            <w:tcW w:w="75" w:type="dxa"/>
            <w:tcBorders/>
            <w:shd w:fill="CCEEFF" w:val="clear"/>
            <w:vAlign w:val="center"/>
          </w:tcPr>
          <w:p>
            <w:pPr>
              <w:pStyle w:val="TableContents"/>
              <w:spacing w:before="0" w:after="283"/>
              <w:rPr/>
            </w:pPr>
            <w:r>
              <w:rPr/>
              <w:t> </w:t>
            </w:r>
          </w:p>
        </w:tc>
      </w:tr>
      <w:tr>
        <w:trPr/>
        <w:tc>
          <w:tcPr>
            <w:tcW w:w="287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Games</w:t>
            </w:r>
          </w:p>
        </w:tc>
        <w:tc>
          <w:tcPr>
            <w:tcW w:w="120" w:type="dxa"/>
            <w:tcBorders/>
            <w:shd w:fill="auto" w:val="clear"/>
            <w:vAlign w:val="center"/>
          </w:tcPr>
          <w:p>
            <w:pPr>
              <w:pStyle w:val="TableContents"/>
              <w:spacing w:before="0" w:after="283"/>
              <w:rPr/>
            </w:pPr>
            <w:r>
              <w:rPr/>
              <w:t>  </w:t>
            </w:r>
          </w:p>
        </w:tc>
        <w:tc>
          <w:tcPr>
            <w:tcW w:w="210" w:type="dxa"/>
            <w:tcBorders/>
            <w:shd w:fill="auto" w:val="clear"/>
            <w:vAlign w:val="center"/>
          </w:tcPr>
          <w:p>
            <w:pPr>
              <w:pStyle w:val="TableContents"/>
              <w:spacing w:before="0" w:after="283"/>
              <w:rPr/>
            </w:pPr>
            <w:r>
              <w:rPr/>
              <w:t> </w:t>
            </w:r>
          </w:p>
        </w:tc>
        <w:tc>
          <w:tcPr>
            <w:tcW w:w="1025" w:type="dxa"/>
            <w:tcBorders/>
            <w:shd w:fill="auto" w:val="clear"/>
            <w:vAlign w:val="center"/>
          </w:tcPr>
          <w:p>
            <w:pPr>
              <w:pStyle w:val="TableContents"/>
              <w:spacing w:before="0" w:after="283"/>
              <w:jc w:val="right"/>
              <w:rPr/>
            </w:pPr>
            <w:r>
              <w:rPr/>
              <w:t>8,795</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83" w:type="dxa"/>
            <w:tcBorders/>
            <w:shd w:fill="auto" w:val="clear"/>
            <w:vAlign w:val="center"/>
          </w:tcPr>
          <w:p>
            <w:pPr>
              <w:pStyle w:val="TableContents"/>
              <w:spacing w:before="0" w:after="283"/>
              <w:rPr/>
            </w:pPr>
            <w:r>
              <w:rPr/>
              <w:t> </w:t>
            </w:r>
          </w:p>
        </w:tc>
        <w:tc>
          <w:tcPr>
            <w:tcW w:w="1052" w:type="dxa"/>
            <w:tcBorders/>
            <w:shd w:fill="auto" w:val="clear"/>
            <w:vAlign w:val="center"/>
          </w:tcPr>
          <w:p>
            <w:pPr>
              <w:pStyle w:val="TableContents"/>
              <w:spacing w:before="0" w:after="283"/>
              <w:jc w:val="right"/>
              <w:rPr/>
            </w:pPr>
            <w:r>
              <w:rPr/>
              <w:t>19,749</w:t>
            </w:r>
          </w:p>
        </w:tc>
        <w:tc>
          <w:tcPr>
            <w:tcW w:w="75" w:type="dxa"/>
            <w:tcBorders/>
            <w:shd w:fill="auto" w:val="clear"/>
            <w:vAlign w:val="center"/>
          </w:tcPr>
          <w:p>
            <w:pPr>
              <w:pStyle w:val="TableContents"/>
              <w:spacing w:before="0" w:after="283"/>
              <w:rPr/>
            </w:pPr>
            <w:r>
              <w:rPr/>
              <w:t> </w:t>
            </w:r>
          </w:p>
        </w:tc>
      </w:tr>
      <w:tr>
        <w:trPr/>
        <w:tc>
          <w:tcPr>
            <w:tcW w:w="287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Maintenance capital</w:t>
            </w:r>
          </w:p>
        </w:tc>
        <w:tc>
          <w:tcPr>
            <w:tcW w:w="120" w:type="dxa"/>
            <w:tcBorders/>
            <w:shd w:fill="CCEEFF" w:val="clear"/>
            <w:vAlign w:val="center"/>
          </w:tcPr>
          <w:p>
            <w:pPr>
              <w:pStyle w:val="TableContents"/>
              <w:spacing w:before="0" w:after="283"/>
              <w:rPr/>
            </w:pPr>
            <w:r>
              <w:rPr/>
              <w:t>  </w:t>
            </w:r>
          </w:p>
        </w:tc>
        <w:tc>
          <w:tcPr>
            <w:tcW w:w="210" w:type="dxa"/>
            <w:tcBorders/>
            <w:shd w:fill="CCEEFF" w:val="clear"/>
            <w:vAlign w:val="center"/>
          </w:tcPr>
          <w:p>
            <w:pPr>
              <w:pStyle w:val="TableContents"/>
              <w:spacing w:before="0" w:after="283"/>
              <w:rPr/>
            </w:pPr>
            <w:r>
              <w:rPr/>
              <w:t> </w:t>
            </w:r>
          </w:p>
        </w:tc>
        <w:tc>
          <w:tcPr>
            <w:tcW w:w="1025" w:type="dxa"/>
            <w:tcBorders/>
            <w:shd w:fill="CCEEFF" w:val="clear"/>
            <w:vAlign w:val="center"/>
          </w:tcPr>
          <w:p>
            <w:pPr>
              <w:pStyle w:val="TableContents"/>
              <w:spacing w:before="0" w:after="283"/>
              <w:jc w:val="right"/>
              <w:rPr/>
            </w:pPr>
            <w:r>
              <w:rPr/>
              <w:t>3,266</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83" w:type="dxa"/>
            <w:tcBorders/>
            <w:shd w:fill="CCEEFF" w:val="clear"/>
            <w:vAlign w:val="center"/>
          </w:tcPr>
          <w:p>
            <w:pPr>
              <w:pStyle w:val="TableContents"/>
              <w:spacing w:before="0" w:after="283"/>
              <w:rPr/>
            </w:pPr>
            <w:r>
              <w:rPr/>
              <w:t> </w:t>
            </w:r>
          </w:p>
        </w:tc>
        <w:tc>
          <w:tcPr>
            <w:tcW w:w="1052" w:type="dxa"/>
            <w:tcBorders/>
            <w:shd w:fill="CCEEFF" w:val="clear"/>
            <w:vAlign w:val="center"/>
          </w:tcPr>
          <w:p>
            <w:pPr>
              <w:pStyle w:val="TableContents"/>
              <w:spacing w:before="0" w:after="283"/>
              <w:jc w:val="right"/>
              <w:rPr/>
            </w:pPr>
            <w:r>
              <w:rPr/>
              <w:t>27,351</w:t>
            </w:r>
          </w:p>
        </w:tc>
        <w:tc>
          <w:tcPr>
            <w:tcW w:w="75" w:type="dxa"/>
            <w:tcBorders/>
            <w:shd w:fill="CCEEFF" w:val="clear"/>
            <w:vAlign w:val="center"/>
          </w:tcPr>
          <w:p>
            <w:pPr>
              <w:pStyle w:val="TableContents"/>
              <w:spacing w:before="0" w:after="283"/>
              <w:rPr/>
            </w:pPr>
            <w:r>
              <w:rPr/>
              <w:t> </w:t>
            </w:r>
          </w:p>
        </w:tc>
      </w:tr>
      <w:tr>
        <w:trPr/>
        <w:tc>
          <w:tcPr>
            <w:tcW w:w="287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210" w:type="dxa"/>
            <w:tcBorders/>
            <w:shd w:fill="auto" w:val="clear"/>
            <w:vAlign w:val="center"/>
          </w:tcPr>
          <w:p>
            <w:pPr>
              <w:pStyle w:val="TableContents"/>
              <w:spacing w:before="0" w:after="0"/>
              <w:rPr>
                <w:bdr w:val="single" w:sz="2" w:space="1" w:color="000000"/>
              </w:rPr>
            </w:pPr>
            <w:r>
              <w:rPr>
                <w:bdr w:val="single" w:sz="2" w:space="1" w:color="000000"/>
              </w:rPr>
              <w:t> </w:t>
            </w:r>
          </w:p>
        </w:tc>
        <w:tc>
          <w:tcPr>
            <w:tcW w:w="1025" w:type="dxa"/>
            <w:tcBorders/>
            <w:shd w:fill="auto" w:val="clear"/>
            <w:vAlign w:val="center"/>
          </w:tcPr>
          <w:p>
            <w:pPr>
              <w:pStyle w:val="TableContents"/>
              <w:spacing w:before="0" w:after="0"/>
              <w:rPr>
                <w:bdr w:val="single" w:sz="2" w:space="1" w:color="000000"/>
              </w:rPr>
            </w:pPr>
            <w:r>
              <w:rPr>
                <w:bdr w:val="single" w:sz="2"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83" w:type="dxa"/>
            <w:tcBorders/>
            <w:shd w:fill="auto" w:val="clear"/>
            <w:vAlign w:val="center"/>
          </w:tcPr>
          <w:p>
            <w:pPr>
              <w:pStyle w:val="TableContents"/>
              <w:spacing w:before="0" w:after="0"/>
              <w:rPr>
                <w:bdr w:val="single" w:sz="2" w:space="1" w:color="000000"/>
              </w:rPr>
            </w:pPr>
            <w:r>
              <w:rPr>
                <w:bdr w:val="single" w:sz="2" w:space="1" w:color="000000"/>
              </w:rPr>
              <w:t> </w:t>
            </w:r>
          </w:p>
        </w:tc>
        <w:tc>
          <w:tcPr>
            <w:tcW w:w="1052" w:type="dxa"/>
            <w:tcBorders/>
            <w:shd w:fill="auto" w:val="clear"/>
            <w:vAlign w:val="center"/>
          </w:tcPr>
          <w:p>
            <w:pPr>
              <w:pStyle w:val="TableContents"/>
              <w:spacing w:before="0" w:after="0"/>
              <w:rPr>
                <w:bdr w:val="single" w:sz="2" w:space="1" w:color="000000"/>
              </w:rPr>
            </w:pPr>
            <w:r>
              <w:rPr>
                <w:bdr w:val="single" w:sz="2" w:space="1" w:color="000000"/>
              </w:rPr>
              <w:t> </w:t>
            </w:r>
          </w:p>
        </w:tc>
        <w:tc>
          <w:tcPr>
            <w:tcW w:w="75" w:type="dxa"/>
            <w:tcBorders/>
            <w:shd w:fill="auto" w:val="clear"/>
            <w:vAlign w:val="center"/>
          </w:tcPr>
          <w:p>
            <w:pPr>
              <w:pStyle w:val="TableContents"/>
              <w:spacing w:before="0" w:after="283"/>
              <w:rPr/>
            </w:pPr>
            <w:r>
              <w:rPr/>
              <w:t> </w:t>
            </w:r>
          </w:p>
        </w:tc>
      </w:tr>
      <w:tr>
        <w:trPr/>
        <w:tc>
          <w:tcPr>
            <w:tcW w:w="287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Total capital additions</w:t>
            </w:r>
          </w:p>
        </w:tc>
        <w:tc>
          <w:tcPr>
            <w:tcW w:w="120" w:type="dxa"/>
            <w:tcBorders/>
            <w:shd w:fill="auto" w:val="clear"/>
            <w:vAlign w:val="center"/>
          </w:tcPr>
          <w:p>
            <w:pPr>
              <w:pStyle w:val="TableContents"/>
              <w:spacing w:before="0" w:after="283"/>
              <w:rPr/>
            </w:pPr>
            <w:r>
              <w:rPr/>
              <w:t>  </w:t>
            </w:r>
          </w:p>
        </w:tc>
        <w:tc>
          <w:tcPr>
            <w:tcW w:w="210" w:type="dxa"/>
            <w:tcBorders/>
            <w:shd w:fill="auto" w:val="clear"/>
            <w:vAlign w:val="center"/>
          </w:tcPr>
          <w:p>
            <w:pPr>
              <w:pStyle w:val="TableContents"/>
              <w:spacing w:before="0" w:after="283"/>
              <w:rPr/>
            </w:pPr>
            <w:r>
              <w:rPr/>
              <w:t>$</w:t>
            </w:r>
          </w:p>
        </w:tc>
        <w:tc>
          <w:tcPr>
            <w:tcW w:w="1025" w:type="dxa"/>
            <w:tcBorders/>
            <w:shd w:fill="auto" w:val="clear"/>
            <w:vAlign w:val="center"/>
          </w:tcPr>
          <w:p>
            <w:pPr>
              <w:pStyle w:val="TableContents"/>
              <w:spacing w:before="0" w:after="283"/>
              <w:jc w:val="right"/>
              <w:rPr/>
            </w:pPr>
            <w:r>
              <w:rPr/>
              <w:t>63,633</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83" w:type="dxa"/>
            <w:tcBorders/>
            <w:shd w:fill="auto" w:val="clear"/>
            <w:vAlign w:val="center"/>
          </w:tcPr>
          <w:p>
            <w:pPr>
              <w:pStyle w:val="TableContents"/>
              <w:spacing w:before="0" w:after="283"/>
              <w:rPr/>
            </w:pPr>
            <w:r>
              <w:rPr/>
              <w:t>$</w:t>
            </w:r>
          </w:p>
        </w:tc>
        <w:tc>
          <w:tcPr>
            <w:tcW w:w="1052" w:type="dxa"/>
            <w:tcBorders/>
            <w:shd w:fill="auto" w:val="clear"/>
            <w:vAlign w:val="center"/>
          </w:tcPr>
          <w:p>
            <w:pPr>
              <w:pStyle w:val="TableContents"/>
              <w:spacing w:before="0" w:after="283"/>
              <w:jc w:val="right"/>
              <w:rPr/>
            </w:pPr>
            <w:r>
              <w:rPr/>
              <w:t>230,997</w:t>
            </w:r>
          </w:p>
        </w:tc>
        <w:tc>
          <w:tcPr>
            <w:tcW w:w="75" w:type="dxa"/>
            <w:tcBorders/>
            <w:shd w:fill="auto" w:val="clear"/>
            <w:vAlign w:val="center"/>
          </w:tcPr>
          <w:p>
            <w:pPr>
              <w:pStyle w:val="TableContents"/>
              <w:spacing w:before="0" w:after="283"/>
              <w:rPr/>
            </w:pPr>
            <w:r>
              <w:rPr/>
              <w:t> </w:t>
            </w:r>
          </w:p>
        </w:tc>
      </w:tr>
      <w:tr>
        <w:trPr/>
        <w:tc>
          <w:tcPr>
            <w:tcW w:w="287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210" w:type="dxa"/>
            <w:tcBorders/>
            <w:shd w:fill="auto" w:val="clear"/>
            <w:vAlign w:val="center"/>
          </w:tcPr>
          <w:p>
            <w:pPr>
              <w:pStyle w:val="TableContents"/>
              <w:spacing w:before="0" w:after="0"/>
              <w:rPr>
                <w:bdr w:val="double" w:sz="6" w:space="1" w:color="000000"/>
              </w:rPr>
            </w:pPr>
            <w:r>
              <w:rPr>
                <w:bdr w:val="double" w:sz="6" w:space="1" w:color="000000"/>
              </w:rPr>
              <w:t> </w:t>
            </w:r>
          </w:p>
        </w:tc>
        <w:tc>
          <w:tcPr>
            <w:tcW w:w="1025" w:type="dxa"/>
            <w:tcBorders/>
            <w:shd w:fill="auto" w:val="clear"/>
            <w:vAlign w:val="center"/>
          </w:tcPr>
          <w:p>
            <w:pPr>
              <w:pStyle w:val="TableContents"/>
              <w:spacing w:before="0" w:after="0"/>
              <w:rPr>
                <w:bdr w:val="double" w:sz="6" w:space="1" w:color="000000"/>
              </w:rPr>
            </w:pPr>
            <w:r>
              <w:rPr>
                <w:bdr w:val="double" w:sz="6"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83" w:type="dxa"/>
            <w:tcBorders/>
            <w:shd w:fill="auto" w:val="clear"/>
            <w:vAlign w:val="center"/>
          </w:tcPr>
          <w:p>
            <w:pPr>
              <w:pStyle w:val="TableContents"/>
              <w:spacing w:before="0" w:after="0"/>
              <w:rPr>
                <w:bdr w:val="double" w:sz="6" w:space="1" w:color="000000"/>
              </w:rPr>
            </w:pPr>
            <w:r>
              <w:rPr>
                <w:bdr w:val="double" w:sz="6" w:space="1" w:color="000000"/>
              </w:rPr>
              <w:t> </w:t>
            </w:r>
          </w:p>
        </w:tc>
        <w:tc>
          <w:tcPr>
            <w:tcW w:w="1052" w:type="dxa"/>
            <w:tcBorders/>
            <w:shd w:fill="auto" w:val="clear"/>
            <w:vAlign w:val="center"/>
          </w:tcPr>
          <w:p>
            <w:pPr>
              <w:pStyle w:val="TableContents"/>
              <w:spacing w:before="0" w:after="0"/>
              <w:rPr>
                <w:bdr w:val="double" w:sz="6" w:space="1" w:color="000000"/>
              </w:rPr>
            </w:pPr>
            <w:r>
              <w:rPr>
                <w:bdr w:val="double" w:sz="6" w:space="1" w:color="000000"/>
              </w:rPr>
              <w:t> </w:t>
            </w:r>
          </w:p>
        </w:tc>
        <w:tc>
          <w:tcPr>
            <w:tcW w:w="75" w:type="dxa"/>
            <w:tcBorders/>
            <w:shd w:fill="auto" w:val="clear"/>
            <w:vAlign w:val="center"/>
          </w:tcPr>
          <w:p>
            <w:pPr>
              <w:pStyle w:val="TableContents"/>
              <w:spacing w:before="0" w:after="283"/>
              <w:rPr/>
            </w:pPr>
            <w:r>
              <w:rPr/>
              <w:t> </w:t>
            </w:r>
          </w:p>
        </w:tc>
      </w:tr>
      <w:tr>
        <w:trPr/>
        <w:tc>
          <w:tcPr>
            <w:tcW w:w="287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Payments from landlords</w:t>
            </w:r>
          </w:p>
        </w:tc>
        <w:tc>
          <w:tcPr>
            <w:tcW w:w="120" w:type="dxa"/>
            <w:tcBorders/>
            <w:shd w:fill="CCEEFF" w:val="clear"/>
            <w:vAlign w:val="center"/>
          </w:tcPr>
          <w:p>
            <w:pPr>
              <w:pStyle w:val="TableContents"/>
              <w:spacing w:before="0" w:after="283"/>
              <w:rPr/>
            </w:pPr>
            <w:r>
              <w:rPr/>
              <w:t>  </w:t>
            </w:r>
          </w:p>
        </w:tc>
        <w:tc>
          <w:tcPr>
            <w:tcW w:w="210" w:type="dxa"/>
            <w:tcBorders/>
            <w:shd w:fill="CCEEFF" w:val="clear"/>
            <w:vAlign w:val="center"/>
          </w:tcPr>
          <w:p>
            <w:pPr>
              <w:pStyle w:val="TableContents"/>
              <w:spacing w:before="0" w:after="283"/>
              <w:rPr/>
            </w:pPr>
            <w:r>
              <w:rPr/>
              <w:t>$</w:t>
            </w:r>
          </w:p>
        </w:tc>
        <w:tc>
          <w:tcPr>
            <w:tcW w:w="1025" w:type="dxa"/>
            <w:tcBorders/>
            <w:shd w:fill="CCEEFF" w:val="clear"/>
            <w:vAlign w:val="center"/>
          </w:tcPr>
          <w:p>
            <w:pPr>
              <w:pStyle w:val="TableContents"/>
              <w:spacing w:before="0" w:after="283"/>
              <w:jc w:val="right"/>
              <w:rPr/>
            </w:pPr>
            <w:r>
              <w:rPr/>
              <w:t>12,923</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83" w:type="dxa"/>
            <w:tcBorders/>
            <w:shd w:fill="CCEEFF" w:val="clear"/>
            <w:vAlign w:val="center"/>
          </w:tcPr>
          <w:p>
            <w:pPr>
              <w:pStyle w:val="TableContents"/>
              <w:spacing w:before="0" w:after="283"/>
              <w:rPr/>
            </w:pPr>
            <w:r>
              <w:rPr/>
              <w:t>$</w:t>
            </w:r>
          </w:p>
        </w:tc>
        <w:tc>
          <w:tcPr>
            <w:tcW w:w="1052" w:type="dxa"/>
            <w:tcBorders/>
            <w:shd w:fill="CCEEFF" w:val="clear"/>
            <w:vAlign w:val="center"/>
          </w:tcPr>
          <w:p>
            <w:pPr>
              <w:pStyle w:val="TableContents"/>
              <w:spacing w:before="0" w:after="283"/>
              <w:jc w:val="right"/>
              <w:rPr/>
            </w:pPr>
            <w:r>
              <w:rPr/>
              <w:t>33,544</w:t>
            </w:r>
          </w:p>
        </w:tc>
        <w:tc>
          <w:tcPr>
            <w:tcW w:w="75" w:type="dxa"/>
            <w:tcBorders/>
            <w:shd w:fill="CCEEFF" w:val="clear"/>
            <w:vAlign w:val="center"/>
          </w:tcPr>
          <w:p>
            <w:pPr>
              <w:pStyle w:val="TableContents"/>
              <w:spacing w:before="0" w:after="283"/>
              <w:rPr/>
            </w:pPr>
            <w:r>
              <w:rPr/>
              <w:t> </w:t>
            </w:r>
          </w:p>
        </w:tc>
      </w:tr>
    </w:tbl>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39 </w:t>
      </w:r>
    </w:p>
    <w:p>
      <w:pPr>
        <w:pStyle w:val="HorizontalLine"/>
        <w:rPr/>
      </w:pPr>
      <w:r>
        <w:rPr/>
      </w:r>
    </w:p>
    <w:p>
      <w:pPr>
        <w:pStyle w:val="TextBody"/>
        <w:spacing w:before="0" w:after="0"/>
        <w:rPr/>
      </w:pPr>
      <w:hyperlink w:anchor="toc">
        <w:r>
          <w:rPr>
            <w:rStyle w:val="InternetLink"/>
            <w:b/>
            <w:sz w:val="20"/>
          </w:rPr>
          <w:t>Table of Contents</w:t>
        </w:r>
      </w:hyperlink>
    </w:p>
    <w:p>
      <w:pPr>
        <w:pStyle w:val="TextBody"/>
        <w:spacing w:before="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Results of Operations </w:t>
      </w:r>
    </w:p>
    <w:p>
      <w:pPr>
        <w:pStyle w:val="TextBody"/>
        <w:spacing w:before="12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Revenues </w:t>
      </w:r>
    </w:p>
    <w:p>
      <w:pPr>
        <w:pStyle w:val="TextBody"/>
        <w:spacing w:before="120" w:after="0"/>
        <w:jc w:val="left"/>
        <w:rPr>
          <w:rFonts w:ascii="Times New Roman" w:hAnsi="Times New Roman"/>
          <w:sz w:val="20"/>
        </w:rPr>
      </w:pPr>
      <w:r>
        <w:rPr>
          <w:rFonts w:ascii="Times New Roman" w:hAnsi="Times New Roman"/>
          <w:sz w:val="20"/>
        </w:rPr>
        <w:t xml:space="preserve">In response to the </w:t>
      </w:r>
    </w:p>
    <w:p>
      <w:pPr>
        <w:pStyle w:val="TextBody"/>
        <w:spacing w:before="120" w:after="0"/>
        <w:jc w:val="left"/>
        <w:rPr>
          <w:rFonts w:ascii="Times New Roman" w:hAnsi="Times New Roman"/>
          <w:spacing w:val="0"/>
          <w:sz w:val="20"/>
        </w:rPr>
      </w:pPr>
      <w:r>
        <w:rPr>
          <w:rFonts w:ascii="Times New Roman" w:hAnsi="Times New Roman"/>
          <w:spacing w:val="0"/>
          <w:sz w:val="20"/>
        </w:rPr>
        <w:t>COVID-19</w:t>
      </w:r>
    </w:p>
    <w:p>
      <w:pPr>
        <w:pStyle w:val="TextBody"/>
        <w:spacing w:before="120" w:after="0"/>
        <w:jc w:val="left"/>
        <w:rPr>
          <w:rFonts w:ascii="Times New Roman" w:hAnsi="Times New Roman"/>
          <w:sz w:val="20"/>
        </w:rPr>
      </w:pPr>
      <w:r>
        <w:rPr>
          <w:rFonts w:ascii="Times New Roman" w:hAnsi="Times New Roman"/>
          <w:sz w:val="20"/>
        </w:rPr>
        <w:t xml:space="preserve">outbreak, which was declared a global pandemic on March 11, 2020 and a National Public Health Emergency in the United States on March 13, 2020, the Company temporarily closed of all of our 137 stores by March 20, 2020 (including our one new store opening March 16, 2020). On April 30, 2020, our first store </w:t>
      </w:r>
    </w:p>
    <w:p>
      <w:pPr>
        <w:pStyle w:val="TextBody"/>
        <w:spacing w:before="120" w:after="0"/>
        <w:jc w:val="left"/>
        <w:rPr>
          <w:rFonts w:ascii="Times New Roman" w:hAnsi="Times New Roman"/>
          <w:spacing w:val="0"/>
          <w:sz w:val="20"/>
        </w:rPr>
      </w:pPr>
      <w:r>
        <w:rPr>
          <w:rFonts w:ascii="Times New Roman" w:hAnsi="Times New Roman"/>
          <w:spacing w:val="0"/>
          <w:sz w:val="20"/>
        </w:rPr>
        <w:t>re-opened</w:t>
      </w:r>
    </w:p>
    <w:p>
      <w:pPr>
        <w:pStyle w:val="TextBody"/>
        <w:spacing w:before="120" w:after="0"/>
        <w:jc w:val="left"/>
        <w:rPr>
          <w:rFonts w:ascii="Times New Roman" w:hAnsi="Times New Roman"/>
          <w:sz w:val="20"/>
        </w:rPr>
      </w:pPr>
      <w:r>
        <w:rPr>
          <w:rFonts w:ascii="Times New Roman" w:hAnsi="Times New Roman"/>
          <w:sz w:val="20"/>
        </w:rPr>
        <w:t xml:space="preserve">to the public, as state and local guidelines began to allow dining rooms and arcades to open at limited capacity and/or limited hours of operation. By the end of fiscal 2020, we had progressively </w:t>
      </w:r>
    </w:p>
    <w:p>
      <w:pPr>
        <w:pStyle w:val="TextBody"/>
        <w:spacing w:before="120" w:after="0"/>
        <w:jc w:val="left"/>
        <w:rPr>
          <w:rFonts w:ascii="Times New Roman" w:hAnsi="Times New Roman"/>
          <w:spacing w:val="0"/>
          <w:sz w:val="20"/>
        </w:rPr>
      </w:pPr>
      <w:r>
        <w:rPr>
          <w:rFonts w:ascii="Times New Roman" w:hAnsi="Times New Roman"/>
          <w:spacing w:val="0"/>
          <w:sz w:val="20"/>
        </w:rPr>
        <w:t>re-opened</w:t>
      </w:r>
    </w:p>
    <w:p>
      <w:pPr>
        <w:pStyle w:val="TextBody"/>
        <w:spacing w:before="120" w:after="0"/>
        <w:jc w:val="left"/>
        <w:rPr>
          <w:rFonts w:ascii="Times New Roman" w:hAnsi="Times New Roman"/>
          <w:sz w:val="20"/>
        </w:rPr>
      </w:pPr>
      <w:r>
        <w:rPr>
          <w:rFonts w:ascii="Times New Roman" w:hAnsi="Times New Roman"/>
          <w:sz w:val="20"/>
        </w:rPr>
        <w:t xml:space="preserve">an additional 101 stores with limited operations. Many of these stores that were </w:t>
      </w:r>
    </w:p>
    <w:p>
      <w:pPr>
        <w:pStyle w:val="TextBody"/>
        <w:spacing w:before="120" w:after="0"/>
        <w:jc w:val="left"/>
        <w:rPr>
          <w:rFonts w:ascii="Times New Roman" w:hAnsi="Times New Roman"/>
          <w:spacing w:val="0"/>
          <w:sz w:val="20"/>
        </w:rPr>
      </w:pPr>
      <w:r>
        <w:rPr>
          <w:rFonts w:ascii="Times New Roman" w:hAnsi="Times New Roman"/>
          <w:spacing w:val="0"/>
          <w:sz w:val="20"/>
        </w:rPr>
        <w:t>re-opened</w:t>
      </w:r>
    </w:p>
    <w:p>
      <w:pPr>
        <w:pStyle w:val="TextBody"/>
        <w:spacing w:before="120" w:after="0"/>
        <w:jc w:val="left"/>
        <w:rPr>
          <w:rFonts w:ascii="Times New Roman" w:hAnsi="Times New Roman"/>
          <w:sz w:val="20"/>
        </w:rPr>
      </w:pPr>
      <w:r>
        <w:rPr>
          <w:rFonts w:ascii="Times New Roman" w:hAnsi="Times New Roman"/>
          <w:sz w:val="20"/>
        </w:rPr>
        <w:t xml:space="preserve">in limited capacity were required to temporarily close again in areas more severely impacted by the </w:t>
      </w:r>
    </w:p>
    <w:p>
      <w:pPr>
        <w:pStyle w:val="TextBody"/>
        <w:spacing w:before="120" w:after="0"/>
        <w:jc w:val="left"/>
        <w:rPr>
          <w:rFonts w:ascii="Times New Roman" w:hAnsi="Times New Roman"/>
          <w:spacing w:val="0"/>
          <w:sz w:val="20"/>
        </w:rPr>
      </w:pPr>
      <w:r>
        <w:rPr>
          <w:rFonts w:ascii="Times New Roman" w:hAnsi="Times New Roman"/>
          <w:spacing w:val="0"/>
          <w:sz w:val="20"/>
        </w:rPr>
        <w:t>COVID-19</w:t>
      </w:r>
    </w:p>
    <w:p>
      <w:pPr>
        <w:pStyle w:val="TextBody"/>
        <w:spacing w:before="120" w:after="0"/>
        <w:jc w:val="left"/>
        <w:rPr>
          <w:rFonts w:ascii="Times New Roman" w:hAnsi="Times New Roman"/>
          <w:sz w:val="20"/>
        </w:rPr>
      </w:pPr>
      <w:r>
        <w:rPr>
          <w:rFonts w:ascii="Times New Roman" w:hAnsi="Times New Roman"/>
          <w:sz w:val="20"/>
        </w:rPr>
        <w:t xml:space="preserve">pandemic, particularly during the fourth quarter holiday season. The Company also opened five new stores in the second half of the fiscal year, all of which commenced construction prior to the outbreak of the </w:t>
      </w:r>
    </w:p>
    <w:p>
      <w:pPr>
        <w:pStyle w:val="TextBody"/>
        <w:spacing w:before="120" w:after="0"/>
        <w:jc w:val="left"/>
        <w:rPr>
          <w:rFonts w:ascii="Times New Roman" w:hAnsi="Times New Roman"/>
          <w:spacing w:val="0"/>
          <w:sz w:val="20"/>
        </w:rPr>
      </w:pPr>
      <w:r>
        <w:rPr>
          <w:rFonts w:ascii="Times New Roman" w:hAnsi="Times New Roman"/>
          <w:spacing w:val="0"/>
          <w:sz w:val="20"/>
        </w:rPr>
        <w:t>COVID-19</w:t>
      </w:r>
    </w:p>
    <w:p>
      <w:pPr>
        <w:pStyle w:val="TextBody"/>
        <w:spacing w:before="120" w:after="0"/>
        <w:jc w:val="left"/>
        <w:rPr>
          <w:rFonts w:ascii="Times New Roman" w:hAnsi="Times New Roman"/>
          <w:sz w:val="20"/>
        </w:rPr>
      </w:pPr>
      <w:r>
        <w:rPr>
          <w:rFonts w:ascii="Times New Roman" w:hAnsi="Times New Roman"/>
          <w:sz w:val="20"/>
        </w:rPr>
        <w:t xml:space="preserve">pandemic. As of January 31, 2021, 107 of our 140 stores were open and operating in limited capacity. Of these 107 open stores, 84 are comparable stores. These stores are operating with a combination of limited menus, reduced dining room seating, reduced games in the midway, reduced operating hours and other restrictions referred to as “limited operations”.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Selected revenue and store data for the periods indicated are as follows: </w:t>
      </w:r>
    </w:p>
    <w:p>
      <w:pPr>
        <w:pStyle w:val="TextBody"/>
        <w:spacing w:before="0" w:after="0"/>
        <w:jc w:val="left"/>
        <w:rPr>
          <w:spacing w:val="0"/>
        </w:rPr>
      </w:pPr>
      <w:r>
        <w:rPr>
          <w:spacing w:val="0"/>
        </w:rPr>
        <w:t> </w:t>
      </w:r>
    </w:p>
    <w:tbl>
      <w:tblPr>
        <w:tblW w:w="8560" w:type="dxa"/>
        <w:jc w:val="left"/>
        <w:tblInd w:w="0" w:type="dxa"/>
        <w:tblCellMar>
          <w:top w:w="0" w:type="dxa"/>
          <w:left w:w="0" w:type="dxa"/>
          <w:bottom w:w="0" w:type="dxa"/>
          <w:right w:w="0" w:type="dxa"/>
        </w:tblCellMar>
      </w:tblPr>
      <w:tblGrid>
        <w:gridCol w:w="3125"/>
        <w:gridCol w:w="120"/>
        <w:gridCol w:w="266"/>
        <w:gridCol w:w="1524"/>
        <w:gridCol w:w="155"/>
        <w:gridCol w:w="120"/>
        <w:gridCol w:w="223"/>
        <w:gridCol w:w="1567"/>
        <w:gridCol w:w="155"/>
        <w:gridCol w:w="120"/>
        <w:gridCol w:w="140"/>
        <w:gridCol w:w="875"/>
        <w:gridCol w:w="170"/>
      </w:tblGrid>
      <w:tr>
        <w:trPr/>
        <w:tc>
          <w:tcPr>
            <w:tcW w:w="312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1524"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1567"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875"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r>
      <w:tr>
        <w:trPr/>
        <w:tc>
          <w:tcPr>
            <w:tcW w:w="312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790" w:type="dxa"/>
            <w:gridSpan w:val="2"/>
            <w:tcBorders/>
            <w:shd w:fill="auto" w:val="clear"/>
            <w:vAlign w:val="center"/>
          </w:tcPr>
          <w:p>
            <w:pPr>
              <w:pStyle w:val="TableContents"/>
              <w:spacing w:before="0" w:after="0"/>
              <w:jc w:val="center"/>
              <w:rPr>
                <w:b/>
                <w:spacing w:val="0"/>
              </w:rPr>
            </w:pPr>
            <w:r>
              <w:rPr>
                <w:b/>
                <w:spacing w:val="0"/>
              </w:rPr>
              <w:t>Fiscal year ended</w:t>
              <w:br/>
              <w:t>January 31, 2021</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790" w:type="dxa"/>
            <w:gridSpan w:val="2"/>
            <w:tcBorders/>
            <w:shd w:fill="auto" w:val="clear"/>
            <w:vAlign w:val="center"/>
          </w:tcPr>
          <w:p>
            <w:pPr>
              <w:pStyle w:val="TableContents"/>
              <w:spacing w:before="0" w:after="0"/>
              <w:jc w:val="center"/>
              <w:rPr>
                <w:b/>
                <w:spacing w:val="0"/>
              </w:rPr>
            </w:pPr>
            <w:r>
              <w:rPr>
                <w:b/>
                <w:spacing w:val="0"/>
              </w:rPr>
              <w:t>Fiscal year ended</w:t>
              <w:br/>
              <w:t>February 2, 2020</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015" w:type="dxa"/>
            <w:gridSpan w:val="2"/>
            <w:tcBorders/>
            <w:shd w:fill="auto" w:val="clear"/>
            <w:vAlign w:val="center"/>
          </w:tcPr>
          <w:p>
            <w:pPr>
              <w:pStyle w:val="TableContents"/>
              <w:spacing w:before="0" w:after="0"/>
              <w:jc w:val="center"/>
              <w:rPr>
                <w:b/>
                <w:spacing w:val="0"/>
              </w:rPr>
            </w:pPr>
            <w:r>
              <w:rPr>
                <w:b/>
                <w:spacing w:val="0"/>
              </w:rPr>
              <w:t>Change</w:t>
            </w:r>
          </w:p>
        </w:tc>
        <w:tc>
          <w:tcPr>
            <w:tcW w:w="170" w:type="dxa"/>
            <w:tcBorders/>
            <w:shd w:fill="auto" w:val="clear"/>
            <w:vAlign w:val="center"/>
          </w:tcPr>
          <w:p>
            <w:pPr>
              <w:pStyle w:val="TableContents"/>
              <w:spacing w:before="0" w:after="283"/>
              <w:rPr/>
            </w:pPr>
            <w:r>
              <w:rPr/>
              <w:t> </w:t>
            </w:r>
          </w:p>
        </w:tc>
      </w:tr>
      <w:tr>
        <w:trPr/>
        <w:tc>
          <w:tcPr>
            <w:tcW w:w="312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Total revenues</w:t>
            </w:r>
          </w:p>
        </w:tc>
        <w:tc>
          <w:tcPr>
            <w:tcW w:w="120" w:type="dxa"/>
            <w:tcBorders/>
            <w:shd w:fill="CCEEFF" w:val="clear"/>
            <w:vAlign w:val="center"/>
          </w:tcPr>
          <w:p>
            <w:pPr>
              <w:pStyle w:val="TableContents"/>
              <w:spacing w:before="0" w:after="283"/>
              <w:rPr/>
            </w:pPr>
            <w:r>
              <w:rPr/>
              <w:t>  </w:t>
            </w:r>
          </w:p>
        </w:tc>
        <w:tc>
          <w:tcPr>
            <w:tcW w:w="266" w:type="dxa"/>
            <w:tcBorders/>
            <w:shd w:fill="CCEEFF" w:val="clear"/>
            <w:vAlign w:val="center"/>
          </w:tcPr>
          <w:p>
            <w:pPr>
              <w:pStyle w:val="TableContents"/>
              <w:spacing w:before="0" w:after="283"/>
              <w:rPr/>
            </w:pPr>
            <w:r>
              <w:rPr/>
              <w:t>$</w:t>
            </w:r>
          </w:p>
        </w:tc>
        <w:tc>
          <w:tcPr>
            <w:tcW w:w="1524" w:type="dxa"/>
            <w:tcBorders/>
            <w:shd w:fill="CCEEFF" w:val="clear"/>
            <w:vAlign w:val="center"/>
          </w:tcPr>
          <w:p>
            <w:pPr>
              <w:pStyle w:val="TableContents"/>
              <w:spacing w:before="0" w:after="283"/>
              <w:jc w:val="right"/>
              <w:rPr/>
            </w:pPr>
            <w:r>
              <w:rPr/>
              <w:t>436,512</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223" w:type="dxa"/>
            <w:tcBorders/>
            <w:shd w:fill="CCEEFF" w:val="clear"/>
            <w:vAlign w:val="center"/>
          </w:tcPr>
          <w:p>
            <w:pPr>
              <w:pStyle w:val="TableContents"/>
              <w:spacing w:before="0" w:after="283"/>
              <w:rPr/>
            </w:pPr>
            <w:r>
              <w:rPr/>
              <w:t>$</w:t>
            </w:r>
          </w:p>
        </w:tc>
        <w:tc>
          <w:tcPr>
            <w:tcW w:w="1567" w:type="dxa"/>
            <w:tcBorders/>
            <w:shd w:fill="CCEEFF" w:val="clear"/>
            <w:vAlign w:val="center"/>
          </w:tcPr>
          <w:p>
            <w:pPr>
              <w:pStyle w:val="TableContents"/>
              <w:spacing w:before="0" w:after="283"/>
              <w:jc w:val="right"/>
              <w:rPr/>
            </w:pPr>
            <w:r>
              <w:rPr/>
              <w:t>1,354,691</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875" w:type="dxa"/>
            <w:tcBorders/>
            <w:shd w:fill="CCEEFF" w:val="clear"/>
            <w:vAlign w:val="center"/>
          </w:tcPr>
          <w:p>
            <w:pPr>
              <w:pStyle w:val="TableContents"/>
              <w:spacing w:before="0" w:after="283"/>
              <w:jc w:val="right"/>
              <w:rPr/>
            </w:pPr>
            <w:r>
              <w:rPr/>
              <w:t>(918,179</w:t>
            </w:r>
          </w:p>
        </w:tc>
        <w:tc>
          <w:tcPr>
            <w:tcW w:w="170" w:type="dxa"/>
            <w:tcBorders/>
            <w:shd w:fill="CCEEFF" w:val="clear"/>
            <w:vAlign w:val="center"/>
          </w:tcPr>
          <w:p>
            <w:pPr>
              <w:pStyle w:val="TableContents"/>
              <w:spacing w:before="0" w:after="283"/>
              <w:rPr/>
            </w:pPr>
            <w:r>
              <w:rPr/>
              <w:t>) </w:t>
            </w:r>
          </w:p>
        </w:tc>
      </w:tr>
      <w:tr>
        <w:trPr/>
        <w:tc>
          <w:tcPr>
            <w:tcW w:w="312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Total store operating weeks</w:t>
            </w:r>
          </w:p>
        </w:tc>
        <w:tc>
          <w:tcPr>
            <w:tcW w:w="120" w:type="dxa"/>
            <w:tcBorders/>
            <w:shd w:fill="auto" w:val="clear"/>
            <w:vAlign w:val="center"/>
          </w:tcPr>
          <w:p>
            <w:pPr>
              <w:pStyle w:val="TableContents"/>
              <w:spacing w:before="0" w:after="283"/>
              <w:rPr/>
            </w:pPr>
            <w:r>
              <w:rPr/>
              <w:t>  </w:t>
            </w:r>
          </w:p>
        </w:tc>
        <w:tc>
          <w:tcPr>
            <w:tcW w:w="266" w:type="dxa"/>
            <w:tcBorders/>
            <w:shd w:fill="auto" w:val="clear"/>
            <w:vAlign w:val="center"/>
          </w:tcPr>
          <w:p>
            <w:pPr>
              <w:pStyle w:val="TableContents"/>
              <w:spacing w:before="0" w:after="283"/>
              <w:rPr/>
            </w:pPr>
            <w:r>
              <w:rPr/>
              <w:t> </w:t>
            </w:r>
          </w:p>
        </w:tc>
        <w:tc>
          <w:tcPr>
            <w:tcW w:w="1524" w:type="dxa"/>
            <w:tcBorders/>
            <w:shd w:fill="auto" w:val="clear"/>
            <w:vAlign w:val="center"/>
          </w:tcPr>
          <w:p>
            <w:pPr>
              <w:pStyle w:val="TableContents"/>
              <w:spacing w:before="0" w:after="283"/>
              <w:jc w:val="right"/>
              <w:rPr/>
            </w:pPr>
            <w:r>
              <w:rPr/>
              <w:t>3,922</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23" w:type="dxa"/>
            <w:tcBorders/>
            <w:shd w:fill="auto" w:val="clear"/>
            <w:vAlign w:val="center"/>
          </w:tcPr>
          <w:p>
            <w:pPr>
              <w:pStyle w:val="TableContents"/>
              <w:spacing w:before="0" w:after="283"/>
              <w:rPr/>
            </w:pPr>
            <w:r>
              <w:rPr/>
              <w:t> </w:t>
            </w:r>
          </w:p>
        </w:tc>
        <w:tc>
          <w:tcPr>
            <w:tcW w:w="1567" w:type="dxa"/>
            <w:tcBorders/>
            <w:shd w:fill="auto" w:val="clear"/>
            <w:vAlign w:val="center"/>
          </w:tcPr>
          <w:p>
            <w:pPr>
              <w:pStyle w:val="TableContents"/>
              <w:spacing w:before="0" w:after="283"/>
              <w:jc w:val="right"/>
              <w:rPr/>
            </w:pPr>
            <w:r>
              <w:rPr/>
              <w:t>6,769</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jc w:val="right"/>
              <w:rPr/>
            </w:pPr>
            <w:r>
              <w:rPr/>
              <w:t>(2,847</w:t>
            </w:r>
          </w:p>
        </w:tc>
        <w:tc>
          <w:tcPr>
            <w:tcW w:w="170" w:type="dxa"/>
            <w:tcBorders/>
            <w:shd w:fill="auto" w:val="clear"/>
            <w:vAlign w:val="center"/>
          </w:tcPr>
          <w:p>
            <w:pPr>
              <w:pStyle w:val="TableContents"/>
              <w:spacing w:before="0" w:after="283"/>
              <w:rPr/>
            </w:pPr>
            <w:r>
              <w:rPr/>
              <w:t>) </w:t>
            </w:r>
          </w:p>
        </w:tc>
      </w:tr>
      <w:tr>
        <w:trPr/>
        <w:tc>
          <w:tcPr>
            <w:tcW w:w="312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Comparable store revenues</w:t>
            </w:r>
          </w:p>
        </w:tc>
        <w:tc>
          <w:tcPr>
            <w:tcW w:w="120" w:type="dxa"/>
            <w:tcBorders/>
            <w:shd w:fill="CCEEFF" w:val="clear"/>
            <w:vAlign w:val="center"/>
          </w:tcPr>
          <w:p>
            <w:pPr>
              <w:pStyle w:val="TableContents"/>
              <w:spacing w:before="0" w:after="283"/>
              <w:rPr/>
            </w:pPr>
            <w:r>
              <w:rPr/>
              <w:t>  </w:t>
            </w:r>
          </w:p>
        </w:tc>
        <w:tc>
          <w:tcPr>
            <w:tcW w:w="266" w:type="dxa"/>
            <w:tcBorders/>
            <w:shd w:fill="CCEEFF" w:val="clear"/>
            <w:vAlign w:val="center"/>
          </w:tcPr>
          <w:p>
            <w:pPr>
              <w:pStyle w:val="TableContents"/>
              <w:spacing w:before="0" w:after="283"/>
              <w:rPr/>
            </w:pPr>
            <w:r>
              <w:rPr/>
              <w:t>$</w:t>
            </w:r>
          </w:p>
        </w:tc>
        <w:tc>
          <w:tcPr>
            <w:tcW w:w="1524" w:type="dxa"/>
            <w:tcBorders/>
            <w:shd w:fill="CCEEFF" w:val="clear"/>
            <w:vAlign w:val="center"/>
          </w:tcPr>
          <w:p>
            <w:pPr>
              <w:pStyle w:val="TableContents"/>
              <w:spacing w:before="0" w:after="283"/>
              <w:jc w:val="right"/>
              <w:rPr/>
            </w:pPr>
            <w:r>
              <w:rPr/>
              <w:t>358,395</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223" w:type="dxa"/>
            <w:tcBorders/>
            <w:shd w:fill="CCEEFF" w:val="clear"/>
            <w:vAlign w:val="center"/>
          </w:tcPr>
          <w:p>
            <w:pPr>
              <w:pStyle w:val="TableContents"/>
              <w:spacing w:before="0" w:after="283"/>
              <w:rPr/>
            </w:pPr>
            <w:r>
              <w:rPr/>
              <w:t>$</w:t>
            </w:r>
          </w:p>
        </w:tc>
        <w:tc>
          <w:tcPr>
            <w:tcW w:w="1567" w:type="dxa"/>
            <w:tcBorders/>
            <w:shd w:fill="CCEEFF" w:val="clear"/>
            <w:vAlign w:val="center"/>
          </w:tcPr>
          <w:p>
            <w:pPr>
              <w:pStyle w:val="TableContents"/>
              <w:spacing w:before="0" w:after="283"/>
              <w:jc w:val="right"/>
              <w:rPr/>
            </w:pPr>
            <w:r>
              <w:rPr/>
              <w:t>1,200,983</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875" w:type="dxa"/>
            <w:tcBorders/>
            <w:shd w:fill="CCEEFF" w:val="clear"/>
            <w:vAlign w:val="center"/>
          </w:tcPr>
          <w:p>
            <w:pPr>
              <w:pStyle w:val="TableContents"/>
              <w:spacing w:before="0" w:after="283"/>
              <w:jc w:val="right"/>
              <w:rPr/>
            </w:pPr>
            <w:r>
              <w:rPr/>
              <w:t>(842,588</w:t>
            </w:r>
          </w:p>
        </w:tc>
        <w:tc>
          <w:tcPr>
            <w:tcW w:w="170" w:type="dxa"/>
            <w:tcBorders/>
            <w:shd w:fill="CCEEFF" w:val="clear"/>
            <w:vAlign w:val="center"/>
          </w:tcPr>
          <w:p>
            <w:pPr>
              <w:pStyle w:val="TableContents"/>
              <w:spacing w:before="0" w:after="283"/>
              <w:rPr/>
            </w:pPr>
            <w:r>
              <w:rPr/>
              <w:t>) </w:t>
            </w:r>
          </w:p>
        </w:tc>
      </w:tr>
      <w:tr>
        <w:trPr/>
        <w:tc>
          <w:tcPr>
            <w:tcW w:w="312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Comparable store operating weeks</w:t>
            </w:r>
          </w:p>
        </w:tc>
        <w:tc>
          <w:tcPr>
            <w:tcW w:w="120" w:type="dxa"/>
            <w:tcBorders/>
            <w:shd w:fill="auto" w:val="clear"/>
            <w:vAlign w:val="center"/>
          </w:tcPr>
          <w:p>
            <w:pPr>
              <w:pStyle w:val="TableContents"/>
              <w:spacing w:before="0" w:after="283"/>
              <w:rPr/>
            </w:pPr>
            <w:r>
              <w:rPr/>
              <w:t>  </w:t>
            </w:r>
          </w:p>
        </w:tc>
        <w:tc>
          <w:tcPr>
            <w:tcW w:w="266" w:type="dxa"/>
            <w:tcBorders/>
            <w:shd w:fill="auto" w:val="clear"/>
            <w:vAlign w:val="center"/>
          </w:tcPr>
          <w:p>
            <w:pPr>
              <w:pStyle w:val="TableContents"/>
              <w:spacing w:before="0" w:after="283"/>
              <w:rPr/>
            </w:pPr>
            <w:r>
              <w:rPr/>
              <w:t> </w:t>
            </w:r>
          </w:p>
        </w:tc>
        <w:tc>
          <w:tcPr>
            <w:tcW w:w="1524" w:type="dxa"/>
            <w:tcBorders/>
            <w:shd w:fill="auto" w:val="clear"/>
            <w:vAlign w:val="center"/>
          </w:tcPr>
          <w:p>
            <w:pPr>
              <w:pStyle w:val="TableContents"/>
              <w:spacing w:before="0" w:after="283"/>
              <w:jc w:val="right"/>
              <w:rPr/>
            </w:pPr>
            <w:r>
              <w:rPr/>
              <w:t>3,157</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23" w:type="dxa"/>
            <w:tcBorders/>
            <w:shd w:fill="auto" w:val="clear"/>
            <w:vAlign w:val="center"/>
          </w:tcPr>
          <w:p>
            <w:pPr>
              <w:pStyle w:val="TableContents"/>
              <w:spacing w:before="0" w:after="283"/>
              <w:rPr/>
            </w:pPr>
            <w:r>
              <w:rPr/>
              <w:t> </w:t>
            </w:r>
          </w:p>
        </w:tc>
        <w:tc>
          <w:tcPr>
            <w:tcW w:w="1567" w:type="dxa"/>
            <w:tcBorders/>
            <w:shd w:fill="auto" w:val="clear"/>
            <w:vAlign w:val="center"/>
          </w:tcPr>
          <w:p>
            <w:pPr>
              <w:pStyle w:val="TableContents"/>
              <w:spacing w:before="0" w:after="283"/>
              <w:jc w:val="right"/>
              <w:rPr/>
            </w:pPr>
            <w:r>
              <w:rPr/>
              <w:t>5,928</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jc w:val="right"/>
              <w:rPr/>
            </w:pPr>
            <w:r>
              <w:rPr/>
              <w:t>(2,771</w:t>
            </w:r>
          </w:p>
        </w:tc>
        <w:tc>
          <w:tcPr>
            <w:tcW w:w="170" w:type="dxa"/>
            <w:tcBorders/>
            <w:shd w:fill="auto" w:val="clear"/>
            <w:vAlign w:val="center"/>
          </w:tcPr>
          <w:p>
            <w:pPr>
              <w:pStyle w:val="TableContents"/>
              <w:spacing w:before="0" w:after="283"/>
              <w:rPr/>
            </w:pPr>
            <w:r>
              <w:rPr/>
              <w:t>) </w:t>
            </w:r>
          </w:p>
        </w:tc>
      </w:tr>
      <w:tr>
        <w:trPr/>
        <w:tc>
          <w:tcPr>
            <w:tcW w:w="312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Noncomparable store revenues</w:t>
            </w:r>
          </w:p>
        </w:tc>
        <w:tc>
          <w:tcPr>
            <w:tcW w:w="120" w:type="dxa"/>
            <w:tcBorders/>
            <w:shd w:fill="CCEEFF" w:val="clear"/>
            <w:vAlign w:val="center"/>
          </w:tcPr>
          <w:p>
            <w:pPr>
              <w:pStyle w:val="TableContents"/>
              <w:spacing w:before="0" w:after="283"/>
              <w:rPr/>
            </w:pPr>
            <w:r>
              <w:rPr/>
              <w:t>  </w:t>
            </w:r>
          </w:p>
        </w:tc>
        <w:tc>
          <w:tcPr>
            <w:tcW w:w="266" w:type="dxa"/>
            <w:tcBorders/>
            <w:shd w:fill="CCEEFF" w:val="clear"/>
            <w:vAlign w:val="center"/>
          </w:tcPr>
          <w:p>
            <w:pPr>
              <w:pStyle w:val="TableContents"/>
              <w:spacing w:before="0" w:after="283"/>
              <w:rPr/>
            </w:pPr>
            <w:r>
              <w:rPr/>
              <w:t>$</w:t>
            </w:r>
          </w:p>
        </w:tc>
        <w:tc>
          <w:tcPr>
            <w:tcW w:w="1524" w:type="dxa"/>
            <w:tcBorders/>
            <w:shd w:fill="CCEEFF" w:val="clear"/>
            <w:vAlign w:val="center"/>
          </w:tcPr>
          <w:p>
            <w:pPr>
              <w:pStyle w:val="TableContents"/>
              <w:spacing w:before="0" w:after="283"/>
              <w:jc w:val="right"/>
              <w:rPr/>
            </w:pPr>
            <w:r>
              <w:rPr/>
              <w:t>81,272</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223" w:type="dxa"/>
            <w:tcBorders/>
            <w:shd w:fill="CCEEFF" w:val="clear"/>
            <w:vAlign w:val="center"/>
          </w:tcPr>
          <w:p>
            <w:pPr>
              <w:pStyle w:val="TableContents"/>
              <w:spacing w:before="0" w:after="283"/>
              <w:rPr/>
            </w:pPr>
            <w:r>
              <w:rPr/>
              <w:t> </w:t>
            </w:r>
          </w:p>
        </w:tc>
        <w:tc>
          <w:tcPr>
            <w:tcW w:w="1567" w:type="dxa"/>
            <w:tcBorders/>
            <w:shd w:fill="CCEEFF" w:val="clear"/>
            <w:vAlign w:val="center"/>
          </w:tcPr>
          <w:p>
            <w:pPr>
              <w:pStyle w:val="TableContents"/>
              <w:spacing w:before="0" w:after="283"/>
              <w:jc w:val="right"/>
              <w:rPr/>
            </w:pPr>
            <w:r>
              <w:rPr/>
              <w:t>162,467</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875" w:type="dxa"/>
            <w:tcBorders/>
            <w:shd w:fill="CCEEFF" w:val="clear"/>
            <w:vAlign w:val="center"/>
          </w:tcPr>
          <w:p>
            <w:pPr>
              <w:pStyle w:val="TableContents"/>
              <w:spacing w:before="0" w:after="283"/>
              <w:jc w:val="right"/>
              <w:rPr/>
            </w:pPr>
            <w:r>
              <w:rPr/>
              <w:t>(81,195</w:t>
            </w:r>
          </w:p>
        </w:tc>
        <w:tc>
          <w:tcPr>
            <w:tcW w:w="170" w:type="dxa"/>
            <w:tcBorders/>
            <w:shd w:fill="CCEEFF" w:val="clear"/>
            <w:vAlign w:val="center"/>
          </w:tcPr>
          <w:p>
            <w:pPr>
              <w:pStyle w:val="TableContents"/>
              <w:spacing w:before="0" w:after="283"/>
              <w:rPr/>
            </w:pPr>
            <w:r>
              <w:rPr/>
              <w:t>) </w:t>
            </w:r>
          </w:p>
        </w:tc>
      </w:tr>
      <w:tr>
        <w:trPr/>
        <w:tc>
          <w:tcPr>
            <w:tcW w:w="312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Noncomparable store operating weeks</w:t>
            </w:r>
          </w:p>
        </w:tc>
        <w:tc>
          <w:tcPr>
            <w:tcW w:w="120" w:type="dxa"/>
            <w:tcBorders/>
            <w:shd w:fill="auto" w:val="clear"/>
            <w:vAlign w:val="center"/>
          </w:tcPr>
          <w:p>
            <w:pPr>
              <w:pStyle w:val="TableContents"/>
              <w:spacing w:before="0" w:after="283"/>
              <w:rPr/>
            </w:pPr>
            <w:r>
              <w:rPr/>
              <w:t>  </w:t>
            </w:r>
          </w:p>
        </w:tc>
        <w:tc>
          <w:tcPr>
            <w:tcW w:w="266" w:type="dxa"/>
            <w:tcBorders/>
            <w:shd w:fill="auto" w:val="clear"/>
            <w:vAlign w:val="center"/>
          </w:tcPr>
          <w:p>
            <w:pPr>
              <w:pStyle w:val="TableContents"/>
              <w:spacing w:before="0" w:after="283"/>
              <w:rPr/>
            </w:pPr>
            <w:r>
              <w:rPr/>
              <w:t> </w:t>
            </w:r>
          </w:p>
        </w:tc>
        <w:tc>
          <w:tcPr>
            <w:tcW w:w="1524" w:type="dxa"/>
            <w:tcBorders/>
            <w:shd w:fill="auto" w:val="clear"/>
            <w:vAlign w:val="center"/>
          </w:tcPr>
          <w:p>
            <w:pPr>
              <w:pStyle w:val="TableContents"/>
              <w:spacing w:before="0" w:after="283"/>
              <w:jc w:val="right"/>
              <w:rPr/>
            </w:pPr>
            <w:r>
              <w:rPr/>
              <w:t>765</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23" w:type="dxa"/>
            <w:tcBorders/>
            <w:shd w:fill="auto" w:val="clear"/>
            <w:vAlign w:val="center"/>
          </w:tcPr>
          <w:p>
            <w:pPr>
              <w:pStyle w:val="TableContents"/>
              <w:spacing w:before="0" w:after="283"/>
              <w:rPr/>
            </w:pPr>
            <w:r>
              <w:rPr/>
              <w:t> </w:t>
            </w:r>
          </w:p>
        </w:tc>
        <w:tc>
          <w:tcPr>
            <w:tcW w:w="1567" w:type="dxa"/>
            <w:tcBorders/>
            <w:shd w:fill="auto" w:val="clear"/>
            <w:vAlign w:val="center"/>
          </w:tcPr>
          <w:p>
            <w:pPr>
              <w:pStyle w:val="TableContents"/>
              <w:spacing w:before="0" w:after="283"/>
              <w:jc w:val="right"/>
              <w:rPr/>
            </w:pPr>
            <w:r>
              <w:rPr/>
              <w:t>841</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jc w:val="right"/>
              <w:rPr/>
            </w:pPr>
            <w:r>
              <w:rPr/>
              <w:t>(76</w:t>
            </w:r>
          </w:p>
        </w:tc>
        <w:tc>
          <w:tcPr>
            <w:tcW w:w="170" w:type="dxa"/>
            <w:tcBorders/>
            <w:shd w:fill="auto" w:val="clear"/>
            <w:vAlign w:val="center"/>
          </w:tcPr>
          <w:p>
            <w:pPr>
              <w:pStyle w:val="TableContents"/>
              <w:spacing w:before="0" w:after="283"/>
              <w:rPr/>
            </w:pPr>
            <w:r>
              <w:rPr/>
              <w:t>) </w:t>
            </w:r>
          </w:p>
        </w:tc>
      </w:tr>
      <w:tr>
        <w:trPr/>
        <w:tc>
          <w:tcPr>
            <w:tcW w:w="312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Other revenues</w:t>
            </w:r>
          </w:p>
        </w:tc>
        <w:tc>
          <w:tcPr>
            <w:tcW w:w="120" w:type="dxa"/>
            <w:tcBorders/>
            <w:shd w:fill="CCEEFF" w:val="clear"/>
            <w:vAlign w:val="center"/>
          </w:tcPr>
          <w:p>
            <w:pPr>
              <w:pStyle w:val="TableContents"/>
              <w:spacing w:before="0" w:after="283"/>
              <w:rPr/>
            </w:pPr>
            <w:r>
              <w:rPr/>
              <w:t>  </w:t>
            </w:r>
          </w:p>
        </w:tc>
        <w:tc>
          <w:tcPr>
            <w:tcW w:w="266" w:type="dxa"/>
            <w:tcBorders/>
            <w:shd w:fill="CCEEFF" w:val="clear"/>
            <w:vAlign w:val="center"/>
          </w:tcPr>
          <w:p>
            <w:pPr>
              <w:pStyle w:val="TableContents"/>
              <w:spacing w:before="0" w:after="283"/>
              <w:rPr/>
            </w:pPr>
            <w:r>
              <w:rPr/>
              <w:t>$</w:t>
            </w:r>
          </w:p>
        </w:tc>
        <w:tc>
          <w:tcPr>
            <w:tcW w:w="1524" w:type="dxa"/>
            <w:tcBorders/>
            <w:shd w:fill="CCEEFF" w:val="clear"/>
            <w:vAlign w:val="center"/>
          </w:tcPr>
          <w:p>
            <w:pPr>
              <w:pStyle w:val="TableContents"/>
              <w:spacing w:before="0" w:after="283"/>
              <w:jc w:val="right"/>
              <w:rPr/>
            </w:pPr>
            <w:r>
              <w:rPr/>
              <w:t>(3,155</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223" w:type="dxa"/>
            <w:tcBorders/>
            <w:shd w:fill="CCEEFF" w:val="clear"/>
            <w:vAlign w:val="center"/>
          </w:tcPr>
          <w:p>
            <w:pPr>
              <w:pStyle w:val="TableContents"/>
              <w:spacing w:before="0" w:after="283"/>
              <w:rPr/>
            </w:pPr>
            <w:r>
              <w:rPr/>
              <w:t>$</w:t>
            </w:r>
          </w:p>
        </w:tc>
        <w:tc>
          <w:tcPr>
            <w:tcW w:w="1567" w:type="dxa"/>
            <w:tcBorders/>
            <w:shd w:fill="CCEEFF" w:val="clear"/>
            <w:vAlign w:val="center"/>
          </w:tcPr>
          <w:p>
            <w:pPr>
              <w:pStyle w:val="TableContents"/>
              <w:spacing w:before="0" w:after="283"/>
              <w:jc w:val="right"/>
              <w:rPr/>
            </w:pPr>
            <w:r>
              <w:rPr/>
              <w:t>(8,759</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875" w:type="dxa"/>
            <w:tcBorders/>
            <w:shd w:fill="CCEEFF" w:val="clear"/>
            <w:vAlign w:val="center"/>
          </w:tcPr>
          <w:p>
            <w:pPr>
              <w:pStyle w:val="TableContents"/>
              <w:spacing w:before="0" w:after="283"/>
              <w:jc w:val="right"/>
              <w:rPr/>
            </w:pPr>
            <w:r>
              <w:rPr/>
              <w:t>5,604</w:t>
            </w:r>
          </w:p>
        </w:tc>
        <w:tc>
          <w:tcPr>
            <w:tcW w:w="170" w:type="dxa"/>
            <w:tcBorders/>
            <w:shd w:fill="CCEEFF" w:val="clear"/>
            <w:vAlign w:val="center"/>
          </w:tcPr>
          <w:p>
            <w:pPr>
              <w:pStyle w:val="TableContents"/>
              <w:spacing w:before="0" w:after="283"/>
              <w:rPr/>
            </w:pPr>
            <w:r>
              <w:rPr/>
              <w:t> </w:t>
            </w:r>
          </w:p>
        </w:tc>
      </w:tr>
    </w:tbl>
    <w:p>
      <w:pPr>
        <w:pStyle w:val="TextBody"/>
        <w:spacing w:before="240" w:after="0"/>
        <w:jc w:val="left"/>
        <w:rPr>
          <w:rFonts w:ascii="Times New Roman" w:hAnsi="Times New Roman"/>
          <w:sz w:val="20"/>
        </w:rPr>
      </w:pPr>
      <w:r>
        <w:rPr>
          <w:rFonts w:ascii="Times New Roman" w:hAnsi="Times New Roman"/>
          <w:sz w:val="20"/>
        </w:rPr>
        <w:t xml:space="preserve">Total revenues decreased $918,179, or 67.8%, to $436,512 in fiscal 2020 compared to total revenues of $1,354,691 in fiscal 2019. The decline in revenue is attributable to fewer store operating weeks in fiscal 2020 as a result of temporary store closures, lower customer volumes due to limited food and beverage and amusement operations and the canceling or postponement of special events as a result of the </w:t>
      </w:r>
    </w:p>
    <w:p>
      <w:pPr>
        <w:pStyle w:val="TextBody"/>
        <w:spacing w:before="240" w:after="0"/>
        <w:jc w:val="left"/>
        <w:rPr>
          <w:rFonts w:ascii="Times New Roman" w:hAnsi="Times New Roman"/>
          <w:spacing w:val="0"/>
          <w:sz w:val="20"/>
        </w:rPr>
      </w:pPr>
      <w:r>
        <w:rPr>
          <w:rFonts w:ascii="Times New Roman" w:hAnsi="Times New Roman"/>
          <w:spacing w:val="0"/>
          <w:sz w:val="20"/>
        </w:rPr>
        <w:t>COVID-19</w:t>
      </w:r>
    </w:p>
    <w:p>
      <w:pPr>
        <w:pStyle w:val="TextBody"/>
        <w:spacing w:before="240" w:after="0"/>
        <w:jc w:val="left"/>
        <w:rPr>
          <w:rFonts w:ascii="Times New Roman" w:hAnsi="Times New Roman"/>
          <w:sz w:val="20"/>
        </w:rPr>
      </w:pPr>
      <w:r>
        <w:rPr>
          <w:rFonts w:ascii="Times New Roman" w:hAnsi="Times New Roman"/>
          <w:sz w:val="20"/>
        </w:rPr>
        <w:t xml:space="preserve">pandemic. For the year ended January 31, 2021, we derived 24.1% of our total revenue from food sales, 12.4% from beverage sales, 63.1% from amusement sales and 0.4% from other sources. For the year ended February 2, 2020 we derived 28.3% of our total revenue from food sales, 13.3% from beverage sales, 57.5% from amusement sales and 0.9% from other sources. </w:t>
      </w:r>
    </w:p>
    <w:p>
      <w:pPr>
        <w:pStyle w:val="TextBody"/>
        <w:spacing w:before="240" w:after="0"/>
        <w:jc w:val="left"/>
        <w:rPr>
          <w:rFonts w:ascii="Times New Roman" w:hAnsi="Times New Roman"/>
          <w:sz w:val="20"/>
        </w:rPr>
      </w:pPr>
      <w:r>
        <w:rPr>
          <w:rFonts w:ascii="Times New Roman" w:hAnsi="Times New Roman"/>
          <w:sz w:val="20"/>
        </w:rPr>
        <w:t xml:space="preserve">Comparable store revenue decreased $842,588, or 70.2%, in fiscal 2020 compared to fiscal 2019, due primarily to a 46.7% reduction in comparable store operating weeks and lower customer volumes as stores </w:t>
      </w:r>
    </w:p>
    <w:p>
      <w:pPr>
        <w:pStyle w:val="TextBody"/>
        <w:spacing w:before="240" w:after="0"/>
        <w:jc w:val="left"/>
        <w:rPr>
          <w:rFonts w:ascii="Times New Roman" w:hAnsi="Times New Roman"/>
          <w:spacing w:val="0"/>
          <w:sz w:val="20"/>
        </w:rPr>
      </w:pPr>
      <w:r>
        <w:rPr>
          <w:rFonts w:ascii="Times New Roman" w:hAnsi="Times New Roman"/>
          <w:spacing w:val="0"/>
          <w:sz w:val="20"/>
        </w:rPr>
        <w:t>re-opened</w:t>
      </w:r>
    </w:p>
    <w:p>
      <w:pPr>
        <w:pStyle w:val="TextBody"/>
        <w:spacing w:before="240" w:after="0"/>
        <w:jc w:val="left"/>
        <w:rPr>
          <w:rFonts w:ascii="Times New Roman" w:hAnsi="Times New Roman"/>
          <w:sz w:val="20"/>
        </w:rPr>
      </w:pPr>
      <w:r>
        <w:rPr>
          <w:rFonts w:ascii="Times New Roman" w:hAnsi="Times New Roman"/>
          <w:sz w:val="20"/>
        </w:rPr>
        <w:t xml:space="preserve">with limited operations. As of March 20, 2020, all the Company’s 114 comparable stores were closed due to operating restrictions put in place by local jurisdictions in response to the </w:t>
      </w:r>
    </w:p>
    <w:p>
      <w:pPr>
        <w:pStyle w:val="TextBody"/>
        <w:spacing w:before="240" w:after="0"/>
        <w:jc w:val="left"/>
        <w:rPr>
          <w:rFonts w:ascii="Times New Roman" w:hAnsi="Times New Roman"/>
          <w:spacing w:val="0"/>
          <w:sz w:val="20"/>
        </w:rPr>
      </w:pPr>
      <w:r>
        <w:rPr>
          <w:rFonts w:ascii="Times New Roman" w:hAnsi="Times New Roman"/>
          <w:spacing w:val="0"/>
          <w:sz w:val="20"/>
        </w:rPr>
        <w:t>COVID-19</w:t>
      </w:r>
    </w:p>
    <w:p>
      <w:pPr>
        <w:pStyle w:val="TextBody"/>
        <w:spacing w:before="240" w:after="0"/>
        <w:jc w:val="left"/>
        <w:rPr>
          <w:rFonts w:ascii="Times New Roman" w:hAnsi="Times New Roman"/>
          <w:sz w:val="20"/>
        </w:rPr>
      </w:pPr>
      <w:r>
        <w:rPr>
          <w:rFonts w:ascii="Times New Roman" w:hAnsi="Times New Roman"/>
          <w:sz w:val="20"/>
        </w:rPr>
        <w:t xml:space="preserve">pandemic. Beginning April 30, 2020, we began </w:t>
      </w:r>
    </w:p>
    <w:p>
      <w:pPr>
        <w:pStyle w:val="TextBody"/>
        <w:spacing w:before="240" w:after="0"/>
        <w:jc w:val="left"/>
        <w:rPr>
          <w:rFonts w:ascii="Times New Roman" w:hAnsi="Times New Roman"/>
          <w:spacing w:val="0"/>
          <w:sz w:val="20"/>
        </w:rPr>
      </w:pPr>
      <w:r>
        <w:rPr>
          <w:rFonts w:ascii="Times New Roman" w:hAnsi="Times New Roman"/>
          <w:spacing w:val="0"/>
          <w:sz w:val="20"/>
        </w:rPr>
        <w:t>re-opening</w:t>
      </w:r>
    </w:p>
    <w:p>
      <w:pPr>
        <w:pStyle w:val="TextBody"/>
        <w:spacing w:before="240" w:after="0"/>
        <w:jc w:val="left"/>
        <w:rPr>
          <w:rFonts w:ascii="Times New Roman" w:hAnsi="Times New Roman"/>
          <w:sz w:val="20"/>
        </w:rPr>
      </w:pPr>
      <w:r>
        <w:rPr>
          <w:rFonts w:ascii="Times New Roman" w:hAnsi="Times New Roman"/>
          <w:sz w:val="20"/>
        </w:rPr>
        <w:t xml:space="preserve">our stores based on changes in operating restrictions in the various jurisdictions. As of January 31, 2021, 84 of our comparable stores had </w:t>
      </w:r>
    </w:p>
    <w:p>
      <w:pPr>
        <w:pStyle w:val="TextBody"/>
        <w:spacing w:before="240" w:after="0"/>
        <w:jc w:val="left"/>
        <w:rPr>
          <w:rFonts w:ascii="Times New Roman" w:hAnsi="Times New Roman"/>
          <w:spacing w:val="0"/>
          <w:sz w:val="20"/>
        </w:rPr>
      </w:pPr>
      <w:r>
        <w:rPr>
          <w:rFonts w:ascii="Times New Roman" w:hAnsi="Times New Roman"/>
          <w:spacing w:val="0"/>
          <w:sz w:val="20"/>
        </w:rPr>
        <w:t>re-opened</w:t>
      </w:r>
    </w:p>
    <w:p>
      <w:pPr>
        <w:pStyle w:val="TextBody"/>
        <w:spacing w:before="240" w:after="0"/>
        <w:jc w:val="left"/>
        <w:rPr>
          <w:rFonts w:ascii="Times New Roman" w:hAnsi="Times New Roman"/>
          <w:sz w:val="20"/>
        </w:rPr>
      </w:pPr>
      <w:r>
        <w:rPr>
          <w:rFonts w:ascii="Times New Roman" w:hAnsi="Times New Roman"/>
          <w:sz w:val="20"/>
        </w:rPr>
        <w:t xml:space="preserve">under limited operating conditions. Our individual comparable stores generally experienced gradual increases in weekly sales performance as operating weeks increased. Individual store performance after </w:t>
      </w:r>
    </w:p>
    <w:p>
      <w:pPr>
        <w:pStyle w:val="TextBody"/>
        <w:spacing w:before="240" w:after="0"/>
        <w:jc w:val="left"/>
        <w:rPr>
          <w:rFonts w:ascii="Times New Roman" w:hAnsi="Times New Roman"/>
          <w:spacing w:val="0"/>
          <w:sz w:val="20"/>
        </w:rPr>
      </w:pPr>
      <w:r>
        <w:rPr>
          <w:rFonts w:ascii="Times New Roman" w:hAnsi="Times New Roman"/>
          <w:spacing w:val="0"/>
          <w:sz w:val="20"/>
        </w:rPr>
        <w:t>re-opening</w:t>
      </w:r>
    </w:p>
    <w:p>
      <w:pPr>
        <w:pStyle w:val="TextBody"/>
        <w:spacing w:before="240" w:after="0"/>
        <w:jc w:val="left"/>
        <w:rPr>
          <w:rFonts w:ascii="Times New Roman" w:hAnsi="Times New Roman"/>
          <w:sz w:val="20"/>
        </w:rPr>
      </w:pPr>
      <w:r>
        <w:rPr>
          <w:rFonts w:ascii="Times New Roman" w:hAnsi="Times New Roman"/>
          <w:sz w:val="20"/>
        </w:rPr>
        <w:t xml:space="preserve">was impacted by changes in local operating restrictions and consumer reactions to changes in local </w:t>
      </w:r>
    </w:p>
    <w:p>
      <w:pPr>
        <w:pStyle w:val="TextBody"/>
        <w:spacing w:before="240" w:after="0"/>
        <w:jc w:val="left"/>
        <w:rPr>
          <w:rFonts w:ascii="Times New Roman" w:hAnsi="Times New Roman"/>
          <w:spacing w:val="0"/>
          <w:sz w:val="20"/>
        </w:rPr>
      </w:pPr>
      <w:r>
        <w:rPr>
          <w:rFonts w:ascii="Times New Roman" w:hAnsi="Times New Roman"/>
          <w:spacing w:val="0"/>
          <w:sz w:val="20"/>
        </w:rPr>
        <w:t>COVID-19</w:t>
      </w:r>
    </w:p>
    <w:p>
      <w:pPr>
        <w:pStyle w:val="TextBody"/>
        <w:spacing w:before="240" w:after="0"/>
        <w:jc w:val="left"/>
        <w:rPr>
          <w:rFonts w:ascii="Times New Roman" w:hAnsi="Times New Roman"/>
          <w:sz w:val="20"/>
        </w:rPr>
      </w:pPr>
      <w:r>
        <w:rPr>
          <w:rFonts w:ascii="Times New Roman" w:hAnsi="Times New Roman"/>
          <w:sz w:val="20"/>
        </w:rPr>
        <w:t xml:space="preserve">infection rates. </w:t>
      </w:r>
    </w:p>
    <w:p>
      <w:pPr>
        <w:pStyle w:val="TextBody"/>
        <w:spacing w:before="240" w:after="0"/>
        <w:jc w:val="left"/>
        <w:rPr>
          <w:rFonts w:ascii="Times New Roman" w:hAnsi="Times New Roman"/>
          <w:sz w:val="20"/>
        </w:rPr>
      </w:pPr>
      <w:r>
        <w:rPr>
          <w:rFonts w:ascii="Times New Roman" w:hAnsi="Times New Roman"/>
          <w:sz w:val="20"/>
        </w:rPr>
        <w:t xml:space="preserve">Comparable </w:t>
      </w:r>
    </w:p>
    <w:p>
      <w:pPr>
        <w:pStyle w:val="TextBody"/>
        <w:spacing w:before="240" w:after="0"/>
        <w:jc w:val="left"/>
        <w:rPr>
          <w:rFonts w:ascii="Times New Roman" w:hAnsi="Times New Roman"/>
          <w:spacing w:val="0"/>
          <w:sz w:val="20"/>
        </w:rPr>
      </w:pPr>
      <w:r>
        <w:rPr>
          <w:rFonts w:ascii="Times New Roman" w:hAnsi="Times New Roman"/>
          <w:spacing w:val="0"/>
          <w:sz w:val="20"/>
        </w:rPr>
        <w:t>walk-in</w:t>
      </w:r>
    </w:p>
    <w:p>
      <w:pPr>
        <w:pStyle w:val="TextBody"/>
        <w:spacing w:before="240" w:after="0"/>
        <w:jc w:val="left"/>
        <w:rPr>
          <w:rFonts w:ascii="Times New Roman" w:hAnsi="Times New Roman"/>
          <w:sz w:val="20"/>
        </w:rPr>
      </w:pPr>
      <w:r>
        <w:rPr>
          <w:rFonts w:ascii="Times New Roman" w:hAnsi="Times New Roman"/>
          <w:sz w:val="20"/>
        </w:rPr>
        <w:t xml:space="preserve">revenues, which accounted for 97.0% of comparable store revenue for fiscal 2020, decreased 67.8% compared to the similar period in fiscal 2019. Comparable store special events revenues, which accounted for 3.0% of comparable store revenue for fiscal 2020, decreased 91.1% compared to the similar period in fiscal 2019 as events were canceled or postponed due to local restrictions on group gathering size and operating restrictions on our business.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40 </w:t>
      </w:r>
    </w:p>
    <w:p>
      <w:pPr>
        <w:pStyle w:val="HorizontalLine"/>
        <w:rPr/>
      </w:pPr>
      <w:r>
        <w:rPr/>
      </w:r>
    </w:p>
    <w:p>
      <w:pPr>
        <w:pStyle w:val="TextBody"/>
        <w:spacing w:before="0" w:after="0"/>
        <w:rPr/>
      </w:pPr>
      <w:hyperlink w:anchor="toc">
        <w:r>
          <w:rPr>
            <w:rStyle w:val="InternetLink"/>
            <w:b/>
            <w:sz w:val="20"/>
          </w:rPr>
          <w:t>Table of Contents</w:t>
        </w:r>
      </w:hyperlink>
    </w:p>
    <w:p>
      <w:pPr>
        <w:pStyle w:val="TextBody"/>
        <w:spacing w:before="0" w:after="0"/>
        <w:jc w:val="left"/>
        <w:rPr>
          <w:rFonts w:ascii="Times New Roman" w:hAnsi="Times New Roman"/>
          <w:spacing w:val="0"/>
          <w:sz w:val="20"/>
        </w:rPr>
      </w:pPr>
      <w:r>
        <w:rPr>
          <w:rFonts w:ascii="Times New Roman" w:hAnsi="Times New Roman"/>
          <w:spacing w:val="0"/>
          <w:sz w:val="20"/>
        </w:rPr>
        <w:t xml:space="preserve">Food sales at comparable stores decreased by $252,827, or 74.5%, to $86,382 in fiscal 2020 from $339,209 in fiscal 2019. Beverage sales at comparable stores decreased by $113,917, or 71.6%, to $45,104 in fiscal 2020 from $159,021 in fiscal 2019. Comparable store amusement and other revenues in fiscal 2020 decreased by $475,844, or 67.7%, to $226,909 from $702,753 in fiscal 2019. </w:t>
      </w:r>
    </w:p>
    <w:p>
      <w:pPr>
        <w:pStyle w:val="TextBody"/>
        <w:spacing w:before="240" w:after="0"/>
        <w:jc w:val="left"/>
        <w:rPr>
          <w:rFonts w:ascii="Times New Roman" w:hAnsi="Times New Roman"/>
          <w:spacing w:val="0"/>
          <w:sz w:val="20"/>
        </w:rPr>
      </w:pPr>
      <w:r>
        <w:rPr>
          <w:rFonts w:ascii="Times New Roman" w:hAnsi="Times New Roman"/>
          <w:spacing w:val="0"/>
          <w:sz w:val="20"/>
        </w:rPr>
        <w:t>Non-comparable</w:t>
      </w:r>
    </w:p>
    <w:p>
      <w:pPr>
        <w:pStyle w:val="TextBody"/>
        <w:spacing w:before="240" w:after="0"/>
        <w:jc w:val="left"/>
        <w:rPr>
          <w:rFonts w:ascii="Times New Roman" w:hAnsi="Times New Roman"/>
          <w:sz w:val="20"/>
        </w:rPr>
      </w:pPr>
      <w:r>
        <w:rPr>
          <w:rFonts w:ascii="Times New Roman" w:hAnsi="Times New Roman"/>
          <w:sz w:val="20"/>
        </w:rPr>
        <w:t xml:space="preserve">store revenue decreased $81,195 in fiscal 2020 compared to fiscal 2019. During the first four-week period of fiscal 2020, </w:t>
      </w:r>
    </w:p>
    <w:p>
      <w:pPr>
        <w:pStyle w:val="TextBody"/>
        <w:spacing w:before="240" w:after="0"/>
        <w:jc w:val="left"/>
        <w:rPr>
          <w:rFonts w:ascii="Times New Roman" w:hAnsi="Times New Roman"/>
          <w:spacing w:val="0"/>
          <w:sz w:val="20"/>
        </w:rPr>
      </w:pPr>
      <w:r>
        <w:rPr>
          <w:rFonts w:ascii="Times New Roman" w:hAnsi="Times New Roman"/>
          <w:spacing w:val="0"/>
          <w:sz w:val="20"/>
        </w:rPr>
        <w:t>non-comparable</w:t>
      </w:r>
    </w:p>
    <w:p>
      <w:pPr>
        <w:pStyle w:val="TextBody"/>
        <w:spacing w:before="240" w:after="0"/>
        <w:jc w:val="left"/>
        <w:rPr>
          <w:rFonts w:ascii="Times New Roman" w:hAnsi="Times New Roman"/>
          <w:sz w:val="20"/>
        </w:rPr>
      </w:pPr>
      <w:r>
        <w:rPr>
          <w:rFonts w:ascii="Times New Roman" w:hAnsi="Times New Roman"/>
          <w:sz w:val="20"/>
        </w:rPr>
        <w:t xml:space="preserve">stores contributed an additional $9,668 of revenue and 54 additional operating weeks over the same period of fiscal 2019. During the remainder of the </w:t>
      </w:r>
    </w:p>
    <w:p>
      <w:pPr>
        <w:pStyle w:val="TextBody"/>
        <w:spacing w:before="240" w:after="0"/>
        <w:jc w:val="left"/>
        <w:rPr>
          <w:rFonts w:ascii="Times New Roman" w:hAnsi="Times New Roman"/>
          <w:spacing w:val="0"/>
          <w:sz w:val="20"/>
        </w:rPr>
      </w:pPr>
      <w:r>
        <w:rPr>
          <w:rFonts w:ascii="Times New Roman" w:hAnsi="Times New Roman"/>
          <w:spacing w:val="0"/>
          <w:sz w:val="20"/>
        </w:rPr>
        <w:t>fifty-two</w:t>
      </w:r>
    </w:p>
    <w:p>
      <w:pPr>
        <w:pStyle w:val="TextBody"/>
        <w:spacing w:before="240" w:after="0"/>
        <w:jc w:val="left"/>
        <w:rPr>
          <w:rFonts w:ascii="Times New Roman" w:hAnsi="Times New Roman"/>
          <w:sz w:val="20"/>
        </w:rPr>
      </w:pPr>
      <w:r>
        <w:rPr>
          <w:rFonts w:ascii="Times New Roman" w:hAnsi="Times New Roman"/>
          <w:sz w:val="20"/>
        </w:rPr>
        <w:t xml:space="preserve">weeks ended January 31, 2021, </w:t>
      </w:r>
    </w:p>
    <w:p>
      <w:pPr>
        <w:pStyle w:val="TextBody"/>
        <w:spacing w:before="240" w:after="0"/>
        <w:jc w:val="left"/>
        <w:rPr>
          <w:rFonts w:ascii="Times New Roman" w:hAnsi="Times New Roman"/>
          <w:spacing w:val="0"/>
          <w:sz w:val="20"/>
        </w:rPr>
      </w:pPr>
      <w:r>
        <w:rPr>
          <w:rFonts w:ascii="Times New Roman" w:hAnsi="Times New Roman"/>
          <w:spacing w:val="0"/>
          <w:sz w:val="20"/>
        </w:rPr>
        <w:t>non-comparable</w:t>
      </w:r>
    </w:p>
    <w:p>
      <w:pPr>
        <w:pStyle w:val="TextBody"/>
        <w:spacing w:before="240" w:after="0"/>
        <w:jc w:val="left"/>
        <w:rPr>
          <w:rFonts w:ascii="Times New Roman" w:hAnsi="Times New Roman"/>
          <w:sz w:val="20"/>
        </w:rPr>
      </w:pPr>
      <w:r>
        <w:rPr>
          <w:rFonts w:ascii="Times New Roman" w:hAnsi="Times New Roman"/>
          <w:sz w:val="20"/>
        </w:rPr>
        <w:t xml:space="preserve">store revenue decreased $90,863 for the same reasons noted above, including 130 fewer store operating weeks. </w:t>
      </w:r>
    </w:p>
    <w:p>
      <w:pPr>
        <w:pStyle w:val="TextBody"/>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Cost of products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The total cost of products was $74,905 for fiscal 2020 and $233,311 for fiscal 2019. The total cost of products as a percentage of total revenues was 17.2% for both fiscal 2020 and fiscal 2019. For the year ended January 31, 2021, the cost of food products was 29.9% of food revenue, the cost of beverage products was 25.3% of beverage revenue, and the amusement and other cost of products was 10.7% of amusement and other revenues. For the year ended February 2, 2020, the cost of food products was 27.2% of food revenue, the cost of beverage products was 24.3% of beverage revenue, and the amusement and other cost of products was 10.8% of amusement and other revenues.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Cost of food and beverage products decreased to $45,207 in fiscal 2020 compared to $148,196 for fiscal 2019. Cost of food and beverage products, as a percentage of food and beverage revenues, increased 200 basis points to 28.3% for fiscal 2020 from 26.3% for fiscal 2019. Cost of food and beverage products during fiscal 2020 was negatively impacted by food and beverage spoilage of approximately $3,567 associated with store closures and the upcoming new menu rollout, partially offset by cost reductions resulting from vendor payment negotiations.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Cost of amusement and other decreased to $29,698 in fiscal 2020 compared to $85,115 in fiscal 2019. The costs of amusement and other, as a percentage of amusement and other revenues, decreased 10 basis points to 10.7% for fiscal 2020 from 10.8% for fiscal 2019. This decrease was driven by lower freight costs, lower cost per ticket and higher revenue per game play credit sold as a result of less discounting of amusement revenues, partially offset by an unfavorable shift in ticket redemption patterns.     </w:t>
      </w:r>
    </w:p>
    <w:p>
      <w:pPr>
        <w:pStyle w:val="TextBody"/>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Operating payroll and benefits </w:t>
      </w:r>
    </w:p>
    <w:p>
      <w:pPr>
        <w:pStyle w:val="TextBody"/>
        <w:spacing w:before="120" w:after="0"/>
        <w:jc w:val="left"/>
        <w:rPr>
          <w:rFonts w:ascii="Times New Roman" w:hAnsi="Times New Roman"/>
          <w:sz w:val="20"/>
        </w:rPr>
      </w:pPr>
      <w:r>
        <w:rPr>
          <w:rFonts w:ascii="Times New Roman" w:hAnsi="Times New Roman"/>
          <w:sz w:val="20"/>
        </w:rPr>
        <w:t xml:space="preserve">Total operating payroll and benefits decreased by $205,495, or 63.6%, to $117,475 in fiscal 2020 compared to $322,970 in fiscal 2019. Nearly all of our store workforce, with the exception of a small team of essential personnel, were furloughed in </w:t>
      </w:r>
    </w:p>
    <w:p>
      <w:pPr>
        <w:pStyle w:val="TextBody"/>
        <w:spacing w:before="120" w:after="0"/>
        <w:jc w:val="left"/>
        <w:rPr>
          <w:rFonts w:ascii="Times New Roman" w:hAnsi="Times New Roman"/>
          <w:spacing w:val="0"/>
          <w:sz w:val="20"/>
        </w:rPr>
      </w:pPr>
      <w:r>
        <w:rPr>
          <w:rFonts w:ascii="Times New Roman" w:hAnsi="Times New Roman"/>
          <w:spacing w:val="0"/>
          <w:sz w:val="20"/>
        </w:rPr>
        <w:t>mid-March</w:t>
      </w:r>
    </w:p>
    <w:p>
      <w:pPr>
        <w:pStyle w:val="TextBody"/>
        <w:spacing w:before="120" w:after="0"/>
        <w:jc w:val="left"/>
        <w:rPr>
          <w:rFonts w:ascii="Times New Roman" w:hAnsi="Times New Roman"/>
          <w:sz w:val="20"/>
        </w:rPr>
      </w:pPr>
      <w:r>
        <w:rPr>
          <w:rFonts w:ascii="Times New Roman" w:hAnsi="Times New Roman"/>
          <w:sz w:val="20"/>
        </w:rPr>
        <w:t xml:space="preserve">2020. Hourly team members returned only as stores </w:t>
      </w:r>
    </w:p>
    <w:p>
      <w:pPr>
        <w:pStyle w:val="TextBody"/>
        <w:spacing w:before="120" w:after="0"/>
        <w:jc w:val="left"/>
        <w:rPr>
          <w:rFonts w:ascii="Times New Roman" w:hAnsi="Times New Roman"/>
          <w:spacing w:val="0"/>
          <w:sz w:val="20"/>
        </w:rPr>
      </w:pPr>
      <w:r>
        <w:rPr>
          <w:rFonts w:ascii="Times New Roman" w:hAnsi="Times New Roman"/>
          <w:spacing w:val="0"/>
          <w:sz w:val="20"/>
        </w:rPr>
        <w:t>re-opened</w:t>
      </w:r>
    </w:p>
    <w:p>
      <w:pPr>
        <w:pStyle w:val="TextBody"/>
        <w:spacing w:before="120" w:after="0"/>
        <w:jc w:val="left"/>
        <w:rPr>
          <w:rFonts w:ascii="Times New Roman" w:hAnsi="Times New Roman"/>
          <w:sz w:val="20"/>
        </w:rPr>
      </w:pPr>
      <w:r>
        <w:rPr>
          <w:rFonts w:ascii="Times New Roman" w:hAnsi="Times New Roman"/>
          <w:sz w:val="20"/>
        </w:rPr>
        <w:t xml:space="preserve">and at reduced staffing levels. The total cost of operating payroll and benefits, as a percentage of total revenues, increased 310 basis points to 26.9% in fiscal 2020 compared to 23.8% for fiscal 2019. Favorable results in hourly labor were offset by the deleveraging impact of management labor as a result of the temporary store closures and continued benefit coverage for furloughed team members. Additionally, late in the third quarter, we recalled a core group of store managers at unopened stores and then maintained this core group throughout the fourth quarter to ensure retention of key team members.     </w:t>
      </w:r>
    </w:p>
    <w:p>
      <w:pPr>
        <w:pStyle w:val="TextBody"/>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Other store operating expenses </w:t>
      </w:r>
    </w:p>
    <w:p>
      <w:pPr>
        <w:pStyle w:val="TextBody"/>
        <w:spacing w:before="120" w:after="0"/>
        <w:jc w:val="left"/>
        <w:rPr>
          <w:rFonts w:ascii="Times New Roman" w:hAnsi="Times New Roman"/>
          <w:sz w:val="20"/>
        </w:rPr>
      </w:pPr>
      <w:r>
        <w:rPr>
          <w:rFonts w:ascii="Times New Roman" w:hAnsi="Times New Roman"/>
          <w:sz w:val="20"/>
        </w:rPr>
        <w:t xml:space="preserve">Other store operating expenses decreased by $129,967, or 30.3%, to $299,464 in fiscal 2020 compared to $429,431 in fiscal 2019. Decreased spend on marketing, maintenance and restaurant services due to temporary store closures and $1,000 insurance proceeds related to the </w:t>
      </w:r>
    </w:p>
    <w:p>
      <w:pPr>
        <w:pStyle w:val="TextBody"/>
        <w:spacing w:before="120" w:after="0"/>
        <w:jc w:val="left"/>
        <w:rPr>
          <w:rFonts w:ascii="Times New Roman" w:hAnsi="Times New Roman"/>
          <w:spacing w:val="0"/>
          <w:sz w:val="20"/>
        </w:rPr>
      </w:pPr>
      <w:r>
        <w:rPr>
          <w:rFonts w:ascii="Times New Roman" w:hAnsi="Times New Roman"/>
          <w:spacing w:val="0"/>
          <w:sz w:val="20"/>
        </w:rPr>
        <w:t>COVID-19</w:t>
      </w:r>
    </w:p>
    <w:p>
      <w:pPr>
        <w:pStyle w:val="TextBody"/>
        <w:spacing w:before="120" w:after="0"/>
        <w:jc w:val="left"/>
        <w:rPr>
          <w:rFonts w:ascii="Times New Roman" w:hAnsi="Times New Roman"/>
          <w:sz w:val="20"/>
        </w:rPr>
      </w:pPr>
      <w:r>
        <w:rPr>
          <w:rFonts w:ascii="Times New Roman" w:hAnsi="Times New Roman"/>
          <w:sz w:val="20"/>
        </w:rPr>
        <w:t xml:space="preserve">business disruptions were partially offset by a net loss on derivatives of $1,729 and special charges of $13,727 (consisting of a charge for impairment of long-lived assets of $12,248 and lease termination costs of $1,479). We have also incurred additional costs to address government regulations and the safety of our team members and customers. Other store operating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41 </w:t>
      </w:r>
    </w:p>
    <w:p>
      <w:pPr>
        <w:pStyle w:val="HorizontalLine"/>
        <w:rPr/>
      </w:pPr>
      <w:r>
        <w:rPr/>
      </w:r>
    </w:p>
    <w:p>
      <w:pPr>
        <w:pStyle w:val="TextBody"/>
        <w:spacing w:before="0" w:after="0"/>
        <w:rPr/>
      </w:pPr>
      <w:hyperlink w:anchor="toc">
        <w:r>
          <w:rPr>
            <w:rStyle w:val="InternetLink"/>
            <w:b/>
            <w:sz w:val="20"/>
          </w:rPr>
          <w:t>Table of Contents</w:t>
        </w:r>
      </w:hyperlink>
    </w:p>
    <w:p>
      <w:pPr>
        <w:pStyle w:val="TextBody"/>
        <w:spacing w:before="0" w:after="0"/>
        <w:jc w:val="left"/>
        <w:rPr>
          <w:rFonts w:ascii="Times New Roman" w:hAnsi="Times New Roman"/>
          <w:spacing w:val="0"/>
          <w:sz w:val="20"/>
        </w:rPr>
      </w:pPr>
      <w:r>
        <w:rPr>
          <w:rFonts w:ascii="Times New Roman" w:hAnsi="Times New Roman"/>
          <w:spacing w:val="0"/>
          <w:sz w:val="20"/>
        </w:rPr>
        <w:t xml:space="preserve">expense as a percent of total revenues increased to 68.6% in fiscal 2020 compared to 31.8% in fiscal 2019. This increase was primarily due to sales deleveraging of occupancy costs and utilities as a result of the temporary store closures and the charges for impairment. </w:t>
      </w:r>
    </w:p>
    <w:p>
      <w:pPr>
        <w:pStyle w:val="TextBody"/>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General and administrative expenses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General and administrative expenses decreased by $22,254, or 32.0%, to $47,215 in fiscal 2020 compared to $69,469 in fiscal 2019. The decrease in general and administrative expenses was driven primarily by lower labor costs due to continued furloughs and elimination of a significant number of positions at our corporate office, temporarily reducing pay and benefits for team members that were not furloughed for a twelve-week period and the elimination of the corporate bonus program, lower professional services, and reduced travel expenses. General and administrative expenses, as a percentage of total revenues, increased 570 basis points to 10.8% in fiscal 2020 compared to 5.1% in fiscal 2019, due primarily to unfavorable leverage on revenue decreases. </w:t>
      </w:r>
    </w:p>
    <w:p>
      <w:pPr>
        <w:pStyle w:val="TextBody"/>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Depreciation and amortization expense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Depreciation and amortization expense increased by $6,329, or 4.8%, to $138,789 in fiscal 2020 compared to $132,460 in fiscal 2019. Increased depreciation due to our 2020 and 2019 capital expenditures for new stores, operating initiatives, games and maintenance capital, was partially offset by other assets reaching the end of their depreciable lives. </w:t>
      </w:r>
    </w:p>
    <w:p>
      <w:pPr>
        <w:pStyle w:val="TextBody"/>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Pre-opening</w:t>
      </w:r>
    </w:p>
    <w:p>
      <w:pPr>
        <w:pStyle w:val="TextBody"/>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costs </w:t>
      </w:r>
    </w:p>
    <w:p>
      <w:pPr>
        <w:pStyle w:val="TextBody"/>
        <w:spacing w:before="120" w:after="0"/>
        <w:jc w:val="left"/>
        <w:rPr>
          <w:rFonts w:ascii="Times New Roman" w:hAnsi="Times New Roman"/>
          <w:spacing w:val="0"/>
          <w:sz w:val="20"/>
        </w:rPr>
      </w:pPr>
      <w:r>
        <w:rPr>
          <w:rFonts w:ascii="Times New Roman" w:hAnsi="Times New Roman"/>
          <w:spacing w:val="0"/>
          <w:sz w:val="20"/>
        </w:rPr>
        <w:t>Pre-opening</w:t>
      </w:r>
    </w:p>
    <w:p>
      <w:pPr>
        <w:pStyle w:val="TextBody"/>
        <w:spacing w:before="120" w:after="0"/>
        <w:jc w:val="left"/>
        <w:rPr>
          <w:rFonts w:ascii="Times New Roman" w:hAnsi="Times New Roman"/>
          <w:sz w:val="20"/>
        </w:rPr>
      </w:pPr>
      <w:r>
        <w:rPr>
          <w:rFonts w:ascii="Times New Roman" w:hAnsi="Times New Roman"/>
          <w:sz w:val="20"/>
        </w:rPr>
        <w:t xml:space="preserve">costs decreased by $7,695 to $11,276 in fiscal 2020 compared to $18,971 in fiscal 2019 due to a decrease in the number of new store openings in the current year, as construction was put on hold or delayed after the disruption of our business from the </w:t>
      </w:r>
    </w:p>
    <w:p>
      <w:pPr>
        <w:pStyle w:val="TextBody"/>
        <w:spacing w:before="120" w:after="0"/>
        <w:jc w:val="left"/>
        <w:rPr>
          <w:rFonts w:ascii="Times New Roman" w:hAnsi="Times New Roman"/>
          <w:spacing w:val="0"/>
          <w:sz w:val="20"/>
        </w:rPr>
      </w:pPr>
      <w:r>
        <w:rPr>
          <w:rFonts w:ascii="Times New Roman" w:hAnsi="Times New Roman"/>
          <w:spacing w:val="0"/>
          <w:sz w:val="20"/>
        </w:rPr>
        <w:t>COVID-19</w:t>
      </w:r>
    </w:p>
    <w:p>
      <w:pPr>
        <w:pStyle w:val="TextBody"/>
        <w:spacing w:before="120" w:after="0"/>
        <w:jc w:val="left"/>
        <w:rPr>
          <w:rFonts w:ascii="Times New Roman" w:hAnsi="Times New Roman"/>
          <w:sz w:val="20"/>
        </w:rPr>
      </w:pPr>
      <w:r>
        <w:rPr>
          <w:rFonts w:ascii="Times New Roman" w:hAnsi="Times New Roman"/>
          <w:sz w:val="20"/>
        </w:rPr>
        <w:t xml:space="preserve">pandemic, with </w:t>
      </w:r>
    </w:p>
    <w:p>
      <w:pPr>
        <w:pStyle w:val="TextBody"/>
        <w:spacing w:before="120" w:after="0"/>
        <w:jc w:val="left"/>
        <w:rPr>
          <w:rFonts w:ascii="Times New Roman" w:hAnsi="Times New Roman"/>
          <w:spacing w:val="0"/>
          <w:sz w:val="20"/>
        </w:rPr>
      </w:pPr>
      <w:r>
        <w:rPr>
          <w:rFonts w:ascii="Times New Roman" w:hAnsi="Times New Roman"/>
          <w:spacing w:val="0"/>
          <w:sz w:val="20"/>
        </w:rPr>
        <w:t>pre-opening</w:t>
      </w:r>
    </w:p>
    <w:p>
      <w:pPr>
        <w:pStyle w:val="TextBody"/>
        <w:spacing w:before="120" w:after="0"/>
        <w:jc w:val="left"/>
        <w:rPr>
          <w:rFonts w:ascii="Times New Roman" w:hAnsi="Times New Roman"/>
          <w:sz w:val="20"/>
        </w:rPr>
      </w:pPr>
      <w:r>
        <w:rPr>
          <w:rFonts w:ascii="Times New Roman" w:hAnsi="Times New Roman"/>
          <w:sz w:val="20"/>
        </w:rPr>
        <w:t xml:space="preserve">costs being primarily limited to </w:t>
      </w:r>
    </w:p>
    <w:p>
      <w:pPr>
        <w:pStyle w:val="TextBody"/>
        <w:spacing w:before="120" w:after="0"/>
        <w:jc w:val="left"/>
        <w:rPr>
          <w:rFonts w:ascii="Times New Roman" w:hAnsi="Times New Roman"/>
          <w:spacing w:val="0"/>
          <w:sz w:val="20"/>
        </w:rPr>
      </w:pPr>
      <w:r>
        <w:rPr>
          <w:rFonts w:ascii="Times New Roman" w:hAnsi="Times New Roman"/>
          <w:spacing w:val="0"/>
          <w:sz w:val="20"/>
        </w:rPr>
        <w:t>pre-opening</w:t>
      </w:r>
    </w:p>
    <w:p>
      <w:pPr>
        <w:pStyle w:val="TextBody"/>
        <w:spacing w:before="120" w:after="0"/>
        <w:jc w:val="left"/>
        <w:rPr>
          <w:rFonts w:ascii="Times New Roman" w:hAnsi="Times New Roman"/>
          <w:sz w:val="20"/>
        </w:rPr>
      </w:pPr>
      <w:r>
        <w:rPr>
          <w:rFonts w:ascii="Times New Roman" w:hAnsi="Times New Roman"/>
          <w:sz w:val="20"/>
        </w:rPr>
        <w:t xml:space="preserve">rent expense, including three future sites for which the leases have commenced. </w:t>
      </w:r>
    </w:p>
    <w:p>
      <w:pPr>
        <w:pStyle w:val="TextBody"/>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Interest expense, net and Loss on debt refinance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Interest expense, net increased by $15,953 to $36,890 in fiscal 2020 compared to $20,937 in fiscal 2019 due primarily to an increase in interest rates and partially due to an increase in average outstanding debt. In connection with the October 27, 2020 debt refinancing, which is explained in Note 5 to the Consolidated Financial Statements, the Company recorded a charge of $904 during fiscal 2020. </w:t>
      </w:r>
    </w:p>
    <w:p>
      <w:pPr>
        <w:pStyle w:val="TextBody"/>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Provision for income taxes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The effective income tax rate for fiscal 2020 was a benefit of 28.7% compared to a provision of 21.1% in fiscal 2019, primarily due to the impact of a decrease in operating earnings before income tax as well as the impact of provisions of the Coronavirus Aid, Relief and Economic Security Act (“CARES Act”), including technical amendments to qualified improvement property and the impact of carrying back tax net operating losses from fiscal years 2020 and 2019 to years with a higher federal corporate income tax rate.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42 </w:t>
      </w:r>
    </w:p>
    <w:p>
      <w:pPr>
        <w:pStyle w:val="HorizontalLine"/>
        <w:rPr/>
      </w:pPr>
      <w:r>
        <w:rPr/>
      </w:r>
    </w:p>
    <w:p>
      <w:pPr>
        <w:pStyle w:val="TextBody"/>
        <w:spacing w:before="0" w:after="0"/>
        <w:rPr/>
      </w:pPr>
      <w:hyperlink w:anchor="toc">
        <w:r>
          <w:rPr>
            <w:rStyle w:val="InternetLink"/>
            <w:b/>
            <w:sz w:val="20"/>
          </w:rPr>
          <w:t>Table of Contents</w:t>
        </w:r>
      </w:hyperlink>
    </w:p>
    <w:p>
      <w:pPr>
        <w:pStyle w:val="TextBody"/>
        <w:spacing w:before="0" w:after="0"/>
        <w:jc w:val="left"/>
        <w:rPr>
          <w:rFonts w:ascii="Times New Roman" w:hAnsi="Times New Roman"/>
          <w:b/>
          <w:spacing w:val="0"/>
          <w:sz w:val="20"/>
        </w:rPr>
      </w:pPr>
      <w:r>
        <w:rPr>
          <w:rFonts w:ascii="Times New Roman" w:hAnsi="Times New Roman"/>
          <w:b/>
          <w:spacing w:val="0"/>
          <w:sz w:val="20"/>
        </w:rPr>
        <w:t xml:space="preserve">Fiscal 2019 Compared to Fiscal 2018 </w:t>
      </w:r>
    </w:p>
    <w:p>
      <w:pPr>
        <w:pStyle w:val="TextBody"/>
        <w:spacing w:before="12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Results of operations.</w:t>
      </w:r>
    </w:p>
    <w:p>
      <w:pPr>
        <w:pStyle w:val="TextBody"/>
        <w:spacing w:before="120" w:after="0"/>
        <w:jc w:val="left"/>
        <w:rPr>
          <w:rFonts w:ascii="Times New Roman" w:hAnsi="Times New Roman"/>
          <w:sz w:val="20"/>
        </w:rPr>
      </w:pPr>
      <w:r>
        <w:rPr>
          <w:rFonts w:ascii="Times New Roman" w:hAnsi="Times New Roman"/>
          <w:sz w:val="20"/>
        </w:rPr>
        <w:t xml:space="preserve">The following table sets forth selected data, in thousands of dollars and as a percentage of total revenues (unless otherwise noted) for the periods indicated. All information is derived from the accompanying consolidated statements of comprehensive income (loss). </w:t>
      </w:r>
    </w:p>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5500"/>
        <w:gridCol w:w="120"/>
        <w:gridCol w:w="140"/>
        <w:gridCol w:w="980"/>
        <w:gridCol w:w="60"/>
        <w:gridCol w:w="120"/>
        <w:gridCol w:w="60"/>
        <w:gridCol w:w="560"/>
        <w:gridCol w:w="334"/>
        <w:gridCol w:w="60"/>
        <w:gridCol w:w="140"/>
        <w:gridCol w:w="980"/>
        <w:gridCol w:w="60"/>
        <w:gridCol w:w="120"/>
        <w:gridCol w:w="60"/>
        <w:gridCol w:w="560"/>
        <w:gridCol w:w="351"/>
      </w:tblGrid>
      <w:tr>
        <w:trPr/>
        <w:tc>
          <w:tcPr>
            <w:tcW w:w="550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560" w:type="dxa"/>
            <w:tcBorders/>
            <w:shd w:fill="auto" w:val="clear"/>
            <w:vAlign w:val="center"/>
          </w:tcPr>
          <w:p>
            <w:pPr>
              <w:pStyle w:val="TableContents"/>
              <w:spacing w:before="0" w:after="283"/>
              <w:rPr>
                <w:sz w:val="4"/>
                <w:szCs w:val="4"/>
              </w:rPr>
            </w:pPr>
            <w:r>
              <w:rPr>
                <w:sz w:val="4"/>
                <w:szCs w:val="4"/>
              </w:rPr>
            </w:r>
          </w:p>
        </w:tc>
        <w:tc>
          <w:tcPr>
            <w:tcW w:w="334"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560" w:type="dxa"/>
            <w:tcBorders/>
            <w:shd w:fill="auto" w:val="clear"/>
            <w:vAlign w:val="center"/>
          </w:tcPr>
          <w:p>
            <w:pPr>
              <w:pStyle w:val="TableContents"/>
              <w:spacing w:before="0" w:after="283"/>
              <w:rPr>
                <w:sz w:val="4"/>
                <w:szCs w:val="4"/>
              </w:rPr>
            </w:pPr>
            <w:r>
              <w:rPr>
                <w:sz w:val="4"/>
                <w:szCs w:val="4"/>
              </w:rPr>
            </w:r>
          </w:p>
        </w:tc>
        <w:tc>
          <w:tcPr>
            <w:tcW w:w="351" w:type="dxa"/>
            <w:tcBorders/>
            <w:shd w:fill="auto" w:val="clear"/>
            <w:vAlign w:val="center"/>
          </w:tcPr>
          <w:p>
            <w:pPr>
              <w:pStyle w:val="TableContents"/>
              <w:spacing w:before="0" w:after="283"/>
              <w:rPr>
                <w:sz w:val="4"/>
                <w:szCs w:val="4"/>
              </w:rPr>
            </w:pPr>
            <w:r>
              <w:rPr>
                <w:sz w:val="4"/>
                <w:szCs w:val="4"/>
              </w:rPr>
            </w:r>
          </w:p>
        </w:tc>
      </w:tr>
      <w:tr>
        <w:trPr/>
        <w:tc>
          <w:tcPr>
            <w:tcW w:w="550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920" w:type="dxa"/>
            <w:gridSpan w:val="6"/>
            <w:tcBorders/>
            <w:shd w:fill="auto" w:val="clear"/>
            <w:vAlign w:val="center"/>
          </w:tcPr>
          <w:p>
            <w:pPr>
              <w:pStyle w:val="TableContents"/>
              <w:spacing w:before="0" w:after="0"/>
              <w:jc w:val="center"/>
              <w:rPr>
                <w:b/>
                <w:spacing w:val="0"/>
              </w:rPr>
            </w:pPr>
            <w:r>
              <w:rPr>
                <w:b/>
                <w:spacing w:val="0"/>
              </w:rPr>
              <w:t>Fiscal Year Ended</w:t>
            </w:r>
          </w:p>
        </w:tc>
        <w:tc>
          <w:tcPr>
            <w:tcW w:w="334"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920" w:type="dxa"/>
            <w:gridSpan w:val="6"/>
            <w:tcBorders/>
            <w:shd w:fill="auto" w:val="clear"/>
            <w:vAlign w:val="center"/>
          </w:tcPr>
          <w:p>
            <w:pPr>
              <w:pStyle w:val="TableContents"/>
              <w:spacing w:before="0" w:after="0"/>
              <w:jc w:val="center"/>
              <w:rPr>
                <w:b/>
                <w:spacing w:val="0"/>
              </w:rPr>
            </w:pPr>
            <w:r>
              <w:rPr>
                <w:b/>
                <w:spacing w:val="0"/>
              </w:rPr>
              <w:t>Fiscal Year Ended</w:t>
            </w:r>
          </w:p>
        </w:tc>
        <w:tc>
          <w:tcPr>
            <w:tcW w:w="351" w:type="dxa"/>
            <w:tcBorders/>
            <w:shd w:fill="auto" w:val="clear"/>
            <w:vAlign w:val="center"/>
          </w:tcPr>
          <w:p>
            <w:pPr>
              <w:pStyle w:val="TableContents"/>
              <w:spacing w:before="0" w:after="283"/>
              <w:rPr/>
            </w:pPr>
            <w:r>
              <w:rPr/>
              <w:t> </w:t>
            </w:r>
          </w:p>
        </w:tc>
      </w:tr>
      <w:tr>
        <w:trPr/>
        <w:tc>
          <w:tcPr>
            <w:tcW w:w="550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920" w:type="dxa"/>
            <w:gridSpan w:val="6"/>
            <w:tcBorders/>
            <w:shd w:fill="auto" w:val="clear"/>
            <w:vAlign w:val="center"/>
          </w:tcPr>
          <w:p>
            <w:pPr>
              <w:pStyle w:val="TableContents"/>
              <w:spacing w:before="0" w:after="0"/>
              <w:jc w:val="center"/>
              <w:rPr>
                <w:b/>
                <w:spacing w:val="0"/>
              </w:rPr>
            </w:pPr>
            <w:r>
              <w:rPr>
                <w:b/>
                <w:spacing w:val="0"/>
              </w:rPr>
              <w:t>February 2, 2020</w:t>
            </w:r>
          </w:p>
        </w:tc>
        <w:tc>
          <w:tcPr>
            <w:tcW w:w="334"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920" w:type="dxa"/>
            <w:gridSpan w:val="6"/>
            <w:tcBorders/>
            <w:shd w:fill="auto" w:val="clear"/>
            <w:vAlign w:val="center"/>
          </w:tcPr>
          <w:p>
            <w:pPr>
              <w:pStyle w:val="TableContents"/>
              <w:spacing w:before="0" w:after="0"/>
              <w:jc w:val="center"/>
              <w:rPr>
                <w:b/>
                <w:spacing w:val="0"/>
              </w:rPr>
            </w:pPr>
            <w:r>
              <w:rPr>
                <w:b/>
                <w:spacing w:val="0"/>
              </w:rPr>
              <w:t>February 3, 2019</w:t>
            </w:r>
          </w:p>
        </w:tc>
        <w:tc>
          <w:tcPr>
            <w:tcW w:w="351" w:type="dxa"/>
            <w:tcBorders/>
            <w:shd w:fill="auto" w:val="clear"/>
            <w:vAlign w:val="center"/>
          </w:tcPr>
          <w:p>
            <w:pPr>
              <w:pStyle w:val="TableContents"/>
              <w:spacing w:before="0" w:after="283"/>
              <w:rPr/>
            </w:pPr>
            <w:r>
              <w:rPr/>
              <w:t> </w:t>
            </w:r>
          </w:p>
        </w:tc>
      </w:tr>
      <w:tr>
        <w:trPr/>
        <w:tc>
          <w:tcPr>
            <w:tcW w:w="550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Food and beverage revenues</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980" w:type="dxa"/>
            <w:tcBorders/>
            <w:shd w:fill="CCEEFF" w:val="clear"/>
            <w:vAlign w:val="center"/>
          </w:tcPr>
          <w:p>
            <w:pPr>
              <w:pStyle w:val="TableContents"/>
              <w:spacing w:before="0" w:after="283"/>
              <w:jc w:val="right"/>
              <w:rPr/>
            </w:pPr>
            <w:r>
              <w:rPr/>
              <w:t>563,576</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560" w:type="dxa"/>
            <w:tcBorders/>
            <w:shd w:fill="CCEEFF" w:val="clear"/>
            <w:vAlign w:val="center"/>
          </w:tcPr>
          <w:p>
            <w:pPr>
              <w:pStyle w:val="TableContents"/>
              <w:spacing w:before="0" w:after="283"/>
              <w:jc w:val="right"/>
              <w:rPr/>
            </w:pPr>
            <w:r>
              <w:rPr/>
              <w:t>41.6</w:t>
            </w:r>
          </w:p>
        </w:tc>
        <w:tc>
          <w:tcPr>
            <w:tcW w:w="334"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980" w:type="dxa"/>
            <w:tcBorders/>
            <w:shd w:fill="CCEEFF" w:val="clear"/>
            <w:vAlign w:val="center"/>
          </w:tcPr>
          <w:p>
            <w:pPr>
              <w:pStyle w:val="TableContents"/>
              <w:spacing w:before="0" w:after="283"/>
              <w:jc w:val="right"/>
              <w:rPr/>
            </w:pPr>
            <w:r>
              <w:rPr/>
              <w:t>536,469</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560" w:type="dxa"/>
            <w:tcBorders/>
            <w:shd w:fill="CCEEFF" w:val="clear"/>
            <w:vAlign w:val="center"/>
          </w:tcPr>
          <w:p>
            <w:pPr>
              <w:pStyle w:val="TableContents"/>
              <w:spacing w:before="0" w:after="283"/>
              <w:jc w:val="right"/>
              <w:rPr/>
            </w:pPr>
            <w:r>
              <w:rPr/>
              <w:t>42.4</w:t>
            </w:r>
          </w:p>
        </w:tc>
        <w:tc>
          <w:tcPr>
            <w:tcW w:w="351" w:type="dxa"/>
            <w:tcBorders/>
            <w:shd w:fill="CCEEFF" w:val="clear"/>
            <w:vAlign w:val="center"/>
          </w:tcPr>
          <w:p>
            <w:pPr>
              <w:pStyle w:val="TableContents"/>
              <w:spacing w:before="0" w:after="283"/>
              <w:rPr/>
            </w:pPr>
            <w:r>
              <w:rPr/>
              <w:t>% </w:t>
            </w:r>
          </w:p>
        </w:tc>
      </w:tr>
      <w:tr>
        <w:trPr/>
        <w:tc>
          <w:tcPr>
            <w:tcW w:w="550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Amusement and other revenues</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791,115</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60" w:type="dxa"/>
            <w:tcBorders/>
            <w:shd w:fill="auto" w:val="clear"/>
            <w:vAlign w:val="center"/>
          </w:tcPr>
          <w:p>
            <w:pPr>
              <w:pStyle w:val="TableContents"/>
              <w:spacing w:before="0" w:after="283"/>
              <w:jc w:val="right"/>
              <w:rPr/>
            </w:pPr>
            <w:r>
              <w:rPr/>
              <w:t>58.4</w:t>
            </w:r>
          </w:p>
        </w:tc>
        <w:tc>
          <w:tcPr>
            <w:tcW w:w="334"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728,832</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60" w:type="dxa"/>
            <w:tcBorders/>
            <w:shd w:fill="auto" w:val="clear"/>
            <w:vAlign w:val="center"/>
          </w:tcPr>
          <w:p>
            <w:pPr>
              <w:pStyle w:val="TableContents"/>
              <w:spacing w:before="0" w:after="283"/>
              <w:jc w:val="right"/>
              <w:rPr/>
            </w:pPr>
            <w:r>
              <w:rPr/>
              <w:t>57.6</w:t>
            </w:r>
          </w:p>
        </w:tc>
        <w:tc>
          <w:tcPr>
            <w:tcW w:w="351" w:type="dxa"/>
            <w:tcBorders/>
            <w:shd w:fill="auto" w:val="clear"/>
            <w:vAlign w:val="center"/>
          </w:tcPr>
          <w:p>
            <w:pPr>
              <w:pStyle w:val="TableContents"/>
              <w:spacing w:before="0" w:after="283"/>
              <w:rPr/>
            </w:pPr>
            <w:r>
              <w:rPr/>
              <w:t> </w:t>
            </w:r>
          </w:p>
        </w:tc>
      </w:tr>
      <w:tr>
        <w:trPr/>
        <w:tc>
          <w:tcPr>
            <w:tcW w:w="550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single" w:sz="2" w:space="1" w:color="000000"/>
              </w:rPr>
            </w:pPr>
            <w:r>
              <w:rPr>
                <w:bdr w:val="single" w:sz="2" w:space="1" w:color="000000"/>
              </w:rPr>
              <w:t> </w:t>
            </w:r>
          </w:p>
        </w:tc>
        <w:tc>
          <w:tcPr>
            <w:tcW w:w="980" w:type="dxa"/>
            <w:tcBorders/>
            <w:shd w:fill="auto" w:val="clear"/>
            <w:vAlign w:val="center"/>
          </w:tcPr>
          <w:p>
            <w:pPr>
              <w:pStyle w:val="TableContents"/>
              <w:spacing w:before="0" w:after="0"/>
              <w:rPr>
                <w:bdr w:val="single" w:sz="2" w:space="1" w:color="000000"/>
              </w:rPr>
            </w:pPr>
            <w:r>
              <w:rPr>
                <w:bdr w:val="single" w:sz="2"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560" w:type="dxa"/>
            <w:tcBorders/>
            <w:shd w:fill="auto" w:val="clear"/>
            <w:vAlign w:val="center"/>
          </w:tcPr>
          <w:p>
            <w:pPr>
              <w:pStyle w:val="TableContents"/>
              <w:spacing w:before="0" w:after="0"/>
              <w:rPr>
                <w:bdr w:val="single" w:sz="2" w:space="1" w:color="000000"/>
              </w:rPr>
            </w:pPr>
            <w:r>
              <w:rPr>
                <w:bdr w:val="single" w:sz="2" w:space="1" w:color="000000"/>
              </w:rPr>
              <w:t> </w:t>
            </w:r>
          </w:p>
        </w:tc>
        <w:tc>
          <w:tcPr>
            <w:tcW w:w="334"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single" w:sz="2" w:space="1" w:color="000000"/>
              </w:rPr>
            </w:pPr>
            <w:r>
              <w:rPr>
                <w:bdr w:val="single" w:sz="2" w:space="1" w:color="000000"/>
              </w:rPr>
              <w:t> </w:t>
            </w:r>
          </w:p>
        </w:tc>
        <w:tc>
          <w:tcPr>
            <w:tcW w:w="980" w:type="dxa"/>
            <w:tcBorders/>
            <w:shd w:fill="auto" w:val="clear"/>
            <w:vAlign w:val="center"/>
          </w:tcPr>
          <w:p>
            <w:pPr>
              <w:pStyle w:val="TableContents"/>
              <w:spacing w:before="0" w:after="0"/>
              <w:rPr>
                <w:bdr w:val="single" w:sz="2" w:space="1" w:color="000000"/>
              </w:rPr>
            </w:pPr>
            <w:r>
              <w:rPr>
                <w:bdr w:val="single" w:sz="2"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560" w:type="dxa"/>
            <w:tcBorders/>
            <w:shd w:fill="auto" w:val="clear"/>
            <w:vAlign w:val="center"/>
          </w:tcPr>
          <w:p>
            <w:pPr>
              <w:pStyle w:val="TableContents"/>
              <w:spacing w:before="0" w:after="0"/>
              <w:rPr>
                <w:bdr w:val="single" w:sz="2" w:space="1" w:color="000000"/>
              </w:rPr>
            </w:pPr>
            <w:r>
              <w:rPr>
                <w:bdr w:val="single" w:sz="2" w:space="1" w:color="000000"/>
              </w:rPr>
              <w:t> </w:t>
            </w:r>
          </w:p>
        </w:tc>
        <w:tc>
          <w:tcPr>
            <w:tcW w:w="351" w:type="dxa"/>
            <w:tcBorders/>
            <w:shd w:fill="auto" w:val="clear"/>
            <w:vAlign w:val="center"/>
          </w:tcPr>
          <w:p>
            <w:pPr>
              <w:pStyle w:val="TableContents"/>
              <w:spacing w:before="0" w:after="283"/>
              <w:rPr/>
            </w:pPr>
            <w:r>
              <w:rPr/>
              <w:t> </w:t>
            </w:r>
          </w:p>
        </w:tc>
      </w:tr>
      <w:tr>
        <w:trPr/>
        <w:tc>
          <w:tcPr>
            <w:tcW w:w="550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Total revenues</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1,354,691</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560" w:type="dxa"/>
            <w:tcBorders/>
            <w:shd w:fill="CCEEFF" w:val="clear"/>
            <w:vAlign w:val="center"/>
          </w:tcPr>
          <w:p>
            <w:pPr>
              <w:pStyle w:val="TableContents"/>
              <w:spacing w:before="0" w:after="283"/>
              <w:jc w:val="right"/>
              <w:rPr/>
            </w:pPr>
            <w:r>
              <w:rPr/>
              <w:t>100.0</w:t>
            </w:r>
          </w:p>
        </w:tc>
        <w:tc>
          <w:tcPr>
            <w:tcW w:w="334"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1,265,301</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560" w:type="dxa"/>
            <w:tcBorders/>
            <w:shd w:fill="CCEEFF" w:val="clear"/>
            <w:vAlign w:val="center"/>
          </w:tcPr>
          <w:p>
            <w:pPr>
              <w:pStyle w:val="TableContents"/>
              <w:spacing w:before="0" w:after="283"/>
              <w:jc w:val="right"/>
              <w:rPr/>
            </w:pPr>
            <w:r>
              <w:rPr/>
              <w:t>100.0</w:t>
            </w:r>
          </w:p>
        </w:tc>
        <w:tc>
          <w:tcPr>
            <w:tcW w:w="351" w:type="dxa"/>
            <w:tcBorders/>
            <w:shd w:fill="CCEEFF" w:val="clear"/>
            <w:vAlign w:val="center"/>
          </w:tcPr>
          <w:p>
            <w:pPr>
              <w:pStyle w:val="TableContents"/>
              <w:spacing w:before="0" w:after="283"/>
              <w:rPr/>
            </w:pPr>
            <w:r>
              <w:rPr/>
              <w:t> </w:t>
            </w:r>
          </w:p>
        </w:tc>
      </w:tr>
      <w:tr>
        <w:trPr/>
        <w:tc>
          <w:tcPr>
            <w:tcW w:w="550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Cost of food and beverage (as a percentage of food and beverage revenues)</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148,196</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60" w:type="dxa"/>
            <w:tcBorders/>
            <w:shd w:fill="auto" w:val="clear"/>
            <w:vAlign w:val="center"/>
          </w:tcPr>
          <w:p>
            <w:pPr>
              <w:pStyle w:val="TableContents"/>
              <w:spacing w:before="0" w:after="283"/>
              <w:jc w:val="right"/>
              <w:rPr/>
            </w:pPr>
            <w:r>
              <w:rPr/>
              <w:t>26.3</w:t>
            </w:r>
          </w:p>
        </w:tc>
        <w:tc>
          <w:tcPr>
            <w:tcW w:w="334"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139,199</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60" w:type="dxa"/>
            <w:tcBorders/>
            <w:shd w:fill="auto" w:val="clear"/>
            <w:vAlign w:val="center"/>
          </w:tcPr>
          <w:p>
            <w:pPr>
              <w:pStyle w:val="TableContents"/>
              <w:spacing w:before="0" w:after="283"/>
              <w:jc w:val="right"/>
              <w:rPr/>
            </w:pPr>
            <w:r>
              <w:rPr/>
              <w:t>25.9</w:t>
            </w:r>
          </w:p>
        </w:tc>
        <w:tc>
          <w:tcPr>
            <w:tcW w:w="351" w:type="dxa"/>
            <w:tcBorders/>
            <w:shd w:fill="auto" w:val="clear"/>
            <w:vAlign w:val="center"/>
          </w:tcPr>
          <w:p>
            <w:pPr>
              <w:pStyle w:val="TableContents"/>
              <w:spacing w:before="0" w:after="283"/>
              <w:rPr/>
            </w:pPr>
            <w:r>
              <w:rPr/>
              <w:t> </w:t>
            </w:r>
          </w:p>
        </w:tc>
      </w:tr>
      <w:tr>
        <w:trPr/>
        <w:tc>
          <w:tcPr>
            <w:tcW w:w="550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Cost of amusement and other (as a percentage of amusement and other revenues)</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85,115</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560" w:type="dxa"/>
            <w:tcBorders/>
            <w:shd w:fill="CCEEFF" w:val="clear"/>
            <w:vAlign w:val="center"/>
          </w:tcPr>
          <w:p>
            <w:pPr>
              <w:pStyle w:val="TableContents"/>
              <w:spacing w:before="0" w:after="283"/>
              <w:jc w:val="right"/>
              <w:rPr/>
            </w:pPr>
            <w:r>
              <w:rPr/>
              <w:t>10.8</w:t>
            </w:r>
          </w:p>
        </w:tc>
        <w:tc>
          <w:tcPr>
            <w:tcW w:w="334"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81,064</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560" w:type="dxa"/>
            <w:tcBorders/>
            <w:shd w:fill="CCEEFF" w:val="clear"/>
            <w:vAlign w:val="center"/>
          </w:tcPr>
          <w:p>
            <w:pPr>
              <w:pStyle w:val="TableContents"/>
              <w:spacing w:before="0" w:after="283"/>
              <w:jc w:val="right"/>
              <w:rPr/>
            </w:pPr>
            <w:r>
              <w:rPr/>
              <w:t>11.1</w:t>
            </w:r>
          </w:p>
        </w:tc>
        <w:tc>
          <w:tcPr>
            <w:tcW w:w="351" w:type="dxa"/>
            <w:tcBorders/>
            <w:shd w:fill="CCEEFF" w:val="clear"/>
            <w:vAlign w:val="center"/>
          </w:tcPr>
          <w:p>
            <w:pPr>
              <w:pStyle w:val="TableContents"/>
              <w:spacing w:before="0" w:after="283"/>
              <w:rPr/>
            </w:pPr>
            <w:r>
              <w:rPr/>
              <w:t> </w:t>
            </w:r>
          </w:p>
        </w:tc>
      </w:tr>
      <w:tr>
        <w:trPr/>
        <w:tc>
          <w:tcPr>
            <w:tcW w:w="550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single" w:sz="2" w:space="1" w:color="000000"/>
              </w:rPr>
            </w:pPr>
            <w:r>
              <w:rPr>
                <w:bdr w:val="single" w:sz="2" w:space="1" w:color="000000"/>
              </w:rPr>
              <w:t> </w:t>
            </w:r>
          </w:p>
        </w:tc>
        <w:tc>
          <w:tcPr>
            <w:tcW w:w="980" w:type="dxa"/>
            <w:tcBorders/>
            <w:shd w:fill="auto" w:val="clear"/>
            <w:vAlign w:val="center"/>
          </w:tcPr>
          <w:p>
            <w:pPr>
              <w:pStyle w:val="TableContents"/>
              <w:spacing w:before="0" w:after="0"/>
              <w:rPr>
                <w:bdr w:val="single" w:sz="2" w:space="1" w:color="000000"/>
              </w:rPr>
            </w:pPr>
            <w:r>
              <w:rPr>
                <w:bdr w:val="single" w:sz="2"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560" w:type="dxa"/>
            <w:tcBorders/>
            <w:shd w:fill="auto" w:val="clear"/>
            <w:vAlign w:val="center"/>
          </w:tcPr>
          <w:p>
            <w:pPr>
              <w:pStyle w:val="TableContents"/>
              <w:spacing w:before="0" w:after="0"/>
              <w:rPr>
                <w:bdr w:val="single" w:sz="2" w:space="1" w:color="000000"/>
              </w:rPr>
            </w:pPr>
            <w:r>
              <w:rPr>
                <w:bdr w:val="single" w:sz="2" w:space="1" w:color="000000"/>
              </w:rPr>
              <w:t> </w:t>
            </w:r>
          </w:p>
        </w:tc>
        <w:tc>
          <w:tcPr>
            <w:tcW w:w="334"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single" w:sz="2" w:space="1" w:color="000000"/>
              </w:rPr>
            </w:pPr>
            <w:r>
              <w:rPr>
                <w:bdr w:val="single" w:sz="2" w:space="1" w:color="000000"/>
              </w:rPr>
              <w:t> </w:t>
            </w:r>
          </w:p>
        </w:tc>
        <w:tc>
          <w:tcPr>
            <w:tcW w:w="980" w:type="dxa"/>
            <w:tcBorders/>
            <w:shd w:fill="auto" w:val="clear"/>
            <w:vAlign w:val="center"/>
          </w:tcPr>
          <w:p>
            <w:pPr>
              <w:pStyle w:val="TableContents"/>
              <w:spacing w:before="0" w:after="0"/>
              <w:rPr>
                <w:bdr w:val="single" w:sz="2" w:space="1" w:color="000000"/>
              </w:rPr>
            </w:pPr>
            <w:r>
              <w:rPr>
                <w:bdr w:val="single" w:sz="2"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560" w:type="dxa"/>
            <w:tcBorders/>
            <w:shd w:fill="auto" w:val="clear"/>
            <w:vAlign w:val="center"/>
          </w:tcPr>
          <w:p>
            <w:pPr>
              <w:pStyle w:val="TableContents"/>
              <w:spacing w:before="0" w:after="0"/>
              <w:rPr>
                <w:bdr w:val="single" w:sz="2" w:space="1" w:color="000000"/>
              </w:rPr>
            </w:pPr>
            <w:r>
              <w:rPr>
                <w:bdr w:val="single" w:sz="2" w:space="1" w:color="000000"/>
              </w:rPr>
              <w:t> </w:t>
            </w:r>
          </w:p>
        </w:tc>
        <w:tc>
          <w:tcPr>
            <w:tcW w:w="351" w:type="dxa"/>
            <w:tcBorders/>
            <w:shd w:fill="auto" w:val="clear"/>
            <w:vAlign w:val="center"/>
          </w:tcPr>
          <w:p>
            <w:pPr>
              <w:pStyle w:val="TableContents"/>
              <w:spacing w:before="0" w:after="283"/>
              <w:rPr/>
            </w:pPr>
            <w:r>
              <w:rPr/>
              <w:t> </w:t>
            </w:r>
          </w:p>
        </w:tc>
      </w:tr>
      <w:tr>
        <w:trPr/>
        <w:tc>
          <w:tcPr>
            <w:tcW w:w="550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Total cost of products</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233,311</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60" w:type="dxa"/>
            <w:tcBorders/>
            <w:shd w:fill="auto" w:val="clear"/>
            <w:vAlign w:val="center"/>
          </w:tcPr>
          <w:p>
            <w:pPr>
              <w:pStyle w:val="TableContents"/>
              <w:spacing w:before="0" w:after="283"/>
              <w:jc w:val="right"/>
              <w:rPr/>
            </w:pPr>
            <w:r>
              <w:rPr/>
              <w:t>17.2</w:t>
            </w:r>
          </w:p>
        </w:tc>
        <w:tc>
          <w:tcPr>
            <w:tcW w:w="334"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220,263</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60" w:type="dxa"/>
            <w:tcBorders/>
            <w:shd w:fill="auto" w:val="clear"/>
            <w:vAlign w:val="center"/>
          </w:tcPr>
          <w:p>
            <w:pPr>
              <w:pStyle w:val="TableContents"/>
              <w:spacing w:before="0" w:after="283"/>
              <w:jc w:val="right"/>
              <w:rPr/>
            </w:pPr>
            <w:r>
              <w:rPr/>
              <w:t>17.4</w:t>
            </w:r>
          </w:p>
        </w:tc>
        <w:tc>
          <w:tcPr>
            <w:tcW w:w="351" w:type="dxa"/>
            <w:tcBorders/>
            <w:shd w:fill="auto" w:val="clear"/>
            <w:vAlign w:val="center"/>
          </w:tcPr>
          <w:p>
            <w:pPr>
              <w:pStyle w:val="TableContents"/>
              <w:spacing w:before="0" w:after="283"/>
              <w:rPr/>
            </w:pPr>
            <w:r>
              <w:rPr/>
              <w:t> </w:t>
            </w:r>
          </w:p>
        </w:tc>
      </w:tr>
      <w:tr>
        <w:trPr/>
        <w:tc>
          <w:tcPr>
            <w:tcW w:w="550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Operating payroll and benefits</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322,970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560" w:type="dxa"/>
            <w:tcBorders/>
            <w:shd w:fill="CCEEFF" w:val="clear"/>
            <w:vAlign w:val="center"/>
          </w:tcPr>
          <w:p>
            <w:pPr>
              <w:pStyle w:val="TableContents"/>
              <w:spacing w:before="0" w:after="283"/>
              <w:jc w:val="right"/>
              <w:rPr/>
            </w:pPr>
            <w:r>
              <w:rPr/>
              <w:t>23.8</w:t>
            </w:r>
          </w:p>
        </w:tc>
        <w:tc>
          <w:tcPr>
            <w:tcW w:w="334"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296,924</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560" w:type="dxa"/>
            <w:tcBorders/>
            <w:shd w:fill="CCEEFF" w:val="clear"/>
            <w:vAlign w:val="center"/>
          </w:tcPr>
          <w:p>
            <w:pPr>
              <w:pStyle w:val="TableContents"/>
              <w:spacing w:before="0" w:after="283"/>
              <w:jc w:val="right"/>
              <w:rPr/>
            </w:pPr>
            <w:r>
              <w:rPr/>
              <w:t>23.5</w:t>
            </w:r>
          </w:p>
        </w:tc>
        <w:tc>
          <w:tcPr>
            <w:tcW w:w="351" w:type="dxa"/>
            <w:tcBorders/>
            <w:shd w:fill="CCEEFF" w:val="clear"/>
            <w:vAlign w:val="center"/>
          </w:tcPr>
          <w:p>
            <w:pPr>
              <w:pStyle w:val="TableContents"/>
              <w:spacing w:before="0" w:after="283"/>
              <w:rPr/>
            </w:pPr>
            <w:r>
              <w:rPr/>
              <w:t> </w:t>
            </w:r>
          </w:p>
        </w:tc>
      </w:tr>
      <w:tr>
        <w:trPr/>
        <w:tc>
          <w:tcPr>
            <w:tcW w:w="550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Other store operating expenses</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429,431</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60" w:type="dxa"/>
            <w:tcBorders/>
            <w:shd w:fill="auto" w:val="clear"/>
            <w:vAlign w:val="center"/>
          </w:tcPr>
          <w:p>
            <w:pPr>
              <w:pStyle w:val="TableContents"/>
              <w:spacing w:before="0" w:after="283"/>
              <w:jc w:val="right"/>
              <w:rPr/>
            </w:pPr>
            <w:r>
              <w:rPr/>
              <w:t>31.8</w:t>
            </w:r>
          </w:p>
        </w:tc>
        <w:tc>
          <w:tcPr>
            <w:tcW w:w="334"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384,155</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60" w:type="dxa"/>
            <w:tcBorders/>
            <w:shd w:fill="auto" w:val="clear"/>
            <w:vAlign w:val="center"/>
          </w:tcPr>
          <w:p>
            <w:pPr>
              <w:pStyle w:val="TableContents"/>
              <w:spacing w:before="0" w:after="283"/>
              <w:jc w:val="right"/>
              <w:rPr/>
            </w:pPr>
            <w:r>
              <w:rPr/>
              <w:t>30.4</w:t>
            </w:r>
          </w:p>
        </w:tc>
        <w:tc>
          <w:tcPr>
            <w:tcW w:w="351" w:type="dxa"/>
            <w:tcBorders/>
            <w:shd w:fill="auto" w:val="clear"/>
            <w:vAlign w:val="center"/>
          </w:tcPr>
          <w:p>
            <w:pPr>
              <w:pStyle w:val="TableContents"/>
              <w:spacing w:before="0" w:after="283"/>
              <w:rPr/>
            </w:pPr>
            <w:r>
              <w:rPr/>
              <w:t> </w:t>
            </w:r>
          </w:p>
        </w:tc>
      </w:tr>
      <w:tr>
        <w:trPr/>
        <w:tc>
          <w:tcPr>
            <w:tcW w:w="550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General and administrative expenses</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69,469</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560" w:type="dxa"/>
            <w:tcBorders/>
            <w:shd w:fill="CCEEFF" w:val="clear"/>
            <w:vAlign w:val="center"/>
          </w:tcPr>
          <w:p>
            <w:pPr>
              <w:pStyle w:val="TableContents"/>
              <w:spacing w:before="0" w:after="283"/>
              <w:jc w:val="right"/>
              <w:rPr/>
            </w:pPr>
            <w:r>
              <w:rPr/>
              <w:t>5.1</w:t>
            </w:r>
          </w:p>
        </w:tc>
        <w:tc>
          <w:tcPr>
            <w:tcW w:w="334"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61,521</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560" w:type="dxa"/>
            <w:tcBorders/>
            <w:shd w:fill="CCEEFF" w:val="clear"/>
            <w:vAlign w:val="center"/>
          </w:tcPr>
          <w:p>
            <w:pPr>
              <w:pStyle w:val="TableContents"/>
              <w:spacing w:before="0" w:after="283"/>
              <w:jc w:val="right"/>
              <w:rPr/>
            </w:pPr>
            <w:r>
              <w:rPr/>
              <w:t>4.9</w:t>
            </w:r>
          </w:p>
        </w:tc>
        <w:tc>
          <w:tcPr>
            <w:tcW w:w="351" w:type="dxa"/>
            <w:tcBorders/>
            <w:shd w:fill="CCEEFF" w:val="clear"/>
            <w:vAlign w:val="center"/>
          </w:tcPr>
          <w:p>
            <w:pPr>
              <w:pStyle w:val="TableContents"/>
              <w:spacing w:before="0" w:after="283"/>
              <w:rPr/>
            </w:pPr>
            <w:r>
              <w:rPr/>
              <w:t> </w:t>
            </w:r>
          </w:p>
        </w:tc>
      </w:tr>
      <w:tr>
        <w:trPr/>
        <w:tc>
          <w:tcPr>
            <w:tcW w:w="550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Depreciation and amortization expense</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132,460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60" w:type="dxa"/>
            <w:tcBorders/>
            <w:shd w:fill="auto" w:val="clear"/>
            <w:vAlign w:val="center"/>
          </w:tcPr>
          <w:p>
            <w:pPr>
              <w:pStyle w:val="TableContents"/>
              <w:spacing w:before="0" w:after="283"/>
              <w:jc w:val="right"/>
              <w:rPr/>
            </w:pPr>
            <w:r>
              <w:rPr/>
              <w:t>9.8</w:t>
            </w:r>
          </w:p>
        </w:tc>
        <w:tc>
          <w:tcPr>
            <w:tcW w:w="334"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118,275</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60" w:type="dxa"/>
            <w:tcBorders/>
            <w:shd w:fill="auto" w:val="clear"/>
            <w:vAlign w:val="center"/>
          </w:tcPr>
          <w:p>
            <w:pPr>
              <w:pStyle w:val="TableContents"/>
              <w:spacing w:before="0" w:after="283"/>
              <w:jc w:val="right"/>
              <w:rPr/>
            </w:pPr>
            <w:r>
              <w:rPr/>
              <w:t>9.3</w:t>
            </w:r>
          </w:p>
        </w:tc>
        <w:tc>
          <w:tcPr>
            <w:tcW w:w="351" w:type="dxa"/>
            <w:tcBorders/>
            <w:shd w:fill="auto" w:val="clear"/>
            <w:vAlign w:val="center"/>
          </w:tcPr>
          <w:p>
            <w:pPr>
              <w:pStyle w:val="TableContents"/>
              <w:spacing w:before="0" w:after="283"/>
              <w:rPr/>
            </w:pPr>
            <w:r>
              <w:rPr/>
              <w:t> </w:t>
            </w:r>
          </w:p>
        </w:tc>
      </w:tr>
      <w:tr>
        <w:trPr/>
        <w:tc>
          <w:tcPr>
            <w:tcW w:w="550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Pre-opening</w:t>
            </w:r>
          </w:p>
          <w:p>
            <w:pPr>
              <w:pStyle w:val="TableContents"/>
              <w:spacing w:before="0" w:after="0"/>
              <w:rPr>
                <w:rFonts w:ascii="Times New Roman" w:hAnsi="Times New Roman"/>
                <w:sz w:val="20"/>
              </w:rPr>
            </w:pPr>
            <w:r>
              <w:rPr>
                <w:rFonts w:ascii="Times New Roman" w:hAnsi="Times New Roman"/>
                <w:sz w:val="20"/>
              </w:rPr>
              <w:t>costs</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18,971</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560" w:type="dxa"/>
            <w:tcBorders/>
            <w:shd w:fill="CCEEFF" w:val="clear"/>
            <w:vAlign w:val="center"/>
          </w:tcPr>
          <w:p>
            <w:pPr>
              <w:pStyle w:val="TableContents"/>
              <w:spacing w:before="0" w:after="283"/>
              <w:jc w:val="right"/>
              <w:rPr/>
            </w:pPr>
            <w:r>
              <w:rPr/>
              <w:t>1.4</w:t>
            </w:r>
          </w:p>
        </w:tc>
        <w:tc>
          <w:tcPr>
            <w:tcW w:w="334"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23,163</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560" w:type="dxa"/>
            <w:tcBorders/>
            <w:shd w:fill="CCEEFF" w:val="clear"/>
            <w:vAlign w:val="center"/>
          </w:tcPr>
          <w:p>
            <w:pPr>
              <w:pStyle w:val="TableContents"/>
              <w:spacing w:before="0" w:after="283"/>
              <w:jc w:val="right"/>
              <w:rPr/>
            </w:pPr>
            <w:r>
              <w:rPr/>
              <w:t>1.8</w:t>
            </w:r>
          </w:p>
        </w:tc>
        <w:tc>
          <w:tcPr>
            <w:tcW w:w="351" w:type="dxa"/>
            <w:tcBorders/>
            <w:shd w:fill="CCEEFF" w:val="clear"/>
            <w:vAlign w:val="center"/>
          </w:tcPr>
          <w:p>
            <w:pPr>
              <w:pStyle w:val="TableContents"/>
              <w:spacing w:before="0" w:after="283"/>
              <w:rPr/>
            </w:pPr>
            <w:r>
              <w:rPr/>
              <w:t> </w:t>
            </w:r>
          </w:p>
        </w:tc>
      </w:tr>
      <w:tr>
        <w:trPr/>
        <w:tc>
          <w:tcPr>
            <w:tcW w:w="550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single" w:sz="2" w:space="1" w:color="000000"/>
              </w:rPr>
            </w:pPr>
            <w:r>
              <w:rPr>
                <w:bdr w:val="single" w:sz="2" w:space="1" w:color="000000"/>
              </w:rPr>
              <w:t> </w:t>
            </w:r>
          </w:p>
        </w:tc>
        <w:tc>
          <w:tcPr>
            <w:tcW w:w="980" w:type="dxa"/>
            <w:tcBorders/>
            <w:shd w:fill="auto" w:val="clear"/>
            <w:vAlign w:val="center"/>
          </w:tcPr>
          <w:p>
            <w:pPr>
              <w:pStyle w:val="TableContents"/>
              <w:spacing w:before="0" w:after="0"/>
              <w:rPr>
                <w:bdr w:val="single" w:sz="2" w:space="1" w:color="000000"/>
              </w:rPr>
            </w:pPr>
            <w:r>
              <w:rPr>
                <w:bdr w:val="single" w:sz="2"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560" w:type="dxa"/>
            <w:tcBorders/>
            <w:shd w:fill="auto" w:val="clear"/>
            <w:vAlign w:val="center"/>
          </w:tcPr>
          <w:p>
            <w:pPr>
              <w:pStyle w:val="TableContents"/>
              <w:spacing w:before="0" w:after="0"/>
              <w:rPr>
                <w:bdr w:val="single" w:sz="2" w:space="1" w:color="000000"/>
              </w:rPr>
            </w:pPr>
            <w:r>
              <w:rPr>
                <w:bdr w:val="single" w:sz="2" w:space="1" w:color="000000"/>
              </w:rPr>
              <w:t> </w:t>
            </w:r>
          </w:p>
        </w:tc>
        <w:tc>
          <w:tcPr>
            <w:tcW w:w="334"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single" w:sz="2" w:space="1" w:color="000000"/>
              </w:rPr>
            </w:pPr>
            <w:r>
              <w:rPr>
                <w:bdr w:val="single" w:sz="2" w:space="1" w:color="000000"/>
              </w:rPr>
              <w:t> </w:t>
            </w:r>
          </w:p>
        </w:tc>
        <w:tc>
          <w:tcPr>
            <w:tcW w:w="980" w:type="dxa"/>
            <w:tcBorders/>
            <w:shd w:fill="auto" w:val="clear"/>
            <w:vAlign w:val="center"/>
          </w:tcPr>
          <w:p>
            <w:pPr>
              <w:pStyle w:val="TableContents"/>
              <w:spacing w:before="0" w:after="0"/>
              <w:rPr>
                <w:bdr w:val="single" w:sz="2" w:space="1" w:color="000000"/>
              </w:rPr>
            </w:pPr>
            <w:r>
              <w:rPr>
                <w:bdr w:val="single" w:sz="2"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560" w:type="dxa"/>
            <w:tcBorders/>
            <w:shd w:fill="auto" w:val="clear"/>
            <w:vAlign w:val="center"/>
          </w:tcPr>
          <w:p>
            <w:pPr>
              <w:pStyle w:val="TableContents"/>
              <w:spacing w:before="0" w:after="0"/>
              <w:rPr>
                <w:bdr w:val="single" w:sz="2" w:space="1" w:color="000000"/>
              </w:rPr>
            </w:pPr>
            <w:r>
              <w:rPr>
                <w:bdr w:val="single" w:sz="2" w:space="1" w:color="000000"/>
              </w:rPr>
              <w:t> </w:t>
            </w:r>
          </w:p>
        </w:tc>
        <w:tc>
          <w:tcPr>
            <w:tcW w:w="351" w:type="dxa"/>
            <w:tcBorders/>
            <w:shd w:fill="auto" w:val="clear"/>
            <w:vAlign w:val="center"/>
          </w:tcPr>
          <w:p>
            <w:pPr>
              <w:pStyle w:val="TableContents"/>
              <w:spacing w:before="0" w:after="283"/>
              <w:rPr/>
            </w:pPr>
            <w:r>
              <w:rPr/>
              <w:t> </w:t>
            </w:r>
          </w:p>
        </w:tc>
      </w:tr>
      <w:tr>
        <w:trPr/>
        <w:tc>
          <w:tcPr>
            <w:tcW w:w="550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Total operating costs</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1,206,612</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60" w:type="dxa"/>
            <w:tcBorders/>
            <w:shd w:fill="auto" w:val="clear"/>
            <w:vAlign w:val="center"/>
          </w:tcPr>
          <w:p>
            <w:pPr>
              <w:pStyle w:val="TableContents"/>
              <w:spacing w:before="0" w:after="283"/>
              <w:jc w:val="right"/>
              <w:rPr/>
            </w:pPr>
            <w:r>
              <w:rPr/>
              <w:t>89.1</w:t>
            </w:r>
          </w:p>
        </w:tc>
        <w:tc>
          <w:tcPr>
            <w:tcW w:w="334"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1,104,301</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60" w:type="dxa"/>
            <w:tcBorders/>
            <w:shd w:fill="auto" w:val="clear"/>
            <w:vAlign w:val="center"/>
          </w:tcPr>
          <w:p>
            <w:pPr>
              <w:pStyle w:val="TableContents"/>
              <w:spacing w:before="0" w:after="283"/>
              <w:jc w:val="right"/>
              <w:rPr/>
            </w:pPr>
            <w:r>
              <w:rPr/>
              <w:t>87.3</w:t>
            </w:r>
          </w:p>
        </w:tc>
        <w:tc>
          <w:tcPr>
            <w:tcW w:w="351" w:type="dxa"/>
            <w:tcBorders/>
            <w:shd w:fill="auto" w:val="clear"/>
            <w:vAlign w:val="center"/>
          </w:tcPr>
          <w:p>
            <w:pPr>
              <w:pStyle w:val="TableContents"/>
              <w:spacing w:before="0" w:after="283"/>
              <w:rPr/>
            </w:pPr>
            <w:r>
              <w:rPr/>
              <w:t> </w:t>
            </w:r>
          </w:p>
        </w:tc>
      </w:tr>
      <w:tr>
        <w:trPr/>
        <w:tc>
          <w:tcPr>
            <w:tcW w:w="550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single" w:sz="2" w:space="1" w:color="000000"/>
              </w:rPr>
            </w:pPr>
            <w:r>
              <w:rPr>
                <w:bdr w:val="single" w:sz="2" w:space="1" w:color="000000"/>
              </w:rPr>
              <w:t> </w:t>
            </w:r>
          </w:p>
        </w:tc>
        <w:tc>
          <w:tcPr>
            <w:tcW w:w="980" w:type="dxa"/>
            <w:tcBorders/>
            <w:shd w:fill="auto" w:val="clear"/>
            <w:vAlign w:val="center"/>
          </w:tcPr>
          <w:p>
            <w:pPr>
              <w:pStyle w:val="TableContents"/>
              <w:spacing w:before="0" w:after="0"/>
              <w:rPr>
                <w:bdr w:val="single" w:sz="2" w:space="1" w:color="000000"/>
              </w:rPr>
            </w:pPr>
            <w:r>
              <w:rPr>
                <w:bdr w:val="single" w:sz="2"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560" w:type="dxa"/>
            <w:tcBorders/>
            <w:shd w:fill="auto" w:val="clear"/>
            <w:vAlign w:val="center"/>
          </w:tcPr>
          <w:p>
            <w:pPr>
              <w:pStyle w:val="TableContents"/>
              <w:spacing w:before="0" w:after="0"/>
              <w:rPr>
                <w:bdr w:val="single" w:sz="2" w:space="1" w:color="000000"/>
              </w:rPr>
            </w:pPr>
            <w:r>
              <w:rPr>
                <w:bdr w:val="single" w:sz="2" w:space="1" w:color="000000"/>
              </w:rPr>
              <w:t> </w:t>
            </w:r>
          </w:p>
        </w:tc>
        <w:tc>
          <w:tcPr>
            <w:tcW w:w="334"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single" w:sz="2" w:space="1" w:color="000000"/>
              </w:rPr>
            </w:pPr>
            <w:r>
              <w:rPr>
                <w:bdr w:val="single" w:sz="2" w:space="1" w:color="000000"/>
              </w:rPr>
              <w:t> </w:t>
            </w:r>
          </w:p>
        </w:tc>
        <w:tc>
          <w:tcPr>
            <w:tcW w:w="980" w:type="dxa"/>
            <w:tcBorders/>
            <w:shd w:fill="auto" w:val="clear"/>
            <w:vAlign w:val="center"/>
          </w:tcPr>
          <w:p>
            <w:pPr>
              <w:pStyle w:val="TableContents"/>
              <w:spacing w:before="0" w:after="0"/>
              <w:rPr>
                <w:bdr w:val="single" w:sz="2" w:space="1" w:color="000000"/>
              </w:rPr>
            </w:pPr>
            <w:r>
              <w:rPr>
                <w:bdr w:val="single" w:sz="2"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560" w:type="dxa"/>
            <w:tcBorders/>
            <w:shd w:fill="auto" w:val="clear"/>
            <w:vAlign w:val="center"/>
          </w:tcPr>
          <w:p>
            <w:pPr>
              <w:pStyle w:val="TableContents"/>
              <w:spacing w:before="0" w:after="0"/>
              <w:rPr>
                <w:bdr w:val="single" w:sz="2" w:space="1" w:color="000000"/>
              </w:rPr>
            </w:pPr>
            <w:r>
              <w:rPr>
                <w:bdr w:val="single" w:sz="2" w:space="1" w:color="000000"/>
              </w:rPr>
              <w:t> </w:t>
            </w:r>
          </w:p>
        </w:tc>
        <w:tc>
          <w:tcPr>
            <w:tcW w:w="351" w:type="dxa"/>
            <w:tcBorders/>
            <w:shd w:fill="auto" w:val="clear"/>
            <w:vAlign w:val="center"/>
          </w:tcPr>
          <w:p>
            <w:pPr>
              <w:pStyle w:val="TableContents"/>
              <w:spacing w:before="0" w:after="283"/>
              <w:rPr/>
            </w:pPr>
            <w:r>
              <w:rPr/>
              <w:t> </w:t>
            </w:r>
          </w:p>
        </w:tc>
      </w:tr>
      <w:tr>
        <w:trPr/>
        <w:tc>
          <w:tcPr>
            <w:tcW w:w="550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Operating income</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148,079</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560" w:type="dxa"/>
            <w:tcBorders/>
            <w:shd w:fill="CCEEFF" w:val="clear"/>
            <w:vAlign w:val="center"/>
          </w:tcPr>
          <w:p>
            <w:pPr>
              <w:pStyle w:val="TableContents"/>
              <w:spacing w:before="0" w:after="283"/>
              <w:jc w:val="right"/>
              <w:rPr/>
            </w:pPr>
            <w:r>
              <w:rPr/>
              <w:t>10.9</w:t>
            </w:r>
          </w:p>
        </w:tc>
        <w:tc>
          <w:tcPr>
            <w:tcW w:w="334"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161,000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560" w:type="dxa"/>
            <w:tcBorders/>
            <w:shd w:fill="CCEEFF" w:val="clear"/>
            <w:vAlign w:val="center"/>
          </w:tcPr>
          <w:p>
            <w:pPr>
              <w:pStyle w:val="TableContents"/>
              <w:spacing w:before="0" w:after="283"/>
              <w:jc w:val="right"/>
              <w:rPr/>
            </w:pPr>
            <w:r>
              <w:rPr/>
              <w:t>12.7</w:t>
            </w:r>
          </w:p>
        </w:tc>
        <w:tc>
          <w:tcPr>
            <w:tcW w:w="351" w:type="dxa"/>
            <w:tcBorders/>
            <w:shd w:fill="CCEEFF" w:val="clear"/>
            <w:vAlign w:val="center"/>
          </w:tcPr>
          <w:p>
            <w:pPr>
              <w:pStyle w:val="TableContents"/>
              <w:spacing w:before="0" w:after="283"/>
              <w:rPr/>
            </w:pPr>
            <w:r>
              <w:rPr/>
              <w:t> </w:t>
            </w:r>
          </w:p>
        </w:tc>
      </w:tr>
      <w:tr>
        <w:trPr/>
        <w:tc>
          <w:tcPr>
            <w:tcW w:w="550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Interest expense, net</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20,937</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60" w:type="dxa"/>
            <w:tcBorders/>
            <w:shd w:fill="auto" w:val="clear"/>
            <w:vAlign w:val="center"/>
          </w:tcPr>
          <w:p>
            <w:pPr>
              <w:pStyle w:val="TableContents"/>
              <w:spacing w:before="0" w:after="283"/>
              <w:jc w:val="right"/>
              <w:rPr/>
            </w:pPr>
            <w:r>
              <w:rPr/>
              <w:t>1.5</w:t>
            </w:r>
          </w:p>
        </w:tc>
        <w:tc>
          <w:tcPr>
            <w:tcW w:w="334"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13,113</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60" w:type="dxa"/>
            <w:tcBorders/>
            <w:shd w:fill="auto" w:val="clear"/>
            <w:vAlign w:val="center"/>
          </w:tcPr>
          <w:p>
            <w:pPr>
              <w:pStyle w:val="TableContents"/>
              <w:spacing w:before="0" w:after="283"/>
              <w:jc w:val="right"/>
              <w:rPr/>
            </w:pPr>
            <w:r>
              <w:rPr/>
              <w:t>1.0</w:t>
            </w:r>
          </w:p>
        </w:tc>
        <w:tc>
          <w:tcPr>
            <w:tcW w:w="351" w:type="dxa"/>
            <w:tcBorders/>
            <w:shd w:fill="auto" w:val="clear"/>
            <w:vAlign w:val="center"/>
          </w:tcPr>
          <w:p>
            <w:pPr>
              <w:pStyle w:val="TableContents"/>
              <w:spacing w:before="0" w:after="283"/>
              <w:rPr/>
            </w:pPr>
            <w:r>
              <w:rPr/>
              <w:t> </w:t>
            </w:r>
          </w:p>
        </w:tc>
      </w:tr>
      <w:tr>
        <w:trPr/>
        <w:tc>
          <w:tcPr>
            <w:tcW w:w="550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single" w:sz="2" w:space="1" w:color="000000"/>
              </w:rPr>
            </w:pPr>
            <w:r>
              <w:rPr>
                <w:bdr w:val="single" w:sz="2" w:space="1" w:color="000000"/>
              </w:rPr>
              <w:t> </w:t>
            </w:r>
          </w:p>
        </w:tc>
        <w:tc>
          <w:tcPr>
            <w:tcW w:w="980" w:type="dxa"/>
            <w:tcBorders/>
            <w:shd w:fill="auto" w:val="clear"/>
            <w:vAlign w:val="center"/>
          </w:tcPr>
          <w:p>
            <w:pPr>
              <w:pStyle w:val="TableContents"/>
              <w:spacing w:before="0" w:after="0"/>
              <w:rPr>
                <w:bdr w:val="single" w:sz="2" w:space="1" w:color="000000"/>
              </w:rPr>
            </w:pPr>
            <w:r>
              <w:rPr>
                <w:bdr w:val="single" w:sz="2"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560" w:type="dxa"/>
            <w:tcBorders/>
            <w:shd w:fill="auto" w:val="clear"/>
            <w:vAlign w:val="center"/>
          </w:tcPr>
          <w:p>
            <w:pPr>
              <w:pStyle w:val="TableContents"/>
              <w:spacing w:before="0" w:after="0"/>
              <w:rPr>
                <w:bdr w:val="single" w:sz="2" w:space="1" w:color="000000"/>
              </w:rPr>
            </w:pPr>
            <w:r>
              <w:rPr>
                <w:bdr w:val="single" w:sz="2" w:space="1" w:color="000000"/>
              </w:rPr>
              <w:t> </w:t>
            </w:r>
          </w:p>
        </w:tc>
        <w:tc>
          <w:tcPr>
            <w:tcW w:w="334"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single" w:sz="2" w:space="1" w:color="000000"/>
              </w:rPr>
            </w:pPr>
            <w:r>
              <w:rPr>
                <w:bdr w:val="single" w:sz="2" w:space="1" w:color="000000"/>
              </w:rPr>
              <w:t> </w:t>
            </w:r>
          </w:p>
        </w:tc>
        <w:tc>
          <w:tcPr>
            <w:tcW w:w="980" w:type="dxa"/>
            <w:tcBorders/>
            <w:shd w:fill="auto" w:val="clear"/>
            <w:vAlign w:val="center"/>
          </w:tcPr>
          <w:p>
            <w:pPr>
              <w:pStyle w:val="TableContents"/>
              <w:spacing w:before="0" w:after="0"/>
              <w:rPr>
                <w:bdr w:val="single" w:sz="2" w:space="1" w:color="000000"/>
              </w:rPr>
            </w:pPr>
            <w:r>
              <w:rPr>
                <w:bdr w:val="single" w:sz="2"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560" w:type="dxa"/>
            <w:tcBorders/>
            <w:shd w:fill="auto" w:val="clear"/>
            <w:vAlign w:val="center"/>
          </w:tcPr>
          <w:p>
            <w:pPr>
              <w:pStyle w:val="TableContents"/>
              <w:spacing w:before="0" w:after="0"/>
              <w:rPr>
                <w:bdr w:val="single" w:sz="2" w:space="1" w:color="000000"/>
              </w:rPr>
            </w:pPr>
            <w:r>
              <w:rPr>
                <w:bdr w:val="single" w:sz="2" w:space="1" w:color="000000"/>
              </w:rPr>
              <w:t> </w:t>
            </w:r>
          </w:p>
        </w:tc>
        <w:tc>
          <w:tcPr>
            <w:tcW w:w="351" w:type="dxa"/>
            <w:tcBorders/>
            <w:shd w:fill="auto" w:val="clear"/>
            <w:vAlign w:val="center"/>
          </w:tcPr>
          <w:p>
            <w:pPr>
              <w:pStyle w:val="TableContents"/>
              <w:spacing w:before="0" w:after="283"/>
              <w:rPr/>
            </w:pPr>
            <w:r>
              <w:rPr/>
              <w:t> </w:t>
            </w:r>
          </w:p>
        </w:tc>
      </w:tr>
      <w:tr>
        <w:trPr/>
        <w:tc>
          <w:tcPr>
            <w:tcW w:w="550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Income before provision for income taxes</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127,142</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560" w:type="dxa"/>
            <w:tcBorders/>
            <w:shd w:fill="CCEEFF" w:val="clear"/>
            <w:vAlign w:val="center"/>
          </w:tcPr>
          <w:p>
            <w:pPr>
              <w:pStyle w:val="TableContents"/>
              <w:spacing w:before="0" w:after="283"/>
              <w:jc w:val="right"/>
              <w:rPr/>
            </w:pPr>
            <w:r>
              <w:rPr/>
              <w:t>9.4</w:t>
            </w:r>
          </w:p>
        </w:tc>
        <w:tc>
          <w:tcPr>
            <w:tcW w:w="334"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147,887</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560" w:type="dxa"/>
            <w:tcBorders/>
            <w:shd w:fill="CCEEFF" w:val="clear"/>
            <w:vAlign w:val="center"/>
          </w:tcPr>
          <w:p>
            <w:pPr>
              <w:pStyle w:val="TableContents"/>
              <w:spacing w:before="0" w:after="283"/>
              <w:jc w:val="right"/>
              <w:rPr/>
            </w:pPr>
            <w:r>
              <w:rPr/>
              <w:t>11.7</w:t>
            </w:r>
          </w:p>
        </w:tc>
        <w:tc>
          <w:tcPr>
            <w:tcW w:w="351" w:type="dxa"/>
            <w:tcBorders/>
            <w:shd w:fill="CCEEFF" w:val="clear"/>
            <w:vAlign w:val="center"/>
          </w:tcPr>
          <w:p>
            <w:pPr>
              <w:pStyle w:val="TableContents"/>
              <w:spacing w:before="0" w:after="283"/>
              <w:rPr/>
            </w:pPr>
            <w:r>
              <w:rPr/>
              <w:t> </w:t>
            </w:r>
          </w:p>
        </w:tc>
      </w:tr>
      <w:tr>
        <w:trPr/>
        <w:tc>
          <w:tcPr>
            <w:tcW w:w="550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Provision for income taxes</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26,879</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60" w:type="dxa"/>
            <w:tcBorders/>
            <w:shd w:fill="auto" w:val="clear"/>
            <w:vAlign w:val="center"/>
          </w:tcPr>
          <w:p>
            <w:pPr>
              <w:pStyle w:val="TableContents"/>
              <w:spacing w:before="0" w:after="283"/>
              <w:jc w:val="right"/>
              <w:rPr/>
            </w:pPr>
            <w:r>
              <w:rPr/>
              <w:t>2.0</w:t>
            </w:r>
          </w:p>
        </w:tc>
        <w:tc>
          <w:tcPr>
            <w:tcW w:w="334"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30,666</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60" w:type="dxa"/>
            <w:tcBorders/>
            <w:shd w:fill="auto" w:val="clear"/>
            <w:vAlign w:val="center"/>
          </w:tcPr>
          <w:p>
            <w:pPr>
              <w:pStyle w:val="TableContents"/>
              <w:spacing w:before="0" w:after="283"/>
              <w:jc w:val="right"/>
              <w:rPr/>
            </w:pPr>
            <w:r>
              <w:rPr/>
              <w:t>2.4</w:t>
            </w:r>
          </w:p>
        </w:tc>
        <w:tc>
          <w:tcPr>
            <w:tcW w:w="351" w:type="dxa"/>
            <w:tcBorders/>
            <w:shd w:fill="auto" w:val="clear"/>
            <w:vAlign w:val="center"/>
          </w:tcPr>
          <w:p>
            <w:pPr>
              <w:pStyle w:val="TableContents"/>
              <w:spacing w:before="0" w:after="283"/>
              <w:rPr/>
            </w:pPr>
            <w:r>
              <w:rPr/>
              <w:t> </w:t>
            </w:r>
          </w:p>
        </w:tc>
      </w:tr>
      <w:tr>
        <w:trPr/>
        <w:tc>
          <w:tcPr>
            <w:tcW w:w="550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single" w:sz="2" w:space="1" w:color="000000"/>
              </w:rPr>
            </w:pPr>
            <w:r>
              <w:rPr>
                <w:bdr w:val="single" w:sz="2" w:space="1" w:color="000000"/>
              </w:rPr>
              <w:t> </w:t>
            </w:r>
          </w:p>
        </w:tc>
        <w:tc>
          <w:tcPr>
            <w:tcW w:w="980" w:type="dxa"/>
            <w:tcBorders/>
            <w:shd w:fill="auto" w:val="clear"/>
            <w:vAlign w:val="center"/>
          </w:tcPr>
          <w:p>
            <w:pPr>
              <w:pStyle w:val="TableContents"/>
              <w:spacing w:before="0" w:after="0"/>
              <w:rPr>
                <w:bdr w:val="single" w:sz="2" w:space="1" w:color="000000"/>
              </w:rPr>
            </w:pPr>
            <w:r>
              <w:rPr>
                <w:bdr w:val="single" w:sz="2"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560" w:type="dxa"/>
            <w:tcBorders/>
            <w:shd w:fill="auto" w:val="clear"/>
            <w:vAlign w:val="center"/>
          </w:tcPr>
          <w:p>
            <w:pPr>
              <w:pStyle w:val="TableContents"/>
              <w:spacing w:before="0" w:after="0"/>
              <w:rPr>
                <w:bdr w:val="single" w:sz="2" w:space="1" w:color="000000"/>
              </w:rPr>
            </w:pPr>
            <w:r>
              <w:rPr>
                <w:bdr w:val="single" w:sz="2" w:space="1" w:color="000000"/>
              </w:rPr>
              <w:t> </w:t>
            </w:r>
          </w:p>
        </w:tc>
        <w:tc>
          <w:tcPr>
            <w:tcW w:w="334"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single" w:sz="2" w:space="1" w:color="000000"/>
              </w:rPr>
            </w:pPr>
            <w:r>
              <w:rPr>
                <w:bdr w:val="single" w:sz="2" w:space="1" w:color="000000"/>
              </w:rPr>
              <w:t> </w:t>
            </w:r>
          </w:p>
        </w:tc>
        <w:tc>
          <w:tcPr>
            <w:tcW w:w="980" w:type="dxa"/>
            <w:tcBorders/>
            <w:shd w:fill="auto" w:val="clear"/>
            <w:vAlign w:val="center"/>
          </w:tcPr>
          <w:p>
            <w:pPr>
              <w:pStyle w:val="TableContents"/>
              <w:spacing w:before="0" w:after="0"/>
              <w:rPr>
                <w:bdr w:val="single" w:sz="2" w:space="1" w:color="000000"/>
              </w:rPr>
            </w:pPr>
            <w:r>
              <w:rPr>
                <w:bdr w:val="single" w:sz="2"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560" w:type="dxa"/>
            <w:tcBorders/>
            <w:shd w:fill="auto" w:val="clear"/>
            <w:vAlign w:val="center"/>
          </w:tcPr>
          <w:p>
            <w:pPr>
              <w:pStyle w:val="TableContents"/>
              <w:spacing w:before="0" w:after="0"/>
              <w:rPr>
                <w:bdr w:val="single" w:sz="2" w:space="1" w:color="000000"/>
              </w:rPr>
            </w:pPr>
            <w:r>
              <w:rPr>
                <w:bdr w:val="single" w:sz="2" w:space="1" w:color="000000"/>
              </w:rPr>
              <w:t> </w:t>
            </w:r>
          </w:p>
        </w:tc>
        <w:tc>
          <w:tcPr>
            <w:tcW w:w="351" w:type="dxa"/>
            <w:tcBorders/>
            <w:shd w:fill="auto" w:val="clear"/>
            <w:vAlign w:val="center"/>
          </w:tcPr>
          <w:p>
            <w:pPr>
              <w:pStyle w:val="TableContents"/>
              <w:spacing w:before="0" w:after="283"/>
              <w:rPr/>
            </w:pPr>
            <w:r>
              <w:rPr/>
              <w:t> </w:t>
            </w:r>
          </w:p>
        </w:tc>
      </w:tr>
      <w:tr>
        <w:trPr/>
        <w:tc>
          <w:tcPr>
            <w:tcW w:w="550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Net income</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980" w:type="dxa"/>
            <w:tcBorders/>
            <w:shd w:fill="CCEEFF" w:val="clear"/>
            <w:vAlign w:val="center"/>
          </w:tcPr>
          <w:p>
            <w:pPr>
              <w:pStyle w:val="TableContents"/>
              <w:spacing w:before="0" w:after="283"/>
              <w:jc w:val="right"/>
              <w:rPr/>
            </w:pPr>
            <w:r>
              <w:rPr/>
              <w:t>100,263</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560" w:type="dxa"/>
            <w:tcBorders/>
            <w:shd w:fill="CCEEFF" w:val="clear"/>
            <w:vAlign w:val="center"/>
          </w:tcPr>
          <w:p>
            <w:pPr>
              <w:pStyle w:val="TableContents"/>
              <w:spacing w:before="0" w:after="283"/>
              <w:jc w:val="right"/>
              <w:rPr/>
            </w:pPr>
            <w:r>
              <w:rPr/>
              <w:t>7.4</w:t>
            </w:r>
          </w:p>
        </w:tc>
        <w:tc>
          <w:tcPr>
            <w:tcW w:w="334"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980" w:type="dxa"/>
            <w:tcBorders/>
            <w:shd w:fill="CCEEFF" w:val="clear"/>
            <w:vAlign w:val="center"/>
          </w:tcPr>
          <w:p>
            <w:pPr>
              <w:pStyle w:val="TableContents"/>
              <w:spacing w:before="0" w:after="283"/>
              <w:jc w:val="right"/>
              <w:rPr/>
            </w:pPr>
            <w:r>
              <w:rPr/>
              <w:t>117,221</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560" w:type="dxa"/>
            <w:tcBorders/>
            <w:shd w:fill="CCEEFF" w:val="clear"/>
            <w:vAlign w:val="center"/>
          </w:tcPr>
          <w:p>
            <w:pPr>
              <w:pStyle w:val="TableContents"/>
              <w:spacing w:before="0" w:after="283"/>
              <w:jc w:val="right"/>
              <w:rPr/>
            </w:pPr>
            <w:r>
              <w:rPr/>
              <w:t>9.3</w:t>
            </w:r>
          </w:p>
        </w:tc>
        <w:tc>
          <w:tcPr>
            <w:tcW w:w="351" w:type="dxa"/>
            <w:tcBorders/>
            <w:shd w:fill="CCEEFF" w:val="clear"/>
            <w:vAlign w:val="center"/>
          </w:tcPr>
          <w:p>
            <w:pPr>
              <w:pStyle w:val="TableContents"/>
              <w:spacing w:before="0" w:after="283"/>
              <w:rPr/>
            </w:pPr>
            <w:r>
              <w:rPr/>
              <w:t>% </w:t>
            </w:r>
          </w:p>
        </w:tc>
      </w:tr>
      <w:tr>
        <w:trPr/>
        <w:tc>
          <w:tcPr>
            <w:tcW w:w="550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double" w:sz="6" w:space="1" w:color="000000"/>
              </w:rPr>
            </w:pPr>
            <w:r>
              <w:rPr>
                <w:bdr w:val="double" w:sz="6" w:space="1" w:color="000000"/>
              </w:rPr>
              <w:t> </w:t>
            </w:r>
          </w:p>
        </w:tc>
        <w:tc>
          <w:tcPr>
            <w:tcW w:w="980" w:type="dxa"/>
            <w:tcBorders/>
            <w:shd w:fill="auto" w:val="clear"/>
            <w:vAlign w:val="center"/>
          </w:tcPr>
          <w:p>
            <w:pPr>
              <w:pStyle w:val="TableContents"/>
              <w:spacing w:before="0" w:after="0"/>
              <w:rPr>
                <w:bdr w:val="double" w:sz="6" w:space="1" w:color="000000"/>
              </w:rPr>
            </w:pPr>
            <w:r>
              <w:rPr>
                <w:bdr w:val="double" w:sz="6"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double" w:sz="6" w:space="1" w:color="000000"/>
              </w:rPr>
            </w:pPr>
            <w:r>
              <w:rPr>
                <w:bdr w:val="double" w:sz="6" w:space="1" w:color="000000"/>
              </w:rPr>
              <w:t> </w:t>
            </w:r>
          </w:p>
        </w:tc>
        <w:tc>
          <w:tcPr>
            <w:tcW w:w="560" w:type="dxa"/>
            <w:tcBorders/>
            <w:shd w:fill="auto" w:val="clear"/>
            <w:vAlign w:val="center"/>
          </w:tcPr>
          <w:p>
            <w:pPr>
              <w:pStyle w:val="TableContents"/>
              <w:spacing w:before="0" w:after="0"/>
              <w:rPr>
                <w:bdr w:val="double" w:sz="6" w:space="1" w:color="000000"/>
              </w:rPr>
            </w:pPr>
            <w:r>
              <w:rPr>
                <w:bdr w:val="double" w:sz="6" w:space="1" w:color="000000"/>
              </w:rPr>
              <w:t> </w:t>
            </w:r>
          </w:p>
        </w:tc>
        <w:tc>
          <w:tcPr>
            <w:tcW w:w="334"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double" w:sz="6" w:space="1" w:color="000000"/>
              </w:rPr>
            </w:pPr>
            <w:r>
              <w:rPr>
                <w:bdr w:val="double" w:sz="6" w:space="1" w:color="000000"/>
              </w:rPr>
              <w:t> </w:t>
            </w:r>
          </w:p>
        </w:tc>
        <w:tc>
          <w:tcPr>
            <w:tcW w:w="980" w:type="dxa"/>
            <w:tcBorders/>
            <w:shd w:fill="auto" w:val="clear"/>
            <w:vAlign w:val="center"/>
          </w:tcPr>
          <w:p>
            <w:pPr>
              <w:pStyle w:val="TableContents"/>
              <w:spacing w:before="0" w:after="0"/>
              <w:rPr>
                <w:bdr w:val="double" w:sz="6" w:space="1" w:color="000000"/>
              </w:rPr>
            </w:pPr>
            <w:r>
              <w:rPr>
                <w:bdr w:val="double" w:sz="6"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double" w:sz="6" w:space="1" w:color="000000"/>
              </w:rPr>
            </w:pPr>
            <w:r>
              <w:rPr>
                <w:bdr w:val="double" w:sz="6" w:space="1" w:color="000000"/>
              </w:rPr>
              <w:t> </w:t>
            </w:r>
          </w:p>
        </w:tc>
        <w:tc>
          <w:tcPr>
            <w:tcW w:w="560" w:type="dxa"/>
            <w:tcBorders/>
            <w:shd w:fill="auto" w:val="clear"/>
            <w:vAlign w:val="center"/>
          </w:tcPr>
          <w:p>
            <w:pPr>
              <w:pStyle w:val="TableContents"/>
              <w:spacing w:before="0" w:after="0"/>
              <w:rPr>
                <w:bdr w:val="double" w:sz="6" w:space="1" w:color="000000"/>
              </w:rPr>
            </w:pPr>
            <w:r>
              <w:rPr>
                <w:bdr w:val="double" w:sz="6" w:space="1" w:color="000000"/>
              </w:rPr>
              <w:t> </w:t>
            </w:r>
          </w:p>
        </w:tc>
        <w:tc>
          <w:tcPr>
            <w:tcW w:w="351" w:type="dxa"/>
            <w:tcBorders/>
            <w:shd w:fill="auto" w:val="clear"/>
            <w:vAlign w:val="center"/>
          </w:tcPr>
          <w:p>
            <w:pPr>
              <w:pStyle w:val="TableContents"/>
              <w:spacing w:before="0" w:after="283"/>
              <w:rPr/>
            </w:pPr>
            <w:r>
              <w:rPr/>
              <w:t> </w:t>
            </w:r>
          </w:p>
        </w:tc>
      </w:tr>
      <w:tr>
        <w:trPr/>
        <w:tc>
          <w:tcPr>
            <w:tcW w:w="550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Change in comparable store sales</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60" w:type="dxa"/>
            <w:tcBorders/>
            <w:shd w:fill="auto" w:val="clear"/>
            <w:vAlign w:val="center"/>
          </w:tcPr>
          <w:p>
            <w:pPr>
              <w:pStyle w:val="TableContents"/>
              <w:spacing w:before="0" w:after="283"/>
              <w:jc w:val="right"/>
              <w:rPr/>
            </w:pPr>
            <w:r>
              <w:rPr/>
              <w:t>(2.6</w:t>
            </w:r>
          </w:p>
        </w:tc>
        <w:tc>
          <w:tcPr>
            <w:tcW w:w="334"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60" w:type="dxa"/>
            <w:tcBorders/>
            <w:shd w:fill="auto" w:val="clear"/>
            <w:vAlign w:val="center"/>
          </w:tcPr>
          <w:p>
            <w:pPr>
              <w:pStyle w:val="TableContents"/>
              <w:spacing w:before="0" w:after="283"/>
              <w:jc w:val="right"/>
              <w:rPr/>
            </w:pPr>
            <w:r>
              <w:rPr/>
              <w:t>(1.6</w:t>
            </w:r>
          </w:p>
        </w:tc>
        <w:tc>
          <w:tcPr>
            <w:tcW w:w="351" w:type="dxa"/>
            <w:tcBorders/>
            <w:shd w:fill="auto" w:val="clear"/>
            <w:vAlign w:val="center"/>
          </w:tcPr>
          <w:p>
            <w:pPr>
              <w:pStyle w:val="TableContents"/>
              <w:spacing w:before="0" w:after="283"/>
              <w:rPr/>
            </w:pPr>
            <w:r>
              <w:rPr/>
              <w:t>)% </w:t>
            </w:r>
          </w:p>
        </w:tc>
      </w:tr>
      <w:tr>
        <w:trPr/>
        <w:tc>
          <w:tcPr>
            <w:tcW w:w="550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 xml:space="preserve">Company-owned stores open at end of period </w:t>
            </w:r>
          </w:p>
          <w:p>
            <w:pPr>
              <w:pStyle w:val="TableContents"/>
              <w:spacing w:before="0" w:after="0"/>
              <w:rPr>
                <w:rFonts w:ascii="Times New Roman" w:hAnsi="Times New Roman"/>
                <w:spacing w:val="0"/>
                <w:sz w:val="14"/>
              </w:rPr>
            </w:pPr>
            <w:r>
              <w:rPr>
                <w:rFonts w:ascii="Times New Roman" w:hAnsi="Times New Roman"/>
                <w:spacing w:val="0"/>
                <w:sz w:val="14"/>
              </w:rPr>
              <w:t>(1)</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sz w:val="4"/>
                <w:szCs w:val="4"/>
              </w:rPr>
            </w:pPr>
            <w:r>
              <w:rPr>
                <w:sz w:val="4"/>
                <w:szCs w:val="4"/>
              </w:rPr>
            </w:r>
          </w:p>
        </w:tc>
        <w:tc>
          <w:tcPr>
            <w:tcW w:w="980"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560" w:type="dxa"/>
            <w:tcBorders/>
            <w:shd w:fill="CCEEFF" w:val="clear"/>
            <w:vAlign w:val="center"/>
          </w:tcPr>
          <w:p>
            <w:pPr>
              <w:pStyle w:val="TableContents"/>
              <w:spacing w:before="0" w:after="283"/>
              <w:jc w:val="right"/>
              <w:rPr/>
            </w:pPr>
            <w:r>
              <w:rPr/>
              <w:t>136</w:t>
            </w:r>
          </w:p>
        </w:tc>
        <w:tc>
          <w:tcPr>
            <w:tcW w:w="334"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sz w:val="4"/>
                <w:szCs w:val="4"/>
              </w:rPr>
            </w:pPr>
            <w:r>
              <w:rPr>
                <w:sz w:val="4"/>
                <w:szCs w:val="4"/>
              </w:rPr>
            </w:r>
          </w:p>
        </w:tc>
        <w:tc>
          <w:tcPr>
            <w:tcW w:w="980"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560" w:type="dxa"/>
            <w:tcBorders/>
            <w:shd w:fill="CCEEFF" w:val="clear"/>
            <w:vAlign w:val="center"/>
          </w:tcPr>
          <w:p>
            <w:pPr>
              <w:pStyle w:val="TableContents"/>
              <w:spacing w:before="0" w:after="283"/>
              <w:jc w:val="right"/>
              <w:rPr/>
            </w:pPr>
            <w:r>
              <w:rPr/>
              <w:t>121</w:t>
            </w:r>
          </w:p>
        </w:tc>
        <w:tc>
          <w:tcPr>
            <w:tcW w:w="351" w:type="dxa"/>
            <w:tcBorders/>
            <w:shd w:fill="CCEEFF" w:val="clear"/>
            <w:vAlign w:val="center"/>
          </w:tcPr>
          <w:p>
            <w:pPr>
              <w:pStyle w:val="TableContents"/>
              <w:spacing w:before="0" w:after="283"/>
              <w:rPr/>
            </w:pPr>
            <w:r>
              <w:rPr/>
              <w:t> </w:t>
            </w:r>
          </w:p>
        </w:tc>
      </w:tr>
      <w:tr>
        <w:trPr/>
        <w:tc>
          <w:tcPr>
            <w:tcW w:w="550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 xml:space="preserve">Comparable stores open at end of period </w:t>
            </w:r>
          </w:p>
          <w:p>
            <w:pPr>
              <w:pStyle w:val="TableContents"/>
              <w:spacing w:before="0" w:after="0"/>
              <w:rPr>
                <w:rFonts w:ascii="Times New Roman" w:hAnsi="Times New Roman"/>
                <w:spacing w:val="0"/>
                <w:sz w:val="14"/>
              </w:rPr>
            </w:pPr>
            <w:r>
              <w:rPr>
                <w:rFonts w:ascii="Times New Roman" w:hAnsi="Times New Roman"/>
                <w:spacing w:val="0"/>
                <w:sz w:val="14"/>
              </w:rPr>
              <w:t>(1)</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60" w:type="dxa"/>
            <w:tcBorders/>
            <w:shd w:fill="auto" w:val="clear"/>
            <w:vAlign w:val="center"/>
          </w:tcPr>
          <w:p>
            <w:pPr>
              <w:pStyle w:val="TableContents"/>
              <w:spacing w:before="0" w:after="283"/>
              <w:jc w:val="right"/>
              <w:rPr/>
            </w:pPr>
            <w:r>
              <w:rPr/>
              <w:t>99</w:t>
            </w:r>
          </w:p>
        </w:tc>
        <w:tc>
          <w:tcPr>
            <w:tcW w:w="334"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60" w:type="dxa"/>
            <w:tcBorders/>
            <w:shd w:fill="auto" w:val="clear"/>
            <w:vAlign w:val="center"/>
          </w:tcPr>
          <w:p>
            <w:pPr>
              <w:pStyle w:val="TableContents"/>
              <w:spacing w:before="0" w:after="283"/>
              <w:jc w:val="right"/>
              <w:rPr/>
            </w:pPr>
            <w:r>
              <w:rPr/>
              <w:t>86</w:t>
            </w:r>
          </w:p>
        </w:tc>
        <w:tc>
          <w:tcPr>
            <w:tcW w:w="351" w:type="dxa"/>
            <w:tcBorders/>
            <w:shd w:fill="auto" w:val="clear"/>
            <w:vAlign w:val="center"/>
          </w:tcPr>
          <w:p>
            <w:pPr>
              <w:pStyle w:val="TableContents"/>
              <w:spacing w:before="0" w:after="283"/>
              <w:rPr/>
            </w:pPr>
            <w:r>
              <w:rPr/>
              <w:t> </w:t>
            </w:r>
          </w:p>
        </w:tc>
      </w:tr>
    </w:tbl>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173"/>
        <w:gridCol w:w="10032"/>
      </w:tblGrid>
      <w:tr>
        <w:trPr/>
        <w:tc>
          <w:tcPr>
            <w:tcW w:w="173" w:type="dxa"/>
            <w:tcBorders/>
            <w:shd w:fill="auto" w:val="clear"/>
            <w:vAlign w:val="center"/>
          </w:tcPr>
          <w:p>
            <w:pPr>
              <w:pStyle w:val="TableContents"/>
              <w:spacing w:before="0" w:after="0"/>
              <w:jc w:val="left"/>
              <w:rPr>
                <w:sz w:val="14"/>
              </w:rPr>
            </w:pPr>
            <w:r>
              <w:rPr>
                <w:sz w:val="14"/>
              </w:rPr>
              <w:t>(1)</w:t>
            </w:r>
          </w:p>
          <w:p>
            <w:pPr>
              <w:pStyle w:val="TableContents"/>
              <w:spacing w:before="0" w:after="0"/>
              <w:jc w:val="left"/>
              <w:rPr/>
            </w:pPr>
            <w:r>
              <w:rPr/>
              <w:t> </w:t>
            </w:r>
          </w:p>
        </w:tc>
        <w:tc>
          <w:tcPr>
            <w:tcW w:w="10032"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Our store in Duluth (Atlanta), Georgia permanently closed on March 3, 2019, as we did not exercise the renewal option, and has been excluded from fiscal 2019 store counts and comparable store sales. The number of new store openings during the last two fiscal years were as follows: </w:t>
            </w:r>
          </w:p>
        </w:tc>
      </w:tr>
    </w:tbl>
    <w:p>
      <w:pPr>
        <w:pStyle w:val="TextBody"/>
        <w:spacing w:before="0" w:after="0"/>
        <w:jc w:val="left"/>
        <w:rPr>
          <w:spacing w:val="0"/>
        </w:rPr>
      </w:pPr>
      <w:r>
        <w:rPr>
          <w:spacing w:val="0"/>
        </w:rPr>
        <w:t> </w:t>
      </w:r>
    </w:p>
    <w:tbl>
      <w:tblPr>
        <w:tblW w:w="4125" w:type="dxa"/>
        <w:jc w:val="left"/>
        <w:tblInd w:w="0" w:type="dxa"/>
        <w:tblCellMar>
          <w:top w:w="0" w:type="dxa"/>
          <w:left w:w="0" w:type="dxa"/>
          <w:bottom w:w="0" w:type="dxa"/>
          <w:right w:w="0" w:type="dxa"/>
        </w:tblCellMar>
      </w:tblPr>
      <w:tblGrid>
        <w:gridCol w:w="1280"/>
        <w:gridCol w:w="120"/>
        <w:gridCol w:w="231"/>
        <w:gridCol w:w="1004"/>
        <w:gridCol w:w="60"/>
        <w:gridCol w:w="120"/>
        <w:gridCol w:w="231"/>
        <w:gridCol w:w="1004"/>
        <w:gridCol w:w="75"/>
      </w:tblGrid>
      <w:tr>
        <w:trPr/>
        <w:tc>
          <w:tcPr>
            <w:tcW w:w="128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31" w:type="dxa"/>
            <w:tcBorders/>
            <w:shd w:fill="auto" w:val="clear"/>
            <w:vAlign w:val="center"/>
          </w:tcPr>
          <w:p>
            <w:pPr>
              <w:pStyle w:val="TableContents"/>
              <w:spacing w:before="0" w:after="283"/>
              <w:rPr>
                <w:sz w:val="4"/>
                <w:szCs w:val="4"/>
              </w:rPr>
            </w:pPr>
            <w:r>
              <w:rPr>
                <w:sz w:val="4"/>
                <w:szCs w:val="4"/>
              </w:rPr>
            </w:r>
          </w:p>
        </w:tc>
        <w:tc>
          <w:tcPr>
            <w:tcW w:w="1004"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31" w:type="dxa"/>
            <w:tcBorders/>
            <w:shd w:fill="auto" w:val="clear"/>
            <w:vAlign w:val="center"/>
          </w:tcPr>
          <w:p>
            <w:pPr>
              <w:pStyle w:val="TableContents"/>
              <w:spacing w:before="0" w:after="283"/>
              <w:rPr>
                <w:sz w:val="4"/>
                <w:szCs w:val="4"/>
              </w:rPr>
            </w:pPr>
            <w:r>
              <w:rPr>
                <w:sz w:val="4"/>
                <w:szCs w:val="4"/>
              </w:rPr>
            </w:r>
          </w:p>
        </w:tc>
        <w:tc>
          <w:tcPr>
            <w:tcW w:w="1004"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128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235" w:type="dxa"/>
            <w:gridSpan w:val="2"/>
            <w:tcBorders/>
            <w:shd w:fill="auto" w:val="clear"/>
            <w:vAlign w:val="center"/>
          </w:tcPr>
          <w:p>
            <w:pPr>
              <w:pStyle w:val="TableContents"/>
              <w:spacing w:before="0" w:after="0"/>
              <w:jc w:val="center"/>
              <w:rPr>
                <w:b/>
                <w:spacing w:val="0"/>
              </w:rPr>
            </w:pPr>
            <w:r>
              <w:rPr>
                <w:b/>
                <w:spacing w:val="0"/>
              </w:rPr>
              <w:t>Fiscal Year</w:t>
              <w:br/>
              <w:t>Ended</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235" w:type="dxa"/>
            <w:gridSpan w:val="2"/>
            <w:tcBorders/>
            <w:shd w:fill="auto" w:val="clear"/>
            <w:vAlign w:val="center"/>
          </w:tcPr>
          <w:p>
            <w:pPr>
              <w:pStyle w:val="TableContents"/>
              <w:spacing w:before="0" w:after="0"/>
              <w:jc w:val="center"/>
              <w:rPr>
                <w:b/>
                <w:spacing w:val="0"/>
              </w:rPr>
            </w:pPr>
            <w:r>
              <w:rPr>
                <w:b/>
                <w:spacing w:val="0"/>
              </w:rPr>
              <w:t>Fiscal Year</w:t>
              <w:br/>
              <w:t>Ended</w:t>
            </w:r>
          </w:p>
        </w:tc>
        <w:tc>
          <w:tcPr>
            <w:tcW w:w="75" w:type="dxa"/>
            <w:tcBorders/>
            <w:shd w:fill="auto" w:val="clear"/>
            <w:vAlign w:val="center"/>
          </w:tcPr>
          <w:p>
            <w:pPr>
              <w:pStyle w:val="TableContents"/>
              <w:spacing w:before="0" w:after="283"/>
              <w:rPr/>
            </w:pPr>
            <w:r>
              <w:rPr/>
              <w:t> </w:t>
            </w:r>
          </w:p>
        </w:tc>
      </w:tr>
      <w:tr>
        <w:trPr/>
        <w:tc>
          <w:tcPr>
            <w:tcW w:w="128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235" w:type="dxa"/>
            <w:gridSpan w:val="2"/>
            <w:tcBorders/>
            <w:shd w:fill="auto" w:val="clear"/>
            <w:vAlign w:val="center"/>
          </w:tcPr>
          <w:p>
            <w:pPr>
              <w:pStyle w:val="TableContents"/>
              <w:spacing w:before="0" w:after="0"/>
              <w:jc w:val="center"/>
              <w:rPr>
                <w:b/>
                <w:spacing w:val="0"/>
              </w:rPr>
            </w:pPr>
            <w:r>
              <w:rPr>
                <w:b/>
                <w:spacing w:val="0"/>
              </w:rPr>
              <w:t>February 2,</w:t>
              <w:br/>
              <w:t>2020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235" w:type="dxa"/>
            <w:gridSpan w:val="2"/>
            <w:tcBorders/>
            <w:shd w:fill="auto" w:val="clear"/>
            <w:vAlign w:val="center"/>
          </w:tcPr>
          <w:p>
            <w:pPr>
              <w:pStyle w:val="TableContents"/>
              <w:spacing w:before="0" w:after="0"/>
              <w:jc w:val="center"/>
              <w:rPr>
                <w:b/>
                <w:spacing w:val="0"/>
              </w:rPr>
            </w:pPr>
            <w:r>
              <w:rPr>
                <w:b/>
                <w:spacing w:val="0"/>
              </w:rPr>
              <w:t>February 3,</w:t>
              <w:br/>
              <w:t>2019</w:t>
            </w:r>
          </w:p>
        </w:tc>
        <w:tc>
          <w:tcPr>
            <w:tcW w:w="75" w:type="dxa"/>
            <w:tcBorders/>
            <w:shd w:fill="auto" w:val="clear"/>
            <w:vAlign w:val="center"/>
          </w:tcPr>
          <w:p>
            <w:pPr>
              <w:pStyle w:val="TableContents"/>
              <w:spacing w:before="0" w:after="283"/>
              <w:rPr/>
            </w:pPr>
            <w:r>
              <w:rPr/>
              <w:t> </w:t>
            </w:r>
          </w:p>
        </w:tc>
      </w:tr>
      <w:tr>
        <w:trPr/>
        <w:tc>
          <w:tcPr>
            <w:tcW w:w="128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First Quarter</w:t>
            </w:r>
          </w:p>
        </w:tc>
        <w:tc>
          <w:tcPr>
            <w:tcW w:w="120" w:type="dxa"/>
            <w:tcBorders/>
            <w:shd w:fill="CCEEFF" w:val="clear"/>
            <w:vAlign w:val="center"/>
          </w:tcPr>
          <w:p>
            <w:pPr>
              <w:pStyle w:val="TableContents"/>
              <w:spacing w:before="0" w:after="283"/>
              <w:rPr/>
            </w:pPr>
            <w:r>
              <w:rPr/>
              <w:t>  </w:t>
            </w:r>
          </w:p>
        </w:tc>
        <w:tc>
          <w:tcPr>
            <w:tcW w:w="231" w:type="dxa"/>
            <w:tcBorders/>
            <w:shd w:fill="CCEEFF" w:val="clear"/>
            <w:vAlign w:val="center"/>
          </w:tcPr>
          <w:p>
            <w:pPr>
              <w:pStyle w:val="TableContents"/>
              <w:spacing w:before="0" w:after="283"/>
              <w:rPr/>
            </w:pPr>
            <w:r>
              <w:rPr/>
              <w:t> </w:t>
            </w:r>
          </w:p>
        </w:tc>
        <w:tc>
          <w:tcPr>
            <w:tcW w:w="1004" w:type="dxa"/>
            <w:tcBorders/>
            <w:shd w:fill="CCEEFF" w:val="clear"/>
            <w:vAlign w:val="center"/>
          </w:tcPr>
          <w:p>
            <w:pPr>
              <w:pStyle w:val="TableContents"/>
              <w:spacing w:before="0" w:after="283"/>
              <w:jc w:val="right"/>
              <w:rPr/>
            </w:pPr>
            <w:r>
              <w:rPr/>
              <w:t>7</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231" w:type="dxa"/>
            <w:tcBorders/>
            <w:shd w:fill="CCEEFF" w:val="clear"/>
            <w:vAlign w:val="center"/>
          </w:tcPr>
          <w:p>
            <w:pPr>
              <w:pStyle w:val="TableContents"/>
              <w:spacing w:before="0" w:after="283"/>
              <w:rPr/>
            </w:pPr>
            <w:r>
              <w:rPr/>
              <w:t> </w:t>
            </w:r>
          </w:p>
        </w:tc>
        <w:tc>
          <w:tcPr>
            <w:tcW w:w="1004" w:type="dxa"/>
            <w:tcBorders/>
            <w:shd w:fill="CCEEFF" w:val="clear"/>
            <w:vAlign w:val="center"/>
          </w:tcPr>
          <w:p>
            <w:pPr>
              <w:pStyle w:val="TableContents"/>
              <w:spacing w:before="0" w:after="283"/>
              <w:jc w:val="right"/>
              <w:rPr/>
            </w:pPr>
            <w:r>
              <w:rPr/>
              <w:t>6</w:t>
            </w:r>
          </w:p>
        </w:tc>
        <w:tc>
          <w:tcPr>
            <w:tcW w:w="75" w:type="dxa"/>
            <w:tcBorders/>
            <w:shd w:fill="CCEEFF" w:val="clear"/>
            <w:vAlign w:val="center"/>
          </w:tcPr>
          <w:p>
            <w:pPr>
              <w:pStyle w:val="TableContents"/>
              <w:spacing w:before="0" w:after="283"/>
              <w:rPr/>
            </w:pPr>
            <w:r>
              <w:rPr/>
              <w:t> </w:t>
            </w:r>
          </w:p>
        </w:tc>
      </w:tr>
      <w:tr>
        <w:trPr/>
        <w:tc>
          <w:tcPr>
            <w:tcW w:w="128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Second Quarter</w:t>
            </w:r>
          </w:p>
        </w:tc>
        <w:tc>
          <w:tcPr>
            <w:tcW w:w="120" w:type="dxa"/>
            <w:tcBorders/>
            <w:shd w:fill="auto" w:val="clear"/>
            <w:vAlign w:val="center"/>
          </w:tcPr>
          <w:p>
            <w:pPr>
              <w:pStyle w:val="TableContents"/>
              <w:spacing w:before="0" w:after="283"/>
              <w:rPr/>
            </w:pPr>
            <w:r>
              <w:rPr/>
              <w:t>  </w:t>
            </w:r>
          </w:p>
        </w:tc>
        <w:tc>
          <w:tcPr>
            <w:tcW w:w="231" w:type="dxa"/>
            <w:tcBorders/>
            <w:shd w:fill="auto" w:val="clear"/>
            <w:vAlign w:val="center"/>
          </w:tcPr>
          <w:p>
            <w:pPr>
              <w:pStyle w:val="TableContents"/>
              <w:spacing w:before="0" w:after="283"/>
              <w:rPr/>
            </w:pPr>
            <w:r>
              <w:rPr/>
              <w:t> </w:t>
            </w:r>
          </w:p>
        </w:tc>
        <w:tc>
          <w:tcPr>
            <w:tcW w:w="1004" w:type="dxa"/>
            <w:tcBorders/>
            <w:shd w:fill="auto" w:val="clear"/>
            <w:vAlign w:val="center"/>
          </w:tcPr>
          <w:p>
            <w:pPr>
              <w:pStyle w:val="TableContents"/>
              <w:spacing w:before="0" w:after="283"/>
              <w:jc w:val="right"/>
              <w:rPr/>
            </w:pPr>
            <w:r>
              <w:rPr/>
              <w:t>3</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31" w:type="dxa"/>
            <w:tcBorders/>
            <w:shd w:fill="auto" w:val="clear"/>
            <w:vAlign w:val="center"/>
          </w:tcPr>
          <w:p>
            <w:pPr>
              <w:pStyle w:val="TableContents"/>
              <w:spacing w:before="0" w:after="283"/>
              <w:rPr/>
            </w:pPr>
            <w:r>
              <w:rPr/>
              <w:t> </w:t>
            </w:r>
          </w:p>
        </w:tc>
        <w:tc>
          <w:tcPr>
            <w:tcW w:w="1004" w:type="dxa"/>
            <w:tcBorders/>
            <w:shd w:fill="auto" w:val="clear"/>
            <w:vAlign w:val="center"/>
          </w:tcPr>
          <w:p>
            <w:pPr>
              <w:pStyle w:val="TableContents"/>
              <w:spacing w:before="0" w:after="283"/>
              <w:jc w:val="right"/>
              <w:rPr/>
            </w:pPr>
            <w:r>
              <w:rPr/>
              <w:t>5</w:t>
            </w:r>
          </w:p>
        </w:tc>
        <w:tc>
          <w:tcPr>
            <w:tcW w:w="75" w:type="dxa"/>
            <w:tcBorders/>
            <w:shd w:fill="auto" w:val="clear"/>
            <w:vAlign w:val="center"/>
          </w:tcPr>
          <w:p>
            <w:pPr>
              <w:pStyle w:val="TableContents"/>
              <w:spacing w:before="0" w:after="283"/>
              <w:rPr/>
            </w:pPr>
            <w:r>
              <w:rPr/>
              <w:t> </w:t>
            </w:r>
          </w:p>
        </w:tc>
      </w:tr>
      <w:tr>
        <w:trPr/>
        <w:tc>
          <w:tcPr>
            <w:tcW w:w="128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Third Quarter</w:t>
            </w:r>
          </w:p>
        </w:tc>
        <w:tc>
          <w:tcPr>
            <w:tcW w:w="120" w:type="dxa"/>
            <w:tcBorders/>
            <w:shd w:fill="CCEEFF" w:val="clear"/>
            <w:vAlign w:val="center"/>
          </w:tcPr>
          <w:p>
            <w:pPr>
              <w:pStyle w:val="TableContents"/>
              <w:spacing w:before="0" w:after="283"/>
              <w:rPr/>
            </w:pPr>
            <w:r>
              <w:rPr/>
              <w:t>  </w:t>
            </w:r>
          </w:p>
        </w:tc>
        <w:tc>
          <w:tcPr>
            <w:tcW w:w="231" w:type="dxa"/>
            <w:tcBorders/>
            <w:shd w:fill="CCEEFF" w:val="clear"/>
            <w:vAlign w:val="center"/>
          </w:tcPr>
          <w:p>
            <w:pPr>
              <w:pStyle w:val="TableContents"/>
              <w:spacing w:before="0" w:after="283"/>
              <w:rPr/>
            </w:pPr>
            <w:r>
              <w:rPr/>
              <w:t> </w:t>
            </w:r>
          </w:p>
        </w:tc>
        <w:tc>
          <w:tcPr>
            <w:tcW w:w="1004" w:type="dxa"/>
            <w:tcBorders/>
            <w:shd w:fill="CCEEFF" w:val="clear"/>
            <w:vAlign w:val="center"/>
          </w:tcPr>
          <w:p>
            <w:pPr>
              <w:pStyle w:val="TableContents"/>
              <w:spacing w:before="0" w:after="283"/>
              <w:jc w:val="right"/>
              <w:rPr/>
            </w:pPr>
            <w:r>
              <w:rPr/>
              <w:t>4</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231" w:type="dxa"/>
            <w:tcBorders/>
            <w:shd w:fill="CCEEFF" w:val="clear"/>
            <w:vAlign w:val="center"/>
          </w:tcPr>
          <w:p>
            <w:pPr>
              <w:pStyle w:val="TableContents"/>
              <w:spacing w:before="0" w:after="283"/>
              <w:rPr/>
            </w:pPr>
            <w:r>
              <w:rPr/>
              <w:t> </w:t>
            </w:r>
          </w:p>
        </w:tc>
        <w:tc>
          <w:tcPr>
            <w:tcW w:w="1004" w:type="dxa"/>
            <w:tcBorders/>
            <w:shd w:fill="CCEEFF" w:val="clear"/>
            <w:vAlign w:val="center"/>
          </w:tcPr>
          <w:p>
            <w:pPr>
              <w:pStyle w:val="TableContents"/>
              <w:spacing w:before="0" w:after="283"/>
              <w:jc w:val="right"/>
              <w:rPr/>
            </w:pPr>
            <w:r>
              <w:rPr/>
              <w:t>1</w:t>
            </w:r>
          </w:p>
        </w:tc>
        <w:tc>
          <w:tcPr>
            <w:tcW w:w="75" w:type="dxa"/>
            <w:tcBorders/>
            <w:shd w:fill="CCEEFF" w:val="clear"/>
            <w:vAlign w:val="center"/>
          </w:tcPr>
          <w:p>
            <w:pPr>
              <w:pStyle w:val="TableContents"/>
              <w:spacing w:before="0" w:after="283"/>
              <w:rPr/>
            </w:pPr>
            <w:r>
              <w:rPr/>
              <w:t> </w:t>
            </w:r>
          </w:p>
        </w:tc>
      </w:tr>
      <w:tr>
        <w:trPr/>
        <w:tc>
          <w:tcPr>
            <w:tcW w:w="128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Fourth Quarter</w:t>
            </w:r>
          </w:p>
        </w:tc>
        <w:tc>
          <w:tcPr>
            <w:tcW w:w="120" w:type="dxa"/>
            <w:tcBorders/>
            <w:shd w:fill="auto" w:val="clear"/>
            <w:vAlign w:val="center"/>
          </w:tcPr>
          <w:p>
            <w:pPr>
              <w:pStyle w:val="TableContents"/>
              <w:spacing w:before="0" w:after="283"/>
              <w:rPr/>
            </w:pPr>
            <w:r>
              <w:rPr/>
              <w:t>  </w:t>
            </w:r>
          </w:p>
        </w:tc>
        <w:tc>
          <w:tcPr>
            <w:tcW w:w="231" w:type="dxa"/>
            <w:tcBorders/>
            <w:shd w:fill="auto" w:val="clear"/>
            <w:vAlign w:val="center"/>
          </w:tcPr>
          <w:p>
            <w:pPr>
              <w:pStyle w:val="TableContents"/>
              <w:spacing w:before="0" w:after="283"/>
              <w:rPr/>
            </w:pPr>
            <w:r>
              <w:rPr/>
              <w:t> </w:t>
            </w:r>
          </w:p>
        </w:tc>
        <w:tc>
          <w:tcPr>
            <w:tcW w:w="1004" w:type="dxa"/>
            <w:tcBorders/>
            <w:shd w:fill="auto" w:val="clear"/>
            <w:vAlign w:val="center"/>
          </w:tcPr>
          <w:p>
            <w:pPr>
              <w:pStyle w:val="TableContents"/>
              <w:spacing w:before="0" w:after="283"/>
              <w:jc w:val="right"/>
              <w:rPr/>
            </w:pPr>
            <w:r>
              <w:rPr/>
              <w:t>2</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31" w:type="dxa"/>
            <w:tcBorders/>
            <w:shd w:fill="auto" w:val="clear"/>
            <w:vAlign w:val="center"/>
          </w:tcPr>
          <w:p>
            <w:pPr>
              <w:pStyle w:val="TableContents"/>
              <w:spacing w:before="0" w:after="283"/>
              <w:rPr/>
            </w:pPr>
            <w:r>
              <w:rPr/>
              <w:t> </w:t>
            </w:r>
          </w:p>
        </w:tc>
        <w:tc>
          <w:tcPr>
            <w:tcW w:w="1004" w:type="dxa"/>
            <w:tcBorders/>
            <w:shd w:fill="auto" w:val="clear"/>
            <w:vAlign w:val="center"/>
          </w:tcPr>
          <w:p>
            <w:pPr>
              <w:pStyle w:val="TableContents"/>
              <w:spacing w:before="0" w:after="283"/>
              <w:jc w:val="right"/>
              <w:rPr/>
            </w:pPr>
            <w:r>
              <w:rPr/>
              <w:t>3</w:t>
            </w:r>
          </w:p>
        </w:tc>
        <w:tc>
          <w:tcPr>
            <w:tcW w:w="75" w:type="dxa"/>
            <w:tcBorders/>
            <w:shd w:fill="auto" w:val="clear"/>
            <w:vAlign w:val="center"/>
          </w:tcPr>
          <w:p>
            <w:pPr>
              <w:pStyle w:val="TableContents"/>
              <w:spacing w:before="0" w:after="283"/>
              <w:rPr/>
            </w:pPr>
            <w:r>
              <w:rPr/>
              <w:t> </w:t>
            </w:r>
          </w:p>
        </w:tc>
      </w:tr>
      <w:tr>
        <w:trPr/>
        <w:tc>
          <w:tcPr>
            <w:tcW w:w="128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231" w:type="dxa"/>
            <w:tcBorders/>
            <w:shd w:fill="auto" w:val="clear"/>
            <w:vAlign w:val="center"/>
          </w:tcPr>
          <w:p>
            <w:pPr>
              <w:pStyle w:val="TableContents"/>
              <w:spacing w:before="0" w:after="0"/>
              <w:rPr>
                <w:bdr w:val="single" w:sz="2" w:space="1" w:color="000000"/>
              </w:rPr>
            </w:pPr>
            <w:r>
              <w:rPr>
                <w:bdr w:val="single" w:sz="2" w:space="1" w:color="000000"/>
              </w:rPr>
              <w:t> </w:t>
            </w:r>
          </w:p>
        </w:tc>
        <w:tc>
          <w:tcPr>
            <w:tcW w:w="1004" w:type="dxa"/>
            <w:tcBorders/>
            <w:shd w:fill="auto" w:val="clear"/>
            <w:vAlign w:val="center"/>
          </w:tcPr>
          <w:p>
            <w:pPr>
              <w:pStyle w:val="TableContents"/>
              <w:spacing w:before="0" w:after="0"/>
              <w:rPr>
                <w:bdr w:val="single" w:sz="2" w:space="1" w:color="000000"/>
              </w:rPr>
            </w:pPr>
            <w:r>
              <w:rPr>
                <w:bdr w:val="single" w:sz="2"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31" w:type="dxa"/>
            <w:tcBorders/>
            <w:shd w:fill="auto" w:val="clear"/>
            <w:vAlign w:val="center"/>
          </w:tcPr>
          <w:p>
            <w:pPr>
              <w:pStyle w:val="TableContents"/>
              <w:spacing w:before="0" w:after="0"/>
              <w:rPr>
                <w:bdr w:val="single" w:sz="2" w:space="1" w:color="000000"/>
              </w:rPr>
            </w:pPr>
            <w:r>
              <w:rPr>
                <w:bdr w:val="single" w:sz="2" w:space="1" w:color="000000"/>
              </w:rPr>
              <w:t> </w:t>
            </w:r>
          </w:p>
        </w:tc>
        <w:tc>
          <w:tcPr>
            <w:tcW w:w="1004" w:type="dxa"/>
            <w:tcBorders/>
            <w:shd w:fill="auto" w:val="clear"/>
            <w:vAlign w:val="center"/>
          </w:tcPr>
          <w:p>
            <w:pPr>
              <w:pStyle w:val="TableContents"/>
              <w:spacing w:before="0" w:after="0"/>
              <w:rPr>
                <w:bdr w:val="single" w:sz="2" w:space="1" w:color="000000"/>
              </w:rPr>
            </w:pPr>
            <w:r>
              <w:rPr>
                <w:bdr w:val="single" w:sz="2" w:space="1" w:color="000000"/>
              </w:rPr>
              <w:t> </w:t>
            </w:r>
          </w:p>
        </w:tc>
        <w:tc>
          <w:tcPr>
            <w:tcW w:w="75" w:type="dxa"/>
            <w:tcBorders/>
            <w:shd w:fill="auto" w:val="clear"/>
            <w:vAlign w:val="center"/>
          </w:tcPr>
          <w:p>
            <w:pPr>
              <w:pStyle w:val="TableContents"/>
              <w:spacing w:before="0" w:after="283"/>
              <w:rPr/>
            </w:pPr>
            <w:r>
              <w:rPr/>
              <w:t> </w:t>
            </w:r>
          </w:p>
        </w:tc>
      </w:tr>
      <w:tr>
        <w:trPr/>
        <w:tc>
          <w:tcPr>
            <w:tcW w:w="1280"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283"/>
              <w:rPr/>
            </w:pPr>
            <w:r>
              <w:rPr/>
              <w:t>  </w:t>
            </w:r>
          </w:p>
        </w:tc>
        <w:tc>
          <w:tcPr>
            <w:tcW w:w="231" w:type="dxa"/>
            <w:tcBorders/>
            <w:shd w:fill="CCEEFF" w:val="clear"/>
            <w:vAlign w:val="center"/>
          </w:tcPr>
          <w:p>
            <w:pPr>
              <w:pStyle w:val="TableContents"/>
              <w:spacing w:before="0" w:after="283"/>
              <w:rPr/>
            </w:pPr>
            <w:r>
              <w:rPr/>
              <w:t> </w:t>
            </w:r>
          </w:p>
        </w:tc>
        <w:tc>
          <w:tcPr>
            <w:tcW w:w="1004" w:type="dxa"/>
            <w:tcBorders/>
            <w:shd w:fill="CCEEFF" w:val="clear"/>
            <w:vAlign w:val="center"/>
          </w:tcPr>
          <w:p>
            <w:pPr>
              <w:pStyle w:val="TableContents"/>
              <w:spacing w:before="0" w:after="283"/>
              <w:jc w:val="right"/>
              <w:rPr/>
            </w:pPr>
            <w:r>
              <w:rPr/>
              <w:t>16</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231" w:type="dxa"/>
            <w:tcBorders/>
            <w:shd w:fill="CCEEFF" w:val="clear"/>
            <w:vAlign w:val="center"/>
          </w:tcPr>
          <w:p>
            <w:pPr>
              <w:pStyle w:val="TableContents"/>
              <w:spacing w:before="0" w:after="283"/>
              <w:rPr/>
            </w:pPr>
            <w:r>
              <w:rPr/>
              <w:t> </w:t>
            </w:r>
          </w:p>
        </w:tc>
        <w:tc>
          <w:tcPr>
            <w:tcW w:w="1004" w:type="dxa"/>
            <w:tcBorders/>
            <w:shd w:fill="CCEEFF" w:val="clear"/>
            <w:vAlign w:val="center"/>
          </w:tcPr>
          <w:p>
            <w:pPr>
              <w:pStyle w:val="TableContents"/>
              <w:spacing w:before="0" w:after="283"/>
              <w:jc w:val="right"/>
              <w:rPr/>
            </w:pPr>
            <w:r>
              <w:rPr/>
              <w:t>15</w:t>
            </w:r>
          </w:p>
        </w:tc>
        <w:tc>
          <w:tcPr>
            <w:tcW w:w="75" w:type="dxa"/>
            <w:tcBorders/>
            <w:shd w:fill="CCEEFF" w:val="clear"/>
            <w:vAlign w:val="center"/>
          </w:tcPr>
          <w:p>
            <w:pPr>
              <w:pStyle w:val="TableContents"/>
              <w:spacing w:before="0" w:after="283"/>
              <w:rPr/>
            </w:pPr>
            <w:r>
              <w:rPr/>
              <w:t> </w:t>
            </w:r>
          </w:p>
        </w:tc>
      </w:tr>
    </w:tbl>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43 </w:t>
      </w:r>
    </w:p>
    <w:p>
      <w:pPr>
        <w:pStyle w:val="HorizontalLine"/>
        <w:rPr/>
      </w:pPr>
      <w:r>
        <w:rPr/>
      </w:r>
    </w:p>
    <w:p>
      <w:pPr>
        <w:pStyle w:val="TextBody"/>
        <w:spacing w:before="0" w:after="0"/>
        <w:rPr/>
      </w:pPr>
      <w:hyperlink w:anchor="toc">
        <w:r>
          <w:rPr>
            <w:rStyle w:val="InternetLink"/>
            <w:b/>
            <w:sz w:val="20"/>
          </w:rPr>
          <w:t>Table of Contents</w:t>
        </w:r>
      </w:hyperlink>
    </w:p>
    <w:p>
      <w:pPr>
        <w:pStyle w:val="TextBody"/>
        <w:spacing w:before="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Reconciliations of </w:t>
      </w:r>
    </w:p>
    <w:p>
      <w:pPr>
        <w:pStyle w:val="TextBody"/>
        <w:spacing w:before="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Non-GAAP</w:t>
      </w:r>
    </w:p>
    <w:p>
      <w:pPr>
        <w:pStyle w:val="TextBody"/>
        <w:spacing w:before="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Financial Measures </w:t>
      </w:r>
    </w:p>
    <w:p>
      <w:pPr>
        <w:pStyle w:val="TextBody"/>
        <w:spacing w:before="12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Adjusted EBITDA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The following table reconciles Net income to Adjusted EBITDA for the periods indicated: </w:t>
      </w:r>
    </w:p>
    <w:p>
      <w:pPr>
        <w:pStyle w:val="TextBody"/>
        <w:spacing w:before="0" w:after="0"/>
        <w:jc w:val="left"/>
        <w:rPr>
          <w:spacing w:val="0"/>
        </w:rPr>
      </w:pPr>
      <w:r>
        <w:rPr>
          <w:spacing w:val="0"/>
        </w:rPr>
        <w:t> </w:t>
      </w:r>
    </w:p>
    <w:tbl>
      <w:tblPr>
        <w:tblW w:w="7774" w:type="dxa"/>
        <w:jc w:val="left"/>
        <w:tblInd w:w="0" w:type="dxa"/>
        <w:tblCellMar>
          <w:top w:w="0" w:type="dxa"/>
          <w:left w:w="0" w:type="dxa"/>
          <w:bottom w:w="0" w:type="dxa"/>
          <w:right w:w="0" w:type="dxa"/>
        </w:tblCellMar>
      </w:tblPr>
      <w:tblGrid>
        <w:gridCol w:w="3215"/>
        <w:gridCol w:w="120"/>
        <w:gridCol w:w="165"/>
        <w:gridCol w:w="943"/>
        <w:gridCol w:w="70"/>
        <w:gridCol w:w="141"/>
        <w:gridCol w:w="70"/>
        <w:gridCol w:w="518"/>
        <w:gridCol w:w="275"/>
        <w:gridCol w:w="60"/>
        <w:gridCol w:w="165"/>
        <w:gridCol w:w="943"/>
        <w:gridCol w:w="70"/>
        <w:gridCol w:w="141"/>
        <w:gridCol w:w="70"/>
        <w:gridCol w:w="518"/>
        <w:gridCol w:w="290"/>
      </w:tblGrid>
      <w:tr>
        <w:trPr/>
        <w:tc>
          <w:tcPr>
            <w:tcW w:w="321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943" w:type="dxa"/>
            <w:tcBorders/>
            <w:shd w:fill="auto" w:val="clear"/>
            <w:vAlign w:val="center"/>
          </w:tcPr>
          <w:p>
            <w:pPr>
              <w:pStyle w:val="TableContents"/>
              <w:spacing w:before="0" w:after="283"/>
              <w:rPr>
                <w:sz w:val="4"/>
                <w:szCs w:val="4"/>
              </w:rPr>
            </w:pPr>
            <w:r>
              <w:rPr>
                <w:sz w:val="4"/>
                <w:szCs w:val="4"/>
              </w:rPr>
            </w:r>
          </w:p>
        </w:tc>
        <w:tc>
          <w:tcPr>
            <w:tcW w:w="70"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70" w:type="dxa"/>
            <w:tcBorders/>
            <w:shd w:fill="auto" w:val="clear"/>
            <w:vAlign w:val="center"/>
          </w:tcPr>
          <w:p>
            <w:pPr>
              <w:pStyle w:val="TableContents"/>
              <w:spacing w:before="0" w:after="283"/>
              <w:rPr>
                <w:sz w:val="4"/>
                <w:szCs w:val="4"/>
              </w:rPr>
            </w:pPr>
            <w:r>
              <w:rPr>
                <w:sz w:val="4"/>
                <w:szCs w:val="4"/>
              </w:rPr>
            </w:r>
          </w:p>
        </w:tc>
        <w:tc>
          <w:tcPr>
            <w:tcW w:w="518"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943" w:type="dxa"/>
            <w:tcBorders/>
            <w:shd w:fill="auto" w:val="clear"/>
            <w:vAlign w:val="center"/>
          </w:tcPr>
          <w:p>
            <w:pPr>
              <w:pStyle w:val="TableContents"/>
              <w:spacing w:before="0" w:after="283"/>
              <w:rPr>
                <w:sz w:val="4"/>
                <w:szCs w:val="4"/>
              </w:rPr>
            </w:pPr>
            <w:r>
              <w:rPr>
                <w:sz w:val="4"/>
                <w:szCs w:val="4"/>
              </w:rPr>
            </w:r>
          </w:p>
        </w:tc>
        <w:tc>
          <w:tcPr>
            <w:tcW w:w="70"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70" w:type="dxa"/>
            <w:tcBorders/>
            <w:shd w:fill="auto" w:val="clear"/>
            <w:vAlign w:val="center"/>
          </w:tcPr>
          <w:p>
            <w:pPr>
              <w:pStyle w:val="TableContents"/>
              <w:spacing w:before="0" w:after="283"/>
              <w:rPr>
                <w:sz w:val="4"/>
                <w:szCs w:val="4"/>
              </w:rPr>
            </w:pPr>
            <w:r>
              <w:rPr>
                <w:sz w:val="4"/>
                <w:szCs w:val="4"/>
              </w:rPr>
            </w:r>
          </w:p>
        </w:tc>
        <w:tc>
          <w:tcPr>
            <w:tcW w:w="518"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r>
      <w:tr>
        <w:trPr/>
        <w:tc>
          <w:tcPr>
            <w:tcW w:w="321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907" w:type="dxa"/>
            <w:gridSpan w:val="6"/>
            <w:tcBorders/>
            <w:shd w:fill="auto" w:val="clear"/>
            <w:vAlign w:val="center"/>
          </w:tcPr>
          <w:p>
            <w:pPr>
              <w:pStyle w:val="TableContents"/>
              <w:spacing w:before="0" w:after="0"/>
              <w:jc w:val="center"/>
              <w:rPr>
                <w:b/>
                <w:spacing w:val="0"/>
              </w:rPr>
            </w:pPr>
            <w:r>
              <w:rPr>
                <w:b/>
                <w:spacing w:val="0"/>
              </w:rPr>
              <w:t>Fiscal Year Ended</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907" w:type="dxa"/>
            <w:gridSpan w:val="6"/>
            <w:tcBorders/>
            <w:shd w:fill="auto" w:val="clear"/>
            <w:vAlign w:val="center"/>
          </w:tcPr>
          <w:p>
            <w:pPr>
              <w:pStyle w:val="TableContents"/>
              <w:spacing w:before="0" w:after="0"/>
              <w:jc w:val="center"/>
              <w:rPr>
                <w:b/>
                <w:spacing w:val="0"/>
              </w:rPr>
            </w:pPr>
            <w:r>
              <w:rPr>
                <w:b/>
                <w:spacing w:val="0"/>
              </w:rPr>
              <w:t>Fiscal Year Ended</w:t>
            </w:r>
          </w:p>
        </w:tc>
        <w:tc>
          <w:tcPr>
            <w:tcW w:w="290" w:type="dxa"/>
            <w:tcBorders/>
            <w:shd w:fill="auto" w:val="clear"/>
            <w:vAlign w:val="center"/>
          </w:tcPr>
          <w:p>
            <w:pPr>
              <w:pStyle w:val="TableContents"/>
              <w:spacing w:before="0" w:after="283"/>
              <w:rPr/>
            </w:pPr>
            <w:r>
              <w:rPr/>
              <w:t> </w:t>
            </w:r>
          </w:p>
        </w:tc>
      </w:tr>
      <w:tr>
        <w:trPr/>
        <w:tc>
          <w:tcPr>
            <w:tcW w:w="321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907" w:type="dxa"/>
            <w:gridSpan w:val="6"/>
            <w:tcBorders/>
            <w:shd w:fill="auto" w:val="clear"/>
            <w:vAlign w:val="center"/>
          </w:tcPr>
          <w:p>
            <w:pPr>
              <w:pStyle w:val="TableContents"/>
              <w:spacing w:before="0" w:after="0"/>
              <w:jc w:val="center"/>
              <w:rPr>
                <w:b/>
                <w:spacing w:val="0"/>
              </w:rPr>
            </w:pPr>
            <w:r>
              <w:rPr>
                <w:b/>
                <w:spacing w:val="0"/>
              </w:rPr>
              <w:t>February 2, 2020</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907" w:type="dxa"/>
            <w:gridSpan w:val="6"/>
            <w:tcBorders/>
            <w:shd w:fill="auto" w:val="clear"/>
            <w:vAlign w:val="center"/>
          </w:tcPr>
          <w:p>
            <w:pPr>
              <w:pStyle w:val="TableContents"/>
              <w:spacing w:before="0" w:after="0"/>
              <w:jc w:val="center"/>
              <w:rPr>
                <w:b/>
                <w:spacing w:val="0"/>
              </w:rPr>
            </w:pPr>
            <w:r>
              <w:rPr>
                <w:b/>
                <w:spacing w:val="0"/>
              </w:rPr>
              <w:t>February 3, 2019</w:t>
            </w:r>
          </w:p>
        </w:tc>
        <w:tc>
          <w:tcPr>
            <w:tcW w:w="290" w:type="dxa"/>
            <w:tcBorders/>
            <w:shd w:fill="auto" w:val="clear"/>
            <w:vAlign w:val="center"/>
          </w:tcPr>
          <w:p>
            <w:pPr>
              <w:pStyle w:val="TableContents"/>
              <w:spacing w:before="0" w:after="283"/>
              <w:rPr/>
            </w:pPr>
            <w:r>
              <w:rPr/>
              <w:t> </w:t>
            </w:r>
          </w:p>
        </w:tc>
      </w:tr>
      <w:tr>
        <w:trPr/>
        <w:tc>
          <w:tcPr>
            <w:tcW w:w="321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Net income</w:t>
            </w:r>
          </w:p>
        </w:tc>
        <w:tc>
          <w:tcPr>
            <w:tcW w:w="120" w:type="dxa"/>
            <w:tcBorders/>
            <w:shd w:fill="CCEEFF" w:val="clear"/>
            <w:vAlign w:val="center"/>
          </w:tcPr>
          <w:p>
            <w:pPr>
              <w:pStyle w:val="TableContents"/>
              <w:spacing w:before="0" w:after="283"/>
              <w:rPr/>
            </w:pPr>
            <w:r>
              <w:rPr/>
              <w:t>  </w:t>
            </w:r>
          </w:p>
        </w:tc>
        <w:tc>
          <w:tcPr>
            <w:tcW w:w="165" w:type="dxa"/>
            <w:tcBorders/>
            <w:shd w:fill="CCEEFF" w:val="clear"/>
            <w:vAlign w:val="center"/>
          </w:tcPr>
          <w:p>
            <w:pPr>
              <w:pStyle w:val="TableContents"/>
              <w:spacing w:before="0" w:after="283"/>
              <w:rPr/>
            </w:pPr>
            <w:r>
              <w:rPr/>
              <w:t>$</w:t>
            </w:r>
          </w:p>
        </w:tc>
        <w:tc>
          <w:tcPr>
            <w:tcW w:w="943" w:type="dxa"/>
            <w:tcBorders/>
            <w:shd w:fill="CCEEFF" w:val="clear"/>
            <w:vAlign w:val="center"/>
          </w:tcPr>
          <w:p>
            <w:pPr>
              <w:pStyle w:val="TableContents"/>
              <w:spacing w:before="0" w:after="283"/>
              <w:jc w:val="right"/>
              <w:rPr/>
            </w:pPr>
            <w:r>
              <w:rPr/>
              <w:t>100,263</w:t>
            </w:r>
          </w:p>
        </w:tc>
        <w:tc>
          <w:tcPr>
            <w:tcW w:w="70" w:type="dxa"/>
            <w:tcBorders/>
            <w:shd w:fill="CCEEFF" w:val="clear"/>
            <w:vAlign w:val="center"/>
          </w:tcPr>
          <w:p>
            <w:pPr>
              <w:pStyle w:val="TableContents"/>
              <w:spacing w:before="0" w:after="283"/>
              <w:rPr/>
            </w:pPr>
            <w:r>
              <w:rPr/>
              <w:t> </w:t>
            </w:r>
          </w:p>
        </w:tc>
        <w:tc>
          <w:tcPr>
            <w:tcW w:w="141" w:type="dxa"/>
            <w:tcBorders/>
            <w:shd w:fill="CCEEFF" w:val="clear"/>
            <w:vAlign w:val="center"/>
          </w:tcPr>
          <w:p>
            <w:pPr>
              <w:pStyle w:val="TableContents"/>
              <w:spacing w:before="0" w:after="283"/>
              <w:rPr/>
            </w:pPr>
            <w:r>
              <w:rPr/>
              <w:t>  </w:t>
            </w:r>
          </w:p>
        </w:tc>
        <w:tc>
          <w:tcPr>
            <w:tcW w:w="70" w:type="dxa"/>
            <w:tcBorders/>
            <w:shd w:fill="CCEEFF" w:val="clear"/>
            <w:vAlign w:val="center"/>
          </w:tcPr>
          <w:p>
            <w:pPr>
              <w:pStyle w:val="TableContents"/>
              <w:spacing w:before="0" w:after="283"/>
              <w:rPr/>
            </w:pPr>
            <w:r>
              <w:rPr/>
              <w:t> </w:t>
            </w:r>
          </w:p>
        </w:tc>
        <w:tc>
          <w:tcPr>
            <w:tcW w:w="518" w:type="dxa"/>
            <w:tcBorders/>
            <w:shd w:fill="CCEEFF" w:val="clear"/>
            <w:vAlign w:val="center"/>
          </w:tcPr>
          <w:p>
            <w:pPr>
              <w:pStyle w:val="TableContents"/>
              <w:spacing w:before="0" w:after="283"/>
              <w:jc w:val="right"/>
              <w:rPr/>
            </w:pPr>
            <w:r>
              <w:rPr/>
              <w:t>7.4</w:t>
            </w:r>
          </w:p>
        </w:tc>
        <w:tc>
          <w:tcPr>
            <w:tcW w:w="27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65" w:type="dxa"/>
            <w:tcBorders/>
            <w:shd w:fill="CCEEFF" w:val="clear"/>
            <w:vAlign w:val="center"/>
          </w:tcPr>
          <w:p>
            <w:pPr>
              <w:pStyle w:val="TableContents"/>
              <w:spacing w:before="0" w:after="283"/>
              <w:rPr/>
            </w:pPr>
            <w:r>
              <w:rPr/>
              <w:t>$</w:t>
            </w:r>
          </w:p>
        </w:tc>
        <w:tc>
          <w:tcPr>
            <w:tcW w:w="943" w:type="dxa"/>
            <w:tcBorders/>
            <w:shd w:fill="CCEEFF" w:val="clear"/>
            <w:vAlign w:val="center"/>
          </w:tcPr>
          <w:p>
            <w:pPr>
              <w:pStyle w:val="TableContents"/>
              <w:spacing w:before="0" w:after="283"/>
              <w:jc w:val="right"/>
              <w:rPr/>
            </w:pPr>
            <w:r>
              <w:rPr/>
              <w:t>117,221</w:t>
            </w:r>
          </w:p>
        </w:tc>
        <w:tc>
          <w:tcPr>
            <w:tcW w:w="70" w:type="dxa"/>
            <w:tcBorders/>
            <w:shd w:fill="CCEEFF" w:val="clear"/>
            <w:vAlign w:val="center"/>
          </w:tcPr>
          <w:p>
            <w:pPr>
              <w:pStyle w:val="TableContents"/>
              <w:spacing w:before="0" w:after="283"/>
              <w:rPr/>
            </w:pPr>
            <w:r>
              <w:rPr/>
              <w:t> </w:t>
            </w:r>
          </w:p>
        </w:tc>
        <w:tc>
          <w:tcPr>
            <w:tcW w:w="141" w:type="dxa"/>
            <w:tcBorders/>
            <w:shd w:fill="CCEEFF" w:val="clear"/>
            <w:vAlign w:val="center"/>
          </w:tcPr>
          <w:p>
            <w:pPr>
              <w:pStyle w:val="TableContents"/>
              <w:spacing w:before="0" w:after="283"/>
              <w:rPr/>
            </w:pPr>
            <w:r>
              <w:rPr/>
              <w:t>  </w:t>
            </w:r>
          </w:p>
        </w:tc>
        <w:tc>
          <w:tcPr>
            <w:tcW w:w="70" w:type="dxa"/>
            <w:tcBorders/>
            <w:shd w:fill="CCEEFF" w:val="clear"/>
            <w:vAlign w:val="center"/>
          </w:tcPr>
          <w:p>
            <w:pPr>
              <w:pStyle w:val="TableContents"/>
              <w:spacing w:before="0" w:after="283"/>
              <w:rPr/>
            </w:pPr>
            <w:r>
              <w:rPr/>
              <w:t> </w:t>
            </w:r>
          </w:p>
        </w:tc>
        <w:tc>
          <w:tcPr>
            <w:tcW w:w="518" w:type="dxa"/>
            <w:tcBorders/>
            <w:shd w:fill="CCEEFF" w:val="clear"/>
            <w:vAlign w:val="center"/>
          </w:tcPr>
          <w:p>
            <w:pPr>
              <w:pStyle w:val="TableContents"/>
              <w:spacing w:before="0" w:after="283"/>
              <w:jc w:val="right"/>
              <w:rPr/>
            </w:pPr>
            <w:r>
              <w:rPr/>
              <w:t>9.3</w:t>
            </w:r>
          </w:p>
        </w:tc>
        <w:tc>
          <w:tcPr>
            <w:tcW w:w="290" w:type="dxa"/>
            <w:tcBorders/>
            <w:shd w:fill="CCEEFF" w:val="clear"/>
            <w:vAlign w:val="center"/>
          </w:tcPr>
          <w:p>
            <w:pPr>
              <w:pStyle w:val="TableContents"/>
              <w:spacing w:before="0" w:after="283"/>
              <w:rPr/>
            </w:pPr>
            <w:r>
              <w:rPr/>
              <w:t>% </w:t>
            </w:r>
          </w:p>
        </w:tc>
      </w:tr>
      <w:tr>
        <w:trPr/>
        <w:tc>
          <w:tcPr>
            <w:tcW w:w="321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Interest expense, net</w:t>
            </w:r>
          </w:p>
        </w:tc>
        <w:tc>
          <w:tcPr>
            <w:tcW w:w="120" w:type="dxa"/>
            <w:tcBorders/>
            <w:shd w:fill="auto" w:val="clear"/>
            <w:vAlign w:val="center"/>
          </w:tcPr>
          <w:p>
            <w:pPr>
              <w:pStyle w:val="TableContents"/>
              <w:spacing w:before="0" w:after="283"/>
              <w:rPr/>
            </w:pPr>
            <w:r>
              <w:rPr/>
              <w:t>  </w:t>
            </w:r>
          </w:p>
        </w:tc>
        <w:tc>
          <w:tcPr>
            <w:tcW w:w="165" w:type="dxa"/>
            <w:tcBorders/>
            <w:shd w:fill="auto" w:val="clear"/>
            <w:vAlign w:val="center"/>
          </w:tcPr>
          <w:p>
            <w:pPr>
              <w:pStyle w:val="TableContents"/>
              <w:spacing w:before="0" w:after="283"/>
              <w:rPr/>
            </w:pPr>
            <w:r>
              <w:rPr/>
              <w:t> </w:t>
            </w:r>
          </w:p>
        </w:tc>
        <w:tc>
          <w:tcPr>
            <w:tcW w:w="943" w:type="dxa"/>
            <w:tcBorders/>
            <w:shd w:fill="auto" w:val="clear"/>
            <w:vAlign w:val="center"/>
          </w:tcPr>
          <w:p>
            <w:pPr>
              <w:pStyle w:val="TableContents"/>
              <w:spacing w:before="0" w:after="283"/>
              <w:jc w:val="right"/>
              <w:rPr/>
            </w:pPr>
            <w:r>
              <w:rPr/>
              <w:t>20,937</w:t>
            </w:r>
          </w:p>
        </w:tc>
        <w:tc>
          <w:tcPr>
            <w:tcW w:w="70" w:type="dxa"/>
            <w:tcBorders/>
            <w:shd w:fill="auto" w:val="clear"/>
            <w:vAlign w:val="center"/>
          </w:tcPr>
          <w:p>
            <w:pPr>
              <w:pStyle w:val="TableContents"/>
              <w:spacing w:before="0" w:after="283"/>
              <w:rPr/>
            </w:pPr>
            <w:r>
              <w:rPr/>
              <w:t> </w:t>
            </w:r>
          </w:p>
        </w:tc>
        <w:tc>
          <w:tcPr>
            <w:tcW w:w="141" w:type="dxa"/>
            <w:tcBorders/>
            <w:shd w:fill="auto" w:val="clear"/>
            <w:vAlign w:val="center"/>
          </w:tcPr>
          <w:p>
            <w:pPr>
              <w:pStyle w:val="TableContents"/>
              <w:spacing w:before="0" w:after="283"/>
              <w:rPr/>
            </w:pPr>
            <w:r>
              <w:rPr/>
              <w:t>  </w:t>
            </w:r>
          </w:p>
        </w:tc>
        <w:tc>
          <w:tcPr>
            <w:tcW w:w="70" w:type="dxa"/>
            <w:tcBorders/>
            <w:shd w:fill="auto" w:val="clear"/>
            <w:vAlign w:val="center"/>
          </w:tcPr>
          <w:p>
            <w:pPr>
              <w:pStyle w:val="TableContents"/>
              <w:spacing w:before="0" w:after="283"/>
              <w:rPr>
                <w:sz w:val="4"/>
                <w:szCs w:val="4"/>
              </w:rPr>
            </w:pPr>
            <w:r>
              <w:rPr>
                <w:sz w:val="4"/>
                <w:szCs w:val="4"/>
              </w:rPr>
            </w:r>
          </w:p>
        </w:tc>
        <w:tc>
          <w:tcPr>
            <w:tcW w:w="518"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65" w:type="dxa"/>
            <w:tcBorders/>
            <w:shd w:fill="auto" w:val="clear"/>
            <w:vAlign w:val="center"/>
          </w:tcPr>
          <w:p>
            <w:pPr>
              <w:pStyle w:val="TableContents"/>
              <w:spacing w:before="0" w:after="283"/>
              <w:rPr/>
            </w:pPr>
            <w:r>
              <w:rPr/>
              <w:t> </w:t>
            </w:r>
          </w:p>
        </w:tc>
        <w:tc>
          <w:tcPr>
            <w:tcW w:w="943" w:type="dxa"/>
            <w:tcBorders/>
            <w:shd w:fill="auto" w:val="clear"/>
            <w:vAlign w:val="center"/>
          </w:tcPr>
          <w:p>
            <w:pPr>
              <w:pStyle w:val="TableContents"/>
              <w:spacing w:before="0" w:after="283"/>
              <w:jc w:val="right"/>
              <w:rPr/>
            </w:pPr>
            <w:r>
              <w:rPr/>
              <w:t>13,113</w:t>
            </w:r>
          </w:p>
        </w:tc>
        <w:tc>
          <w:tcPr>
            <w:tcW w:w="70" w:type="dxa"/>
            <w:tcBorders/>
            <w:shd w:fill="auto" w:val="clear"/>
            <w:vAlign w:val="center"/>
          </w:tcPr>
          <w:p>
            <w:pPr>
              <w:pStyle w:val="TableContents"/>
              <w:spacing w:before="0" w:after="283"/>
              <w:rPr/>
            </w:pPr>
            <w:r>
              <w:rPr/>
              <w:t> </w:t>
            </w:r>
          </w:p>
        </w:tc>
        <w:tc>
          <w:tcPr>
            <w:tcW w:w="141" w:type="dxa"/>
            <w:tcBorders/>
            <w:shd w:fill="auto" w:val="clear"/>
            <w:vAlign w:val="center"/>
          </w:tcPr>
          <w:p>
            <w:pPr>
              <w:pStyle w:val="TableContents"/>
              <w:spacing w:before="0" w:after="283"/>
              <w:rPr/>
            </w:pPr>
            <w:r>
              <w:rPr/>
              <w:t>  </w:t>
            </w:r>
          </w:p>
        </w:tc>
        <w:tc>
          <w:tcPr>
            <w:tcW w:w="70" w:type="dxa"/>
            <w:tcBorders/>
            <w:shd w:fill="auto" w:val="clear"/>
            <w:vAlign w:val="center"/>
          </w:tcPr>
          <w:p>
            <w:pPr>
              <w:pStyle w:val="TableContents"/>
              <w:spacing w:before="0" w:after="283"/>
              <w:rPr>
                <w:sz w:val="4"/>
                <w:szCs w:val="4"/>
              </w:rPr>
            </w:pPr>
            <w:r>
              <w:rPr>
                <w:sz w:val="4"/>
                <w:szCs w:val="4"/>
              </w:rPr>
            </w:r>
          </w:p>
        </w:tc>
        <w:tc>
          <w:tcPr>
            <w:tcW w:w="518"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r>
      <w:tr>
        <w:trPr/>
        <w:tc>
          <w:tcPr>
            <w:tcW w:w="321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Provision for income tax</w:t>
            </w:r>
          </w:p>
        </w:tc>
        <w:tc>
          <w:tcPr>
            <w:tcW w:w="120" w:type="dxa"/>
            <w:tcBorders/>
            <w:shd w:fill="CCEEFF" w:val="clear"/>
            <w:vAlign w:val="center"/>
          </w:tcPr>
          <w:p>
            <w:pPr>
              <w:pStyle w:val="TableContents"/>
              <w:spacing w:before="0" w:after="283"/>
              <w:rPr/>
            </w:pPr>
            <w:r>
              <w:rPr/>
              <w:t>  </w:t>
            </w:r>
          </w:p>
        </w:tc>
        <w:tc>
          <w:tcPr>
            <w:tcW w:w="165" w:type="dxa"/>
            <w:tcBorders/>
            <w:shd w:fill="CCEEFF" w:val="clear"/>
            <w:vAlign w:val="center"/>
          </w:tcPr>
          <w:p>
            <w:pPr>
              <w:pStyle w:val="TableContents"/>
              <w:spacing w:before="0" w:after="283"/>
              <w:rPr/>
            </w:pPr>
            <w:r>
              <w:rPr/>
              <w:t> </w:t>
            </w:r>
          </w:p>
        </w:tc>
        <w:tc>
          <w:tcPr>
            <w:tcW w:w="943" w:type="dxa"/>
            <w:tcBorders/>
            <w:shd w:fill="CCEEFF" w:val="clear"/>
            <w:vAlign w:val="center"/>
          </w:tcPr>
          <w:p>
            <w:pPr>
              <w:pStyle w:val="TableContents"/>
              <w:spacing w:before="0" w:after="283"/>
              <w:jc w:val="right"/>
              <w:rPr/>
            </w:pPr>
            <w:r>
              <w:rPr/>
              <w:t>26,879</w:t>
            </w:r>
          </w:p>
        </w:tc>
        <w:tc>
          <w:tcPr>
            <w:tcW w:w="70" w:type="dxa"/>
            <w:tcBorders/>
            <w:shd w:fill="CCEEFF" w:val="clear"/>
            <w:vAlign w:val="center"/>
          </w:tcPr>
          <w:p>
            <w:pPr>
              <w:pStyle w:val="TableContents"/>
              <w:spacing w:before="0" w:after="283"/>
              <w:rPr/>
            </w:pPr>
            <w:r>
              <w:rPr/>
              <w:t> </w:t>
            </w:r>
          </w:p>
        </w:tc>
        <w:tc>
          <w:tcPr>
            <w:tcW w:w="141" w:type="dxa"/>
            <w:tcBorders/>
            <w:shd w:fill="CCEEFF" w:val="clear"/>
            <w:vAlign w:val="center"/>
          </w:tcPr>
          <w:p>
            <w:pPr>
              <w:pStyle w:val="TableContents"/>
              <w:spacing w:before="0" w:after="283"/>
              <w:rPr/>
            </w:pPr>
            <w:r>
              <w:rPr/>
              <w:t>  </w:t>
            </w:r>
          </w:p>
        </w:tc>
        <w:tc>
          <w:tcPr>
            <w:tcW w:w="70" w:type="dxa"/>
            <w:tcBorders/>
            <w:shd w:fill="CCEEFF" w:val="clear"/>
            <w:vAlign w:val="center"/>
          </w:tcPr>
          <w:p>
            <w:pPr>
              <w:pStyle w:val="TableContents"/>
              <w:spacing w:before="0" w:after="283"/>
              <w:rPr>
                <w:sz w:val="4"/>
                <w:szCs w:val="4"/>
              </w:rPr>
            </w:pPr>
            <w:r>
              <w:rPr>
                <w:sz w:val="4"/>
                <w:szCs w:val="4"/>
              </w:rPr>
            </w:r>
          </w:p>
        </w:tc>
        <w:tc>
          <w:tcPr>
            <w:tcW w:w="518" w:type="dxa"/>
            <w:tcBorders/>
            <w:shd w:fill="CCEEFF" w:val="clear"/>
            <w:vAlign w:val="center"/>
          </w:tcPr>
          <w:p>
            <w:pPr>
              <w:pStyle w:val="TableContents"/>
              <w:spacing w:before="0" w:after="283"/>
              <w:rPr>
                <w:sz w:val="4"/>
                <w:szCs w:val="4"/>
              </w:rPr>
            </w:pPr>
            <w:r>
              <w:rPr>
                <w:sz w:val="4"/>
                <w:szCs w:val="4"/>
              </w:rPr>
            </w:r>
          </w:p>
        </w:tc>
        <w:tc>
          <w:tcPr>
            <w:tcW w:w="275"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pPr>
            <w:r>
              <w:rPr/>
              <w:t> </w:t>
            </w:r>
          </w:p>
        </w:tc>
        <w:tc>
          <w:tcPr>
            <w:tcW w:w="165" w:type="dxa"/>
            <w:tcBorders/>
            <w:shd w:fill="CCEEFF" w:val="clear"/>
            <w:vAlign w:val="center"/>
          </w:tcPr>
          <w:p>
            <w:pPr>
              <w:pStyle w:val="TableContents"/>
              <w:spacing w:before="0" w:after="283"/>
              <w:rPr/>
            </w:pPr>
            <w:r>
              <w:rPr/>
              <w:t> </w:t>
            </w:r>
          </w:p>
        </w:tc>
        <w:tc>
          <w:tcPr>
            <w:tcW w:w="943" w:type="dxa"/>
            <w:tcBorders/>
            <w:shd w:fill="CCEEFF" w:val="clear"/>
            <w:vAlign w:val="center"/>
          </w:tcPr>
          <w:p>
            <w:pPr>
              <w:pStyle w:val="TableContents"/>
              <w:spacing w:before="0" w:after="283"/>
              <w:jc w:val="right"/>
              <w:rPr/>
            </w:pPr>
            <w:r>
              <w:rPr/>
              <w:t>30,666</w:t>
            </w:r>
          </w:p>
        </w:tc>
        <w:tc>
          <w:tcPr>
            <w:tcW w:w="70" w:type="dxa"/>
            <w:tcBorders/>
            <w:shd w:fill="CCEEFF" w:val="clear"/>
            <w:vAlign w:val="center"/>
          </w:tcPr>
          <w:p>
            <w:pPr>
              <w:pStyle w:val="TableContents"/>
              <w:spacing w:before="0" w:after="283"/>
              <w:rPr/>
            </w:pPr>
            <w:r>
              <w:rPr/>
              <w:t> </w:t>
            </w:r>
          </w:p>
        </w:tc>
        <w:tc>
          <w:tcPr>
            <w:tcW w:w="141" w:type="dxa"/>
            <w:tcBorders/>
            <w:shd w:fill="CCEEFF" w:val="clear"/>
            <w:vAlign w:val="center"/>
          </w:tcPr>
          <w:p>
            <w:pPr>
              <w:pStyle w:val="TableContents"/>
              <w:spacing w:before="0" w:after="283"/>
              <w:rPr/>
            </w:pPr>
            <w:r>
              <w:rPr/>
              <w:t>  </w:t>
            </w:r>
          </w:p>
        </w:tc>
        <w:tc>
          <w:tcPr>
            <w:tcW w:w="70" w:type="dxa"/>
            <w:tcBorders/>
            <w:shd w:fill="CCEEFF" w:val="clear"/>
            <w:vAlign w:val="center"/>
          </w:tcPr>
          <w:p>
            <w:pPr>
              <w:pStyle w:val="TableContents"/>
              <w:spacing w:before="0" w:after="283"/>
              <w:rPr>
                <w:sz w:val="4"/>
                <w:szCs w:val="4"/>
              </w:rPr>
            </w:pPr>
            <w:r>
              <w:rPr>
                <w:sz w:val="4"/>
                <w:szCs w:val="4"/>
              </w:rPr>
            </w:r>
          </w:p>
        </w:tc>
        <w:tc>
          <w:tcPr>
            <w:tcW w:w="518" w:type="dxa"/>
            <w:tcBorders/>
            <w:shd w:fill="CCEEFF" w:val="clear"/>
            <w:vAlign w:val="center"/>
          </w:tcPr>
          <w:p>
            <w:pPr>
              <w:pStyle w:val="TableContents"/>
              <w:spacing w:before="0" w:after="283"/>
              <w:rPr>
                <w:sz w:val="4"/>
                <w:szCs w:val="4"/>
              </w:rPr>
            </w:pPr>
            <w:r>
              <w:rPr>
                <w:sz w:val="4"/>
                <w:szCs w:val="4"/>
              </w:rPr>
            </w:r>
          </w:p>
        </w:tc>
        <w:tc>
          <w:tcPr>
            <w:tcW w:w="290" w:type="dxa"/>
            <w:tcBorders/>
            <w:shd w:fill="CCEEFF" w:val="clear"/>
            <w:vAlign w:val="center"/>
          </w:tcPr>
          <w:p>
            <w:pPr>
              <w:pStyle w:val="TableContents"/>
              <w:spacing w:before="0" w:after="283"/>
              <w:rPr>
                <w:sz w:val="4"/>
                <w:szCs w:val="4"/>
              </w:rPr>
            </w:pPr>
            <w:r>
              <w:rPr>
                <w:sz w:val="4"/>
                <w:szCs w:val="4"/>
              </w:rPr>
            </w:r>
          </w:p>
        </w:tc>
      </w:tr>
      <w:tr>
        <w:trPr/>
        <w:tc>
          <w:tcPr>
            <w:tcW w:w="321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65" w:type="dxa"/>
            <w:tcBorders/>
            <w:shd w:fill="auto" w:val="clear"/>
            <w:vAlign w:val="center"/>
          </w:tcPr>
          <w:p>
            <w:pPr>
              <w:pStyle w:val="TableContents"/>
              <w:spacing w:before="0" w:after="283"/>
              <w:rPr>
                <w:sz w:val="4"/>
                <w:szCs w:val="4"/>
              </w:rPr>
            </w:pPr>
            <w:r>
              <w:rPr>
                <w:sz w:val="4"/>
                <w:szCs w:val="4"/>
              </w:rPr>
            </w:r>
          </w:p>
        </w:tc>
        <w:tc>
          <w:tcPr>
            <w:tcW w:w="943" w:type="dxa"/>
            <w:tcBorders/>
            <w:shd w:fill="auto" w:val="clear"/>
            <w:vAlign w:val="center"/>
          </w:tcPr>
          <w:p>
            <w:pPr>
              <w:pStyle w:val="TableContents"/>
              <w:spacing w:before="0" w:after="283"/>
              <w:rPr>
                <w:sz w:val="4"/>
                <w:szCs w:val="4"/>
              </w:rPr>
            </w:pPr>
            <w:r>
              <w:rPr>
                <w:sz w:val="4"/>
                <w:szCs w:val="4"/>
              </w:rPr>
            </w:r>
          </w:p>
        </w:tc>
        <w:tc>
          <w:tcPr>
            <w:tcW w:w="70"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pPr>
            <w:r>
              <w:rPr/>
              <w:t>  </w:t>
            </w:r>
          </w:p>
        </w:tc>
        <w:tc>
          <w:tcPr>
            <w:tcW w:w="70" w:type="dxa"/>
            <w:tcBorders/>
            <w:shd w:fill="auto" w:val="clear"/>
            <w:vAlign w:val="center"/>
          </w:tcPr>
          <w:p>
            <w:pPr>
              <w:pStyle w:val="TableContents"/>
              <w:spacing w:before="0" w:after="283"/>
              <w:rPr>
                <w:sz w:val="4"/>
                <w:szCs w:val="4"/>
              </w:rPr>
            </w:pPr>
            <w:r>
              <w:rPr>
                <w:sz w:val="4"/>
                <w:szCs w:val="4"/>
              </w:rPr>
            </w:r>
          </w:p>
        </w:tc>
        <w:tc>
          <w:tcPr>
            <w:tcW w:w="518"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65" w:type="dxa"/>
            <w:tcBorders/>
            <w:shd w:fill="auto" w:val="clear"/>
            <w:vAlign w:val="center"/>
          </w:tcPr>
          <w:p>
            <w:pPr>
              <w:pStyle w:val="TableContents"/>
              <w:spacing w:before="0" w:after="283"/>
              <w:rPr>
                <w:sz w:val="4"/>
                <w:szCs w:val="4"/>
              </w:rPr>
            </w:pPr>
            <w:r>
              <w:rPr>
                <w:sz w:val="4"/>
                <w:szCs w:val="4"/>
              </w:rPr>
            </w:r>
          </w:p>
        </w:tc>
        <w:tc>
          <w:tcPr>
            <w:tcW w:w="943" w:type="dxa"/>
            <w:tcBorders/>
            <w:shd w:fill="auto" w:val="clear"/>
            <w:vAlign w:val="center"/>
          </w:tcPr>
          <w:p>
            <w:pPr>
              <w:pStyle w:val="TableContents"/>
              <w:spacing w:before="0" w:after="283"/>
              <w:rPr>
                <w:sz w:val="4"/>
                <w:szCs w:val="4"/>
              </w:rPr>
            </w:pPr>
            <w:r>
              <w:rPr>
                <w:sz w:val="4"/>
                <w:szCs w:val="4"/>
              </w:rPr>
            </w:r>
          </w:p>
        </w:tc>
        <w:tc>
          <w:tcPr>
            <w:tcW w:w="70"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pPr>
            <w:r>
              <w:rPr/>
              <w:t>  </w:t>
            </w:r>
          </w:p>
        </w:tc>
        <w:tc>
          <w:tcPr>
            <w:tcW w:w="70" w:type="dxa"/>
            <w:tcBorders/>
            <w:shd w:fill="auto" w:val="clear"/>
            <w:vAlign w:val="center"/>
          </w:tcPr>
          <w:p>
            <w:pPr>
              <w:pStyle w:val="TableContents"/>
              <w:spacing w:before="0" w:after="283"/>
              <w:rPr>
                <w:sz w:val="4"/>
                <w:szCs w:val="4"/>
              </w:rPr>
            </w:pPr>
            <w:r>
              <w:rPr>
                <w:sz w:val="4"/>
                <w:szCs w:val="4"/>
              </w:rPr>
            </w:r>
          </w:p>
        </w:tc>
        <w:tc>
          <w:tcPr>
            <w:tcW w:w="518"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r>
      <w:tr>
        <w:trPr/>
        <w:tc>
          <w:tcPr>
            <w:tcW w:w="321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Depreciation and amortization expense</w:t>
            </w:r>
          </w:p>
        </w:tc>
        <w:tc>
          <w:tcPr>
            <w:tcW w:w="120" w:type="dxa"/>
            <w:tcBorders/>
            <w:shd w:fill="CCEEFF" w:val="clear"/>
            <w:vAlign w:val="center"/>
          </w:tcPr>
          <w:p>
            <w:pPr>
              <w:pStyle w:val="TableContents"/>
              <w:spacing w:before="0" w:after="283"/>
              <w:rPr/>
            </w:pPr>
            <w:r>
              <w:rPr/>
              <w:t>  </w:t>
            </w:r>
          </w:p>
        </w:tc>
        <w:tc>
          <w:tcPr>
            <w:tcW w:w="165" w:type="dxa"/>
            <w:tcBorders/>
            <w:shd w:fill="CCEEFF" w:val="clear"/>
            <w:vAlign w:val="center"/>
          </w:tcPr>
          <w:p>
            <w:pPr>
              <w:pStyle w:val="TableContents"/>
              <w:spacing w:before="0" w:after="283"/>
              <w:rPr/>
            </w:pPr>
            <w:r>
              <w:rPr/>
              <w:t> </w:t>
            </w:r>
          </w:p>
        </w:tc>
        <w:tc>
          <w:tcPr>
            <w:tcW w:w="943" w:type="dxa"/>
            <w:tcBorders/>
            <w:shd w:fill="CCEEFF" w:val="clear"/>
            <w:vAlign w:val="center"/>
          </w:tcPr>
          <w:p>
            <w:pPr>
              <w:pStyle w:val="TableContents"/>
              <w:spacing w:before="0" w:after="283"/>
              <w:jc w:val="right"/>
              <w:rPr/>
            </w:pPr>
            <w:r>
              <w:rPr/>
              <w:t>132,460</w:t>
            </w:r>
          </w:p>
        </w:tc>
        <w:tc>
          <w:tcPr>
            <w:tcW w:w="70" w:type="dxa"/>
            <w:tcBorders/>
            <w:shd w:fill="CCEEFF" w:val="clear"/>
            <w:vAlign w:val="center"/>
          </w:tcPr>
          <w:p>
            <w:pPr>
              <w:pStyle w:val="TableContents"/>
              <w:spacing w:before="0" w:after="283"/>
              <w:rPr/>
            </w:pPr>
            <w:r>
              <w:rPr/>
              <w:t> </w:t>
            </w:r>
          </w:p>
        </w:tc>
        <w:tc>
          <w:tcPr>
            <w:tcW w:w="141" w:type="dxa"/>
            <w:tcBorders/>
            <w:shd w:fill="CCEEFF" w:val="clear"/>
            <w:vAlign w:val="center"/>
          </w:tcPr>
          <w:p>
            <w:pPr>
              <w:pStyle w:val="TableContents"/>
              <w:spacing w:before="0" w:after="283"/>
              <w:rPr/>
            </w:pPr>
            <w:r>
              <w:rPr/>
              <w:t>  </w:t>
            </w:r>
          </w:p>
        </w:tc>
        <w:tc>
          <w:tcPr>
            <w:tcW w:w="70" w:type="dxa"/>
            <w:tcBorders/>
            <w:shd w:fill="CCEEFF" w:val="clear"/>
            <w:vAlign w:val="center"/>
          </w:tcPr>
          <w:p>
            <w:pPr>
              <w:pStyle w:val="TableContents"/>
              <w:spacing w:before="0" w:after="283"/>
              <w:rPr>
                <w:sz w:val="4"/>
                <w:szCs w:val="4"/>
              </w:rPr>
            </w:pPr>
            <w:r>
              <w:rPr>
                <w:sz w:val="4"/>
                <w:szCs w:val="4"/>
              </w:rPr>
            </w:r>
          </w:p>
        </w:tc>
        <w:tc>
          <w:tcPr>
            <w:tcW w:w="518" w:type="dxa"/>
            <w:tcBorders/>
            <w:shd w:fill="CCEEFF" w:val="clear"/>
            <w:vAlign w:val="center"/>
          </w:tcPr>
          <w:p>
            <w:pPr>
              <w:pStyle w:val="TableContents"/>
              <w:spacing w:before="0" w:after="283"/>
              <w:rPr>
                <w:sz w:val="4"/>
                <w:szCs w:val="4"/>
              </w:rPr>
            </w:pPr>
            <w:r>
              <w:rPr>
                <w:sz w:val="4"/>
                <w:szCs w:val="4"/>
              </w:rPr>
            </w:r>
          </w:p>
        </w:tc>
        <w:tc>
          <w:tcPr>
            <w:tcW w:w="275"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pPr>
            <w:r>
              <w:rPr/>
              <w:t> </w:t>
            </w:r>
          </w:p>
        </w:tc>
        <w:tc>
          <w:tcPr>
            <w:tcW w:w="165" w:type="dxa"/>
            <w:tcBorders/>
            <w:shd w:fill="CCEEFF" w:val="clear"/>
            <w:vAlign w:val="center"/>
          </w:tcPr>
          <w:p>
            <w:pPr>
              <w:pStyle w:val="TableContents"/>
              <w:spacing w:before="0" w:after="283"/>
              <w:rPr/>
            </w:pPr>
            <w:r>
              <w:rPr/>
              <w:t> </w:t>
            </w:r>
          </w:p>
        </w:tc>
        <w:tc>
          <w:tcPr>
            <w:tcW w:w="943" w:type="dxa"/>
            <w:tcBorders/>
            <w:shd w:fill="CCEEFF" w:val="clear"/>
            <w:vAlign w:val="center"/>
          </w:tcPr>
          <w:p>
            <w:pPr>
              <w:pStyle w:val="TableContents"/>
              <w:spacing w:before="0" w:after="283"/>
              <w:jc w:val="right"/>
              <w:rPr/>
            </w:pPr>
            <w:r>
              <w:rPr/>
              <w:t>118,275</w:t>
            </w:r>
          </w:p>
        </w:tc>
        <w:tc>
          <w:tcPr>
            <w:tcW w:w="70" w:type="dxa"/>
            <w:tcBorders/>
            <w:shd w:fill="CCEEFF" w:val="clear"/>
            <w:vAlign w:val="center"/>
          </w:tcPr>
          <w:p>
            <w:pPr>
              <w:pStyle w:val="TableContents"/>
              <w:spacing w:before="0" w:after="283"/>
              <w:rPr/>
            </w:pPr>
            <w:r>
              <w:rPr/>
              <w:t> </w:t>
            </w:r>
          </w:p>
        </w:tc>
        <w:tc>
          <w:tcPr>
            <w:tcW w:w="141" w:type="dxa"/>
            <w:tcBorders/>
            <w:shd w:fill="CCEEFF" w:val="clear"/>
            <w:vAlign w:val="center"/>
          </w:tcPr>
          <w:p>
            <w:pPr>
              <w:pStyle w:val="TableContents"/>
              <w:spacing w:before="0" w:after="283"/>
              <w:rPr/>
            </w:pPr>
            <w:r>
              <w:rPr/>
              <w:t>  </w:t>
            </w:r>
          </w:p>
        </w:tc>
        <w:tc>
          <w:tcPr>
            <w:tcW w:w="70" w:type="dxa"/>
            <w:tcBorders/>
            <w:shd w:fill="CCEEFF" w:val="clear"/>
            <w:vAlign w:val="center"/>
          </w:tcPr>
          <w:p>
            <w:pPr>
              <w:pStyle w:val="TableContents"/>
              <w:spacing w:before="0" w:after="283"/>
              <w:rPr>
                <w:sz w:val="4"/>
                <w:szCs w:val="4"/>
              </w:rPr>
            </w:pPr>
            <w:r>
              <w:rPr>
                <w:sz w:val="4"/>
                <w:szCs w:val="4"/>
              </w:rPr>
            </w:r>
          </w:p>
        </w:tc>
        <w:tc>
          <w:tcPr>
            <w:tcW w:w="518" w:type="dxa"/>
            <w:tcBorders/>
            <w:shd w:fill="CCEEFF" w:val="clear"/>
            <w:vAlign w:val="center"/>
          </w:tcPr>
          <w:p>
            <w:pPr>
              <w:pStyle w:val="TableContents"/>
              <w:spacing w:before="0" w:after="283"/>
              <w:rPr>
                <w:sz w:val="4"/>
                <w:szCs w:val="4"/>
              </w:rPr>
            </w:pPr>
            <w:r>
              <w:rPr>
                <w:sz w:val="4"/>
                <w:szCs w:val="4"/>
              </w:rPr>
            </w:r>
          </w:p>
        </w:tc>
        <w:tc>
          <w:tcPr>
            <w:tcW w:w="290" w:type="dxa"/>
            <w:tcBorders/>
            <w:shd w:fill="CCEEFF" w:val="clear"/>
            <w:vAlign w:val="center"/>
          </w:tcPr>
          <w:p>
            <w:pPr>
              <w:pStyle w:val="TableContents"/>
              <w:spacing w:before="0" w:after="283"/>
              <w:rPr>
                <w:sz w:val="4"/>
                <w:szCs w:val="4"/>
              </w:rPr>
            </w:pPr>
            <w:r>
              <w:rPr>
                <w:sz w:val="4"/>
                <w:szCs w:val="4"/>
              </w:rPr>
            </w:r>
          </w:p>
        </w:tc>
      </w:tr>
      <w:tr>
        <w:trPr/>
        <w:tc>
          <w:tcPr>
            <w:tcW w:w="321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65" w:type="dxa"/>
            <w:tcBorders/>
            <w:shd w:fill="auto" w:val="clear"/>
            <w:vAlign w:val="center"/>
          </w:tcPr>
          <w:p>
            <w:pPr>
              <w:pStyle w:val="TableContents"/>
              <w:spacing w:before="0" w:after="0"/>
              <w:rPr>
                <w:bdr w:val="single" w:sz="2" w:space="1" w:color="000000"/>
              </w:rPr>
            </w:pPr>
            <w:r>
              <w:rPr>
                <w:bdr w:val="single" w:sz="2" w:space="1" w:color="000000"/>
              </w:rPr>
              <w:t> </w:t>
            </w:r>
          </w:p>
        </w:tc>
        <w:tc>
          <w:tcPr>
            <w:tcW w:w="943" w:type="dxa"/>
            <w:tcBorders/>
            <w:shd w:fill="auto" w:val="clear"/>
            <w:vAlign w:val="center"/>
          </w:tcPr>
          <w:p>
            <w:pPr>
              <w:pStyle w:val="TableContents"/>
              <w:spacing w:before="0" w:after="0"/>
              <w:rPr>
                <w:bdr w:val="single" w:sz="2" w:space="1" w:color="000000"/>
              </w:rPr>
            </w:pPr>
            <w:r>
              <w:rPr>
                <w:bdr w:val="single" w:sz="2" w:space="1" w:color="000000"/>
              </w:rPr>
              <w:t> </w:t>
            </w:r>
          </w:p>
        </w:tc>
        <w:tc>
          <w:tcPr>
            <w:tcW w:w="70" w:type="dxa"/>
            <w:tcBorders/>
            <w:shd w:fill="auto" w:val="clear"/>
            <w:vAlign w:val="center"/>
          </w:tcPr>
          <w:p>
            <w:pPr>
              <w:pStyle w:val="TableContents"/>
              <w:spacing w:before="0" w:after="283"/>
              <w:rPr/>
            </w:pPr>
            <w:r>
              <w:rPr/>
              <w:t> </w:t>
            </w:r>
          </w:p>
        </w:tc>
        <w:tc>
          <w:tcPr>
            <w:tcW w:w="141" w:type="dxa"/>
            <w:tcBorders/>
            <w:shd w:fill="auto" w:val="clear"/>
            <w:vAlign w:val="center"/>
          </w:tcPr>
          <w:p>
            <w:pPr>
              <w:pStyle w:val="TableContents"/>
              <w:spacing w:before="0" w:after="283"/>
              <w:rPr/>
            </w:pPr>
            <w:r>
              <w:rPr/>
              <w:t>  </w:t>
            </w:r>
          </w:p>
        </w:tc>
        <w:tc>
          <w:tcPr>
            <w:tcW w:w="70" w:type="dxa"/>
            <w:tcBorders/>
            <w:shd w:fill="auto" w:val="clear"/>
            <w:vAlign w:val="center"/>
          </w:tcPr>
          <w:p>
            <w:pPr>
              <w:pStyle w:val="TableContents"/>
              <w:spacing w:before="0" w:after="283"/>
              <w:rPr>
                <w:sz w:val="4"/>
                <w:szCs w:val="4"/>
              </w:rPr>
            </w:pPr>
            <w:r>
              <w:rPr>
                <w:sz w:val="4"/>
                <w:szCs w:val="4"/>
              </w:rPr>
            </w:r>
          </w:p>
        </w:tc>
        <w:tc>
          <w:tcPr>
            <w:tcW w:w="518"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65" w:type="dxa"/>
            <w:tcBorders/>
            <w:shd w:fill="auto" w:val="clear"/>
            <w:vAlign w:val="center"/>
          </w:tcPr>
          <w:p>
            <w:pPr>
              <w:pStyle w:val="TableContents"/>
              <w:spacing w:before="0" w:after="0"/>
              <w:rPr>
                <w:bdr w:val="single" w:sz="2" w:space="1" w:color="000000"/>
              </w:rPr>
            </w:pPr>
            <w:r>
              <w:rPr>
                <w:bdr w:val="single" w:sz="2" w:space="1" w:color="000000"/>
              </w:rPr>
              <w:t> </w:t>
            </w:r>
          </w:p>
        </w:tc>
        <w:tc>
          <w:tcPr>
            <w:tcW w:w="943" w:type="dxa"/>
            <w:tcBorders/>
            <w:shd w:fill="auto" w:val="clear"/>
            <w:vAlign w:val="center"/>
          </w:tcPr>
          <w:p>
            <w:pPr>
              <w:pStyle w:val="TableContents"/>
              <w:spacing w:before="0" w:after="0"/>
              <w:rPr>
                <w:bdr w:val="single" w:sz="2" w:space="1" w:color="000000"/>
              </w:rPr>
            </w:pPr>
            <w:r>
              <w:rPr>
                <w:bdr w:val="single" w:sz="2" w:space="1" w:color="000000"/>
              </w:rPr>
              <w:t> </w:t>
            </w:r>
          </w:p>
        </w:tc>
        <w:tc>
          <w:tcPr>
            <w:tcW w:w="70" w:type="dxa"/>
            <w:tcBorders/>
            <w:shd w:fill="auto" w:val="clear"/>
            <w:vAlign w:val="center"/>
          </w:tcPr>
          <w:p>
            <w:pPr>
              <w:pStyle w:val="TableContents"/>
              <w:spacing w:before="0" w:after="283"/>
              <w:rPr/>
            </w:pPr>
            <w:r>
              <w:rPr/>
              <w:t> </w:t>
            </w:r>
          </w:p>
        </w:tc>
        <w:tc>
          <w:tcPr>
            <w:tcW w:w="141" w:type="dxa"/>
            <w:tcBorders/>
            <w:shd w:fill="auto" w:val="clear"/>
            <w:vAlign w:val="center"/>
          </w:tcPr>
          <w:p>
            <w:pPr>
              <w:pStyle w:val="TableContents"/>
              <w:spacing w:before="0" w:after="283"/>
              <w:rPr/>
            </w:pPr>
            <w:r>
              <w:rPr/>
              <w:t>  </w:t>
            </w:r>
          </w:p>
        </w:tc>
        <w:tc>
          <w:tcPr>
            <w:tcW w:w="70" w:type="dxa"/>
            <w:tcBorders/>
            <w:shd w:fill="auto" w:val="clear"/>
            <w:vAlign w:val="center"/>
          </w:tcPr>
          <w:p>
            <w:pPr>
              <w:pStyle w:val="TableContents"/>
              <w:spacing w:before="0" w:after="283"/>
              <w:rPr>
                <w:sz w:val="4"/>
                <w:szCs w:val="4"/>
              </w:rPr>
            </w:pPr>
            <w:r>
              <w:rPr>
                <w:sz w:val="4"/>
                <w:szCs w:val="4"/>
              </w:rPr>
            </w:r>
          </w:p>
        </w:tc>
        <w:tc>
          <w:tcPr>
            <w:tcW w:w="518"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r>
      <w:tr>
        <w:trPr/>
        <w:tc>
          <w:tcPr>
            <w:tcW w:w="321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EBITDA</w:t>
            </w:r>
          </w:p>
        </w:tc>
        <w:tc>
          <w:tcPr>
            <w:tcW w:w="120" w:type="dxa"/>
            <w:tcBorders/>
            <w:shd w:fill="auto" w:val="clear"/>
            <w:vAlign w:val="center"/>
          </w:tcPr>
          <w:p>
            <w:pPr>
              <w:pStyle w:val="TableContents"/>
              <w:spacing w:before="0" w:after="283"/>
              <w:rPr/>
            </w:pPr>
            <w:r>
              <w:rPr/>
              <w:t>  </w:t>
            </w:r>
          </w:p>
        </w:tc>
        <w:tc>
          <w:tcPr>
            <w:tcW w:w="165" w:type="dxa"/>
            <w:tcBorders/>
            <w:shd w:fill="auto" w:val="clear"/>
            <w:vAlign w:val="center"/>
          </w:tcPr>
          <w:p>
            <w:pPr>
              <w:pStyle w:val="TableContents"/>
              <w:spacing w:before="0" w:after="283"/>
              <w:rPr/>
            </w:pPr>
            <w:r>
              <w:rPr/>
              <w:t> </w:t>
            </w:r>
          </w:p>
        </w:tc>
        <w:tc>
          <w:tcPr>
            <w:tcW w:w="943" w:type="dxa"/>
            <w:tcBorders/>
            <w:shd w:fill="auto" w:val="clear"/>
            <w:vAlign w:val="center"/>
          </w:tcPr>
          <w:p>
            <w:pPr>
              <w:pStyle w:val="TableContents"/>
              <w:spacing w:before="0" w:after="283"/>
              <w:jc w:val="right"/>
              <w:rPr/>
            </w:pPr>
            <w:r>
              <w:rPr/>
              <w:t>280,539</w:t>
            </w:r>
          </w:p>
        </w:tc>
        <w:tc>
          <w:tcPr>
            <w:tcW w:w="70" w:type="dxa"/>
            <w:tcBorders/>
            <w:shd w:fill="auto" w:val="clear"/>
            <w:vAlign w:val="center"/>
          </w:tcPr>
          <w:p>
            <w:pPr>
              <w:pStyle w:val="TableContents"/>
              <w:spacing w:before="0" w:after="283"/>
              <w:rPr/>
            </w:pPr>
            <w:r>
              <w:rPr/>
              <w:t> </w:t>
            </w:r>
          </w:p>
        </w:tc>
        <w:tc>
          <w:tcPr>
            <w:tcW w:w="141" w:type="dxa"/>
            <w:tcBorders/>
            <w:shd w:fill="auto" w:val="clear"/>
            <w:vAlign w:val="center"/>
          </w:tcPr>
          <w:p>
            <w:pPr>
              <w:pStyle w:val="TableContents"/>
              <w:spacing w:before="0" w:after="283"/>
              <w:rPr/>
            </w:pPr>
            <w:r>
              <w:rPr/>
              <w:t>  </w:t>
            </w:r>
          </w:p>
        </w:tc>
        <w:tc>
          <w:tcPr>
            <w:tcW w:w="70" w:type="dxa"/>
            <w:tcBorders/>
            <w:shd w:fill="auto" w:val="clear"/>
            <w:vAlign w:val="center"/>
          </w:tcPr>
          <w:p>
            <w:pPr>
              <w:pStyle w:val="TableContents"/>
              <w:spacing w:before="0" w:after="283"/>
              <w:rPr/>
            </w:pPr>
            <w:r>
              <w:rPr/>
              <w:t> </w:t>
            </w:r>
          </w:p>
        </w:tc>
        <w:tc>
          <w:tcPr>
            <w:tcW w:w="518" w:type="dxa"/>
            <w:tcBorders/>
            <w:shd w:fill="auto" w:val="clear"/>
            <w:vAlign w:val="center"/>
          </w:tcPr>
          <w:p>
            <w:pPr>
              <w:pStyle w:val="TableContents"/>
              <w:spacing w:before="0" w:after="283"/>
              <w:jc w:val="right"/>
              <w:rPr/>
            </w:pPr>
            <w:r>
              <w:rPr/>
              <w:t>20.7</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65" w:type="dxa"/>
            <w:tcBorders/>
            <w:shd w:fill="auto" w:val="clear"/>
            <w:vAlign w:val="center"/>
          </w:tcPr>
          <w:p>
            <w:pPr>
              <w:pStyle w:val="TableContents"/>
              <w:spacing w:before="0" w:after="283"/>
              <w:rPr/>
            </w:pPr>
            <w:r>
              <w:rPr/>
              <w:t> </w:t>
            </w:r>
          </w:p>
        </w:tc>
        <w:tc>
          <w:tcPr>
            <w:tcW w:w="943" w:type="dxa"/>
            <w:tcBorders/>
            <w:shd w:fill="auto" w:val="clear"/>
            <w:vAlign w:val="center"/>
          </w:tcPr>
          <w:p>
            <w:pPr>
              <w:pStyle w:val="TableContents"/>
              <w:spacing w:before="0" w:after="283"/>
              <w:jc w:val="right"/>
              <w:rPr/>
            </w:pPr>
            <w:r>
              <w:rPr/>
              <w:t>279,275</w:t>
            </w:r>
          </w:p>
        </w:tc>
        <w:tc>
          <w:tcPr>
            <w:tcW w:w="70" w:type="dxa"/>
            <w:tcBorders/>
            <w:shd w:fill="auto" w:val="clear"/>
            <w:vAlign w:val="center"/>
          </w:tcPr>
          <w:p>
            <w:pPr>
              <w:pStyle w:val="TableContents"/>
              <w:spacing w:before="0" w:after="283"/>
              <w:rPr/>
            </w:pPr>
            <w:r>
              <w:rPr/>
              <w:t> </w:t>
            </w:r>
          </w:p>
        </w:tc>
        <w:tc>
          <w:tcPr>
            <w:tcW w:w="141" w:type="dxa"/>
            <w:tcBorders/>
            <w:shd w:fill="auto" w:val="clear"/>
            <w:vAlign w:val="center"/>
          </w:tcPr>
          <w:p>
            <w:pPr>
              <w:pStyle w:val="TableContents"/>
              <w:spacing w:before="0" w:after="283"/>
              <w:rPr/>
            </w:pPr>
            <w:r>
              <w:rPr/>
              <w:t>  </w:t>
            </w:r>
          </w:p>
        </w:tc>
        <w:tc>
          <w:tcPr>
            <w:tcW w:w="70" w:type="dxa"/>
            <w:tcBorders/>
            <w:shd w:fill="auto" w:val="clear"/>
            <w:vAlign w:val="center"/>
          </w:tcPr>
          <w:p>
            <w:pPr>
              <w:pStyle w:val="TableContents"/>
              <w:spacing w:before="0" w:after="283"/>
              <w:rPr/>
            </w:pPr>
            <w:r>
              <w:rPr/>
              <w:t> </w:t>
            </w:r>
          </w:p>
        </w:tc>
        <w:tc>
          <w:tcPr>
            <w:tcW w:w="518" w:type="dxa"/>
            <w:tcBorders/>
            <w:shd w:fill="auto" w:val="clear"/>
            <w:vAlign w:val="center"/>
          </w:tcPr>
          <w:p>
            <w:pPr>
              <w:pStyle w:val="TableContents"/>
              <w:spacing w:before="0" w:after="283"/>
              <w:jc w:val="right"/>
              <w:rPr/>
            </w:pPr>
            <w:r>
              <w:rPr/>
              <w:t>22.1</w:t>
            </w:r>
          </w:p>
        </w:tc>
        <w:tc>
          <w:tcPr>
            <w:tcW w:w="290" w:type="dxa"/>
            <w:tcBorders/>
            <w:shd w:fill="auto" w:val="clear"/>
            <w:vAlign w:val="center"/>
          </w:tcPr>
          <w:p>
            <w:pPr>
              <w:pStyle w:val="TableContents"/>
              <w:spacing w:before="0" w:after="283"/>
              <w:rPr/>
            </w:pPr>
            <w:r>
              <w:rPr/>
              <w:t>% </w:t>
            </w:r>
          </w:p>
        </w:tc>
      </w:tr>
      <w:tr>
        <w:trPr/>
        <w:tc>
          <w:tcPr>
            <w:tcW w:w="321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Loss on asset disposal</w:t>
            </w:r>
          </w:p>
        </w:tc>
        <w:tc>
          <w:tcPr>
            <w:tcW w:w="120" w:type="dxa"/>
            <w:tcBorders/>
            <w:shd w:fill="CCEEFF" w:val="clear"/>
            <w:vAlign w:val="center"/>
          </w:tcPr>
          <w:p>
            <w:pPr>
              <w:pStyle w:val="TableContents"/>
              <w:spacing w:before="0" w:after="283"/>
              <w:rPr/>
            </w:pPr>
            <w:r>
              <w:rPr/>
              <w:t>  </w:t>
            </w:r>
          </w:p>
        </w:tc>
        <w:tc>
          <w:tcPr>
            <w:tcW w:w="165" w:type="dxa"/>
            <w:tcBorders/>
            <w:shd w:fill="CCEEFF" w:val="clear"/>
            <w:vAlign w:val="center"/>
          </w:tcPr>
          <w:p>
            <w:pPr>
              <w:pStyle w:val="TableContents"/>
              <w:spacing w:before="0" w:after="283"/>
              <w:rPr/>
            </w:pPr>
            <w:r>
              <w:rPr/>
              <w:t> </w:t>
            </w:r>
          </w:p>
        </w:tc>
        <w:tc>
          <w:tcPr>
            <w:tcW w:w="943" w:type="dxa"/>
            <w:tcBorders/>
            <w:shd w:fill="CCEEFF" w:val="clear"/>
            <w:vAlign w:val="center"/>
          </w:tcPr>
          <w:p>
            <w:pPr>
              <w:pStyle w:val="TableContents"/>
              <w:spacing w:before="0" w:after="283"/>
              <w:jc w:val="right"/>
              <w:rPr/>
            </w:pPr>
            <w:r>
              <w:rPr/>
              <w:t>1,813</w:t>
            </w:r>
          </w:p>
        </w:tc>
        <w:tc>
          <w:tcPr>
            <w:tcW w:w="70" w:type="dxa"/>
            <w:tcBorders/>
            <w:shd w:fill="CCEEFF" w:val="clear"/>
            <w:vAlign w:val="center"/>
          </w:tcPr>
          <w:p>
            <w:pPr>
              <w:pStyle w:val="TableContents"/>
              <w:spacing w:before="0" w:after="283"/>
              <w:rPr/>
            </w:pPr>
            <w:r>
              <w:rPr/>
              <w:t> </w:t>
            </w:r>
          </w:p>
        </w:tc>
        <w:tc>
          <w:tcPr>
            <w:tcW w:w="141" w:type="dxa"/>
            <w:tcBorders/>
            <w:shd w:fill="CCEEFF" w:val="clear"/>
            <w:vAlign w:val="center"/>
          </w:tcPr>
          <w:p>
            <w:pPr>
              <w:pStyle w:val="TableContents"/>
              <w:spacing w:before="0" w:after="283"/>
              <w:rPr/>
            </w:pPr>
            <w:r>
              <w:rPr/>
              <w:t>  </w:t>
            </w:r>
          </w:p>
        </w:tc>
        <w:tc>
          <w:tcPr>
            <w:tcW w:w="70" w:type="dxa"/>
            <w:tcBorders/>
            <w:shd w:fill="CCEEFF" w:val="clear"/>
            <w:vAlign w:val="center"/>
          </w:tcPr>
          <w:p>
            <w:pPr>
              <w:pStyle w:val="TableContents"/>
              <w:spacing w:before="0" w:after="283"/>
              <w:rPr>
                <w:sz w:val="4"/>
                <w:szCs w:val="4"/>
              </w:rPr>
            </w:pPr>
            <w:r>
              <w:rPr>
                <w:sz w:val="4"/>
                <w:szCs w:val="4"/>
              </w:rPr>
            </w:r>
          </w:p>
        </w:tc>
        <w:tc>
          <w:tcPr>
            <w:tcW w:w="518" w:type="dxa"/>
            <w:tcBorders/>
            <w:shd w:fill="CCEEFF" w:val="clear"/>
            <w:vAlign w:val="center"/>
          </w:tcPr>
          <w:p>
            <w:pPr>
              <w:pStyle w:val="TableContents"/>
              <w:spacing w:before="0" w:after="283"/>
              <w:rPr>
                <w:sz w:val="4"/>
                <w:szCs w:val="4"/>
              </w:rPr>
            </w:pPr>
            <w:r>
              <w:rPr>
                <w:sz w:val="4"/>
                <w:szCs w:val="4"/>
              </w:rPr>
            </w:r>
          </w:p>
        </w:tc>
        <w:tc>
          <w:tcPr>
            <w:tcW w:w="275"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pPr>
            <w:r>
              <w:rPr/>
              <w:t> </w:t>
            </w:r>
          </w:p>
        </w:tc>
        <w:tc>
          <w:tcPr>
            <w:tcW w:w="165" w:type="dxa"/>
            <w:tcBorders/>
            <w:shd w:fill="CCEEFF" w:val="clear"/>
            <w:vAlign w:val="center"/>
          </w:tcPr>
          <w:p>
            <w:pPr>
              <w:pStyle w:val="TableContents"/>
              <w:spacing w:before="0" w:after="283"/>
              <w:rPr/>
            </w:pPr>
            <w:r>
              <w:rPr/>
              <w:t> </w:t>
            </w:r>
          </w:p>
        </w:tc>
        <w:tc>
          <w:tcPr>
            <w:tcW w:w="943" w:type="dxa"/>
            <w:tcBorders/>
            <w:shd w:fill="CCEEFF" w:val="clear"/>
            <w:vAlign w:val="center"/>
          </w:tcPr>
          <w:p>
            <w:pPr>
              <w:pStyle w:val="TableContents"/>
              <w:spacing w:before="0" w:after="283"/>
              <w:jc w:val="right"/>
              <w:rPr/>
            </w:pPr>
            <w:r>
              <w:rPr/>
              <w:t>1,121</w:t>
            </w:r>
          </w:p>
        </w:tc>
        <w:tc>
          <w:tcPr>
            <w:tcW w:w="70" w:type="dxa"/>
            <w:tcBorders/>
            <w:shd w:fill="CCEEFF" w:val="clear"/>
            <w:vAlign w:val="center"/>
          </w:tcPr>
          <w:p>
            <w:pPr>
              <w:pStyle w:val="TableContents"/>
              <w:spacing w:before="0" w:after="283"/>
              <w:rPr/>
            </w:pPr>
            <w:r>
              <w:rPr/>
              <w:t> </w:t>
            </w:r>
          </w:p>
        </w:tc>
        <w:tc>
          <w:tcPr>
            <w:tcW w:w="141" w:type="dxa"/>
            <w:tcBorders/>
            <w:shd w:fill="CCEEFF" w:val="clear"/>
            <w:vAlign w:val="center"/>
          </w:tcPr>
          <w:p>
            <w:pPr>
              <w:pStyle w:val="TableContents"/>
              <w:spacing w:before="0" w:after="283"/>
              <w:rPr/>
            </w:pPr>
            <w:r>
              <w:rPr/>
              <w:t>  </w:t>
            </w:r>
          </w:p>
        </w:tc>
        <w:tc>
          <w:tcPr>
            <w:tcW w:w="70" w:type="dxa"/>
            <w:tcBorders/>
            <w:shd w:fill="CCEEFF" w:val="clear"/>
            <w:vAlign w:val="center"/>
          </w:tcPr>
          <w:p>
            <w:pPr>
              <w:pStyle w:val="TableContents"/>
              <w:spacing w:before="0" w:after="283"/>
              <w:rPr>
                <w:sz w:val="4"/>
                <w:szCs w:val="4"/>
              </w:rPr>
            </w:pPr>
            <w:r>
              <w:rPr>
                <w:sz w:val="4"/>
                <w:szCs w:val="4"/>
              </w:rPr>
            </w:r>
          </w:p>
        </w:tc>
        <w:tc>
          <w:tcPr>
            <w:tcW w:w="518" w:type="dxa"/>
            <w:tcBorders/>
            <w:shd w:fill="CCEEFF" w:val="clear"/>
            <w:vAlign w:val="center"/>
          </w:tcPr>
          <w:p>
            <w:pPr>
              <w:pStyle w:val="TableContents"/>
              <w:spacing w:before="0" w:after="283"/>
              <w:rPr>
                <w:sz w:val="4"/>
                <w:szCs w:val="4"/>
              </w:rPr>
            </w:pPr>
            <w:r>
              <w:rPr>
                <w:sz w:val="4"/>
                <w:szCs w:val="4"/>
              </w:rPr>
            </w:r>
          </w:p>
        </w:tc>
        <w:tc>
          <w:tcPr>
            <w:tcW w:w="290" w:type="dxa"/>
            <w:tcBorders/>
            <w:shd w:fill="CCEEFF" w:val="clear"/>
            <w:vAlign w:val="center"/>
          </w:tcPr>
          <w:p>
            <w:pPr>
              <w:pStyle w:val="TableContents"/>
              <w:spacing w:before="0" w:after="283"/>
              <w:rPr>
                <w:sz w:val="4"/>
                <w:szCs w:val="4"/>
              </w:rPr>
            </w:pPr>
            <w:r>
              <w:rPr>
                <w:sz w:val="4"/>
                <w:szCs w:val="4"/>
              </w:rPr>
            </w:r>
          </w:p>
        </w:tc>
      </w:tr>
      <w:tr>
        <w:trPr/>
        <w:tc>
          <w:tcPr>
            <w:tcW w:w="321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Share-based compensation</w:t>
            </w:r>
          </w:p>
        </w:tc>
        <w:tc>
          <w:tcPr>
            <w:tcW w:w="120" w:type="dxa"/>
            <w:tcBorders/>
            <w:shd w:fill="auto" w:val="clear"/>
            <w:vAlign w:val="center"/>
          </w:tcPr>
          <w:p>
            <w:pPr>
              <w:pStyle w:val="TableContents"/>
              <w:spacing w:before="0" w:after="283"/>
              <w:rPr/>
            </w:pPr>
            <w:r>
              <w:rPr/>
              <w:t>  </w:t>
            </w:r>
          </w:p>
        </w:tc>
        <w:tc>
          <w:tcPr>
            <w:tcW w:w="165" w:type="dxa"/>
            <w:tcBorders/>
            <w:shd w:fill="auto" w:val="clear"/>
            <w:vAlign w:val="center"/>
          </w:tcPr>
          <w:p>
            <w:pPr>
              <w:pStyle w:val="TableContents"/>
              <w:spacing w:before="0" w:after="283"/>
              <w:rPr/>
            </w:pPr>
            <w:r>
              <w:rPr/>
              <w:t> </w:t>
            </w:r>
          </w:p>
        </w:tc>
        <w:tc>
          <w:tcPr>
            <w:tcW w:w="943" w:type="dxa"/>
            <w:tcBorders/>
            <w:shd w:fill="auto" w:val="clear"/>
            <w:vAlign w:val="center"/>
          </w:tcPr>
          <w:p>
            <w:pPr>
              <w:pStyle w:val="TableContents"/>
              <w:spacing w:before="0" w:after="283"/>
              <w:jc w:val="right"/>
              <w:rPr/>
            </w:pPr>
            <w:r>
              <w:rPr/>
              <w:t>6,857</w:t>
            </w:r>
          </w:p>
        </w:tc>
        <w:tc>
          <w:tcPr>
            <w:tcW w:w="70" w:type="dxa"/>
            <w:tcBorders/>
            <w:shd w:fill="auto" w:val="clear"/>
            <w:vAlign w:val="center"/>
          </w:tcPr>
          <w:p>
            <w:pPr>
              <w:pStyle w:val="TableContents"/>
              <w:spacing w:before="0" w:after="283"/>
              <w:rPr/>
            </w:pPr>
            <w:r>
              <w:rPr/>
              <w:t> </w:t>
            </w:r>
          </w:p>
        </w:tc>
        <w:tc>
          <w:tcPr>
            <w:tcW w:w="141" w:type="dxa"/>
            <w:tcBorders/>
            <w:shd w:fill="auto" w:val="clear"/>
            <w:vAlign w:val="center"/>
          </w:tcPr>
          <w:p>
            <w:pPr>
              <w:pStyle w:val="TableContents"/>
              <w:spacing w:before="0" w:after="283"/>
              <w:rPr/>
            </w:pPr>
            <w:r>
              <w:rPr/>
              <w:t>  </w:t>
            </w:r>
          </w:p>
        </w:tc>
        <w:tc>
          <w:tcPr>
            <w:tcW w:w="70" w:type="dxa"/>
            <w:tcBorders/>
            <w:shd w:fill="auto" w:val="clear"/>
            <w:vAlign w:val="center"/>
          </w:tcPr>
          <w:p>
            <w:pPr>
              <w:pStyle w:val="TableContents"/>
              <w:spacing w:before="0" w:after="283"/>
              <w:rPr>
                <w:sz w:val="4"/>
                <w:szCs w:val="4"/>
              </w:rPr>
            </w:pPr>
            <w:r>
              <w:rPr>
                <w:sz w:val="4"/>
                <w:szCs w:val="4"/>
              </w:rPr>
            </w:r>
          </w:p>
        </w:tc>
        <w:tc>
          <w:tcPr>
            <w:tcW w:w="518"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65" w:type="dxa"/>
            <w:tcBorders/>
            <w:shd w:fill="auto" w:val="clear"/>
            <w:vAlign w:val="center"/>
          </w:tcPr>
          <w:p>
            <w:pPr>
              <w:pStyle w:val="TableContents"/>
              <w:spacing w:before="0" w:after="283"/>
              <w:rPr/>
            </w:pPr>
            <w:r>
              <w:rPr/>
              <w:t> </w:t>
            </w:r>
          </w:p>
        </w:tc>
        <w:tc>
          <w:tcPr>
            <w:tcW w:w="943" w:type="dxa"/>
            <w:tcBorders/>
            <w:shd w:fill="auto" w:val="clear"/>
            <w:vAlign w:val="center"/>
          </w:tcPr>
          <w:p>
            <w:pPr>
              <w:pStyle w:val="TableContents"/>
              <w:spacing w:before="0" w:after="283"/>
              <w:jc w:val="right"/>
              <w:rPr/>
            </w:pPr>
            <w:r>
              <w:rPr/>
              <w:t>7,422</w:t>
            </w:r>
          </w:p>
        </w:tc>
        <w:tc>
          <w:tcPr>
            <w:tcW w:w="70" w:type="dxa"/>
            <w:tcBorders/>
            <w:shd w:fill="auto" w:val="clear"/>
            <w:vAlign w:val="center"/>
          </w:tcPr>
          <w:p>
            <w:pPr>
              <w:pStyle w:val="TableContents"/>
              <w:spacing w:before="0" w:after="283"/>
              <w:rPr/>
            </w:pPr>
            <w:r>
              <w:rPr/>
              <w:t> </w:t>
            </w:r>
          </w:p>
        </w:tc>
        <w:tc>
          <w:tcPr>
            <w:tcW w:w="141" w:type="dxa"/>
            <w:tcBorders/>
            <w:shd w:fill="auto" w:val="clear"/>
            <w:vAlign w:val="center"/>
          </w:tcPr>
          <w:p>
            <w:pPr>
              <w:pStyle w:val="TableContents"/>
              <w:spacing w:before="0" w:after="283"/>
              <w:rPr/>
            </w:pPr>
            <w:r>
              <w:rPr/>
              <w:t>  </w:t>
            </w:r>
          </w:p>
        </w:tc>
        <w:tc>
          <w:tcPr>
            <w:tcW w:w="70" w:type="dxa"/>
            <w:tcBorders/>
            <w:shd w:fill="auto" w:val="clear"/>
            <w:vAlign w:val="center"/>
          </w:tcPr>
          <w:p>
            <w:pPr>
              <w:pStyle w:val="TableContents"/>
              <w:spacing w:before="0" w:after="283"/>
              <w:rPr>
                <w:sz w:val="4"/>
                <w:szCs w:val="4"/>
              </w:rPr>
            </w:pPr>
            <w:r>
              <w:rPr>
                <w:sz w:val="4"/>
                <w:szCs w:val="4"/>
              </w:rPr>
            </w:r>
          </w:p>
        </w:tc>
        <w:tc>
          <w:tcPr>
            <w:tcW w:w="518"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r>
      <w:tr>
        <w:trPr/>
        <w:tc>
          <w:tcPr>
            <w:tcW w:w="321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Pre-opening</w:t>
            </w:r>
          </w:p>
          <w:p>
            <w:pPr>
              <w:pStyle w:val="TableContents"/>
              <w:spacing w:before="0" w:after="0"/>
              <w:rPr>
                <w:rFonts w:ascii="Times New Roman" w:hAnsi="Times New Roman"/>
                <w:sz w:val="20"/>
              </w:rPr>
            </w:pPr>
            <w:r>
              <w:rPr>
                <w:rFonts w:ascii="Times New Roman" w:hAnsi="Times New Roman"/>
                <w:sz w:val="20"/>
              </w:rPr>
              <w:t>costs</w:t>
            </w:r>
          </w:p>
        </w:tc>
        <w:tc>
          <w:tcPr>
            <w:tcW w:w="120" w:type="dxa"/>
            <w:tcBorders/>
            <w:shd w:fill="CCEEFF" w:val="clear"/>
            <w:vAlign w:val="center"/>
          </w:tcPr>
          <w:p>
            <w:pPr>
              <w:pStyle w:val="TableContents"/>
              <w:spacing w:before="0" w:after="283"/>
              <w:rPr/>
            </w:pPr>
            <w:r>
              <w:rPr/>
              <w:t>  </w:t>
            </w:r>
          </w:p>
        </w:tc>
        <w:tc>
          <w:tcPr>
            <w:tcW w:w="165" w:type="dxa"/>
            <w:tcBorders/>
            <w:shd w:fill="CCEEFF" w:val="clear"/>
            <w:vAlign w:val="center"/>
          </w:tcPr>
          <w:p>
            <w:pPr>
              <w:pStyle w:val="TableContents"/>
              <w:spacing w:before="0" w:after="283"/>
              <w:rPr/>
            </w:pPr>
            <w:r>
              <w:rPr/>
              <w:t> </w:t>
            </w:r>
          </w:p>
        </w:tc>
        <w:tc>
          <w:tcPr>
            <w:tcW w:w="943" w:type="dxa"/>
            <w:tcBorders/>
            <w:shd w:fill="CCEEFF" w:val="clear"/>
            <w:vAlign w:val="center"/>
          </w:tcPr>
          <w:p>
            <w:pPr>
              <w:pStyle w:val="TableContents"/>
              <w:spacing w:before="0" w:after="283"/>
              <w:jc w:val="right"/>
              <w:rPr/>
            </w:pPr>
            <w:r>
              <w:rPr/>
              <w:t>18,971</w:t>
            </w:r>
          </w:p>
        </w:tc>
        <w:tc>
          <w:tcPr>
            <w:tcW w:w="70" w:type="dxa"/>
            <w:tcBorders/>
            <w:shd w:fill="CCEEFF" w:val="clear"/>
            <w:vAlign w:val="center"/>
          </w:tcPr>
          <w:p>
            <w:pPr>
              <w:pStyle w:val="TableContents"/>
              <w:spacing w:before="0" w:after="283"/>
              <w:rPr/>
            </w:pPr>
            <w:r>
              <w:rPr/>
              <w:t> </w:t>
            </w:r>
          </w:p>
        </w:tc>
        <w:tc>
          <w:tcPr>
            <w:tcW w:w="141" w:type="dxa"/>
            <w:tcBorders/>
            <w:shd w:fill="CCEEFF" w:val="clear"/>
            <w:vAlign w:val="center"/>
          </w:tcPr>
          <w:p>
            <w:pPr>
              <w:pStyle w:val="TableContents"/>
              <w:spacing w:before="0" w:after="283"/>
              <w:rPr/>
            </w:pPr>
            <w:r>
              <w:rPr/>
              <w:t>  </w:t>
            </w:r>
          </w:p>
        </w:tc>
        <w:tc>
          <w:tcPr>
            <w:tcW w:w="70" w:type="dxa"/>
            <w:tcBorders/>
            <w:shd w:fill="CCEEFF" w:val="clear"/>
            <w:vAlign w:val="center"/>
          </w:tcPr>
          <w:p>
            <w:pPr>
              <w:pStyle w:val="TableContents"/>
              <w:spacing w:before="0" w:after="283"/>
              <w:rPr>
                <w:sz w:val="4"/>
                <w:szCs w:val="4"/>
              </w:rPr>
            </w:pPr>
            <w:r>
              <w:rPr>
                <w:sz w:val="4"/>
                <w:szCs w:val="4"/>
              </w:rPr>
            </w:r>
          </w:p>
        </w:tc>
        <w:tc>
          <w:tcPr>
            <w:tcW w:w="518" w:type="dxa"/>
            <w:tcBorders/>
            <w:shd w:fill="CCEEFF" w:val="clear"/>
            <w:vAlign w:val="center"/>
          </w:tcPr>
          <w:p>
            <w:pPr>
              <w:pStyle w:val="TableContents"/>
              <w:spacing w:before="0" w:after="283"/>
              <w:rPr>
                <w:sz w:val="4"/>
                <w:szCs w:val="4"/>
              </w:rPr>
            </w:pPr>
            <w:r>
              <w:rPr>
                <w:sz w:val="4"/>
                <w:szCs w:val="4"/>
              </w:rPr>
            </w:r>
          </w:p>
        </w:tc>
        <w:tc>
          <w:tcPr>
            <w:tcW w:w="275"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pPr>
            <w:r>
              <w:rPr/>
              <w:t> </w:t>
            </w:r>
          </w:p>
        </w:tc>
        <w:tc>
          <w:tcPr>
            <w:tcW w:w="165" w:type="dxa"/>
            <w:tcBorders/>
            <w:shd w:fill="CCEEFF" w:val="clear"/>
            <w:vAlign w:val="center"/>
          </w:tcPr>
          <w:p>
            <w:pPr>
              <w:pStyle w:val="TableContents"/>
              <w:spacing w:before="0" w:after="283"/>
              <w:rPr/>
            </w:pPr>
            <w:r>
              <w:rPr/>
              <w:t> </w:t>
            </w:r>
          </w:p>
        </w:tc>
        <w:tc>
          <w:tcPr>
            <w:tcW w:w="943" w:type="dxa"/>
            <w:tcBorders/>
            <w:shd w:fill="CCEEFF" w:val="clear"/>
            <w:vAlign w:val="center"/>
          </w:tcPr>
          <w:p>
            <w:pPr>
              <w:pStyle w:val="TableContents"/>
              <w:spacing w:before="0" w:after="283"/>
              <w:jc w:val="right"/>
              <w:rPr/>
            </w:pPr>
            <w:r>
              <w:rPr/>
              <w:t>23,163</w:t>
            </w:r>
          </w:p>
        </w:tc>
        <w:tc>
          <w:tcPr>
            <w:tcW w:w="70" w:type="dxa"/>
            <w:tcBorders/>
            <w:shd w:fill="CCEEFF" w:val="clear"/>
            <w:vAlign w:val="center"/>
          </w:tcPr>
          <w:p>
            <w:pPr>
              <w:pStyle w:val="TableContents"/>
              <w:spacing w:before="0" w:after="283"/>
              <w:rPr/>
            </w:pPr>
            <w:r>
              <w:rPr/>
              <w:t> </w:t>
            </w:r>
          </w:p>
        </w:tc>
        <w:tc>
          <w:tcPr>
            <w:tcW w:w="141" w:type="dxa"/>
            <w:tcBorders/>
            <w:shd w:fill="CCEEFF" w:val="clear"/>
            <w:vAlign w:val="center"/>
          </w:tcPr>
          <w:p>
            <w:pPr>
              <w:pStyle w:val="TableContents"/>
              <w:spacing w:before="0" w:after="283"/>
              <w:rPr/>
            </w:pPr>
            <w:r>
              <w:rPr/>
              <w:t>  </w:t>
            </w:r>
          </w:p>
        </w:tc>
        <w:tc>
          <w:tcPr>
            <w:tcW w:w="70" w:type="dxa"/>
            <w:tcBorders/>
            <w:shd w:fill="CCEEFF" w:val="clear"/>
            <w:vAlign w:val="center"/>
          </w:tcPr>
          <w:p>
            <w:pPr>
              <w:pStyle w:val="TableContents"/>
              <w:spacing w:before="0" w:after="283"/>
              <w:rPr>
                <w:sz w:val="4"/>
                <w:szCs w:val="4"/>
              </w:rPr>
            </w:pPr>
            <w:r>
              <w:rPr>
                <w:sz w:val="4"/>
                <w:szCs w:val="4"/>
              </w:rPr>
            </w:r>
          </w:p>
        </w:tc>
        <w:tc>
          <w:tcPr>
            <w:tcW w:w="518" w:type="dxa"/>
            <w:tcBorders/>
            <w:shd w:fill="CCEEFF" w:val="clear"/>
            <w:vAlign w:val="center"/>
          </w:tcPr>
          <w:p>
            <w:pPr>
              <w:pStyle w:val="TableContents"/>
              <w:spacing w:before="0" w:after="283"/>
              <w:rPr>
                <w:sz w:val="4"/>
                <w:szCs w:val="4"/>
              </w:rPr>
            </w:pPr>
            <w:r>
              <w:rPr>
                <w:sz w:val="4"/>
                <w:szCs w:val="4"/>
              </w:rPr>
            </w:r>
          </w:p>
        </w:tc>
        <w:tc>
          <w:tcPr>
            <w:tcW w:w="290" w:type="dxa"/>
            <w:tcBorders/>
            <w:shd w:fill="CCEEFF" w:val="clear"/>
            <w:vAlign w:val="center"/>
          </w:tcPr>
          <w:p>
            <w:pPr>
              <w:pStyle w:val="TableContents"/>
              <w:spacing w:before="0" w:after="283"/>
              <w:rPr>
                <w:sz w:val="4"/>
                <w:szCs w:val="4"/>
              </w:rPr>
            </w:pPr>
            <w:r>
              <w:rPr>
                <w:sz w:val="4"/>
                <w:szCs w:val="4"/>
              </w:rPr>
            </w:r>
          </w:p>
        </w:tc>
      </w:tr>
      <w:tr>
        <w:trPr/>
        <w:tc>
          <w:tcPr>
            <w:tcW w:w="321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 xml:space="preserve">Other costs </w:t>
            </w:r>
          </w:p>
          <w:p>
            <w:pPr>
              <w:pStyle w:val="TableContents"/>
              <w:spacing w:before="0" w:after="0"/>
              <w:rPr>
                <w:rFonts w:ascii="Times New Roman" w:hAnsi="Times New Roman"/>
                <w:spacing w:val="0"/>
                <w:sz w:val="14"/>
              </w:rPr>
            </w:pPr>
            <w:r>
              <w:rPr>
                <w:rFonts w:ascii="Times New Roman" w:hAnsi="Times New Roman"/>
                <w:spacing w:val="0"/>
                <w:sz w:val="14"/>
              </w:rPr>
              <w:t>(1)</w:t>
            </w:r>
          </w:p>
        </w:tc>
        <w:tc>
          <w:tcPr>
            <w:tcW w:w="120" w:type="dxa"/>
            <w:tcBorders/>
            <w:shd w:fill="auto" w:val="clear"/>
            <w:vAlign w:val="center"/>
          </w:tcPr>
          <w:p>
            <w:pPr>
              <w:pStyle w:val="TableContents"/>
              <w:spacing w:before="0" w:after="283"/>
              <w:rPr/>
            </w:pPr>
            <w:r>
              <w:rPr/>
              <w:t>  </w:t>
            </w:r>
          </w:p>
        </w:tc>
        <w:tc>
          <w:tcPr>
            <w:tcW w:w="165" w:type="dxa"/>
            <w:tcBorders/>
            <w:shd w:fill="auto" w:val="clear"/>
            <w:vAlign w:val="center"/>
          </w:tcPr>
          <w:p>
            <w:pPr>
              <w:pStyle w:val="TableContents"/>
              <w:spacing w:before="0" w:after="283"/>
              <w:rPr/>
            </w:pPr>
            <w:r>
              <w:rPr/>
              <w:t> </w:t>
            </w:r>
          </w:p>
        </w:tc>
        <w:tc>
          <w:tcPr>
            <w:tcW w:w="943" w:type="dxa"/>
            <w:tcBorders/>
            <w:shd w:fill="auto" w:val="clear"/>
            <w:vAlign w:val="center"/>
          </w:tcPr>
          <w:p>
            <w:pPr>
              <w:pStyle w:val="TableContents"/>
              <w:spacing w:before="0" w:after="283"/>
              <w:jc w:val="right"/>
              <w:rPr/>
            </w:pPr>
            <w:r>
              <w:rPr/>
              <w:t>42</w:t>
            </w:r>
          </w:p>
        </w:tc>
        <w:tc>
          <w:tcPr>
            <w:tcW w:w="70" w:type="dxa"/>
            <w:tcBorders/>
            <w:shd w:fill="auto" w:val="clear"/>
            <w:vAlign w:val="center"/>
          </w:tcPr>
          <w:p>
            <w:pPr>
              <w:pStyle w:val="TableContents"/>
              <w:spacing w:before="0" w:after="283"/>
              <w:rPr/>
            </w:pPr>
            <w:r>
              <w:rPr/>
              <w:t> </w:t>
            </w:r>
          </w:p>
        </w:tc>
        <w:tc>
          <w:tcPr>
            <w:tcW w:w="141" w:type="dxa"/>
            <w:tcBorders/>
            <w:shd w:fill="auto" w:val="clear"/>
            <w:vAlign w:val="center"/>
          </w:tcPr>
          <w:p>
            <w:pPr>
              <w:pStyle w:val="TableContents"/>
              <w:spacing w:before="0" w:after="283"/>
              <w:rPr/>
            </w:pPr>
            <w:r>
              <w:rPr/>
              <w:t>  </w:t>
            </w:r>
          </w:p>
        </w:tc>
        <w:tc>
          <w:tcPr>
            <w:tcW w:w="70" w:type="dxa"/>
            <w:tcBorders/>
            <w:shd w:fill="auto" w:val="clear"/>
            <w:vAlign w:val="center"/>
          </w:tcPr>
          <w:p>
            <w:pPr>
              <w:pStyle w:val="TableContents"/>
              <w:spacing w:before="0" w:after="283"/>
              <w:rPr>
                <w:sz w:val="4"/>
                <w:szCs w:val="4"/>
              </w:rPr>
            </w:pPr>
            <w:r>
              <w:rPr>
                <w:sz w:val="4"/>
                <w:szCs w:val="4"/>
              </w:rPr>
            </w:r>
          </w:p>
        </w:tc>
        <w:tc>
          <w:tcPr>
            <w:tcW w:w="518"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65" w:type="dxa"/>
            <w:tcBorders/>
            <w:shd w:fill="auto" w:val="clear"/>
            <w:vAlign w:val="center"/>
          </w:tcPr>
          <w:p>
            <w:pPr>
              <w:pStyle w:val="TableContents"/>
              <w:spacing w:before="0" w:after="283"/>
              <w:rPr/>
            </w:pPr>
            <w:r>
              <w:rPr/>
              <w:t> </w:t>
            </w:r>
          </w:p>
        </w:tc>
        <w:tc>
          <w:tcPr>
            <w:tcW w:w="943" w:type="dxa"/>
            <w:tcBorders/>
            <w:shd w:fill="auto" w:val="clear"/>
            <w:vAlign w:val="center"/>
          </w:tcPr>
          <w:p>
            <w:pPr>
              <w:pStyle w:val="TableContents"/>
              <w:spacing w:before="0" w:after="283"/>
              <w:jc w:val="right"/>
              <w:rPr/>
            </w:pPr>
            <w:r>
              <w:rPr/>
              <w:t>136</w:t>
            </w:r>
          </w:p>
        </w:tc>
        <w:tc>
          <w:tcPr>
            <w:tcW w:w="70" w:type="dxa"/>
            <w:tcBorders/>
            <w:shd w:fill="auto" w:val="clear"/>
            <w:vAlign w:val="center"/>
          </w:tcPr>
          <w:p>
            <w:pPr>
              <w:pStyle w:val="TableContents"/>
              <w:spacing w:before="0" w:after="283"/>
              <w:rPr/>
            </w:pPr>
            <w:r>
              <w:rPr/>
              <w:t> </w:t>
            </w:r>
          </w:p>
        </w:tc>
        <w:tc>
          <w:tcPr>
            <w:tcW w:w="141" w:type="dxa"/>
            <w:tcBorders/>
            <w:shd w:fill="auto" w:val="clear"/>
            <w:vAlign w:val="center"/>
          </w:tcPr>
          <w:p>
            <w:pPr>
              <w:pStyle w:val="TableContents"/>
              <w:spacing w:before="0" w:after="283"/>
              <w:rPr/>
            </w:pPr>
            <w:r>
              <w:rPr/>
              <w:t>  </w:t>
            </w:r>
          </w:p>
        </w:tc>
        <w:tc>
          <w:tcPr>
            <w:tcW w:w="70" w:type="dxa"/>
            <w:tcBorders/>
            <w:shd w:fill="auto" w:val="clear"/>
            <w:vAlign w:val="center"/>
          </w:tcPr>
          <w:p>
            <w:pPr>
              <w:pStyle w:val="TableContents"/>
              <w:spacing w:before="0" w:after="283"/>
              <w:rPr>
                <w:sz w:val="4"/>
                <w:szCs w:val="4"/>
              </w:rPr>
            </w:pPr>
            <w:r>
              <w:rPr>
                <w:sz w:val="4"/>
                <w:szCs w:val="4"/>
              </w:rPr>
            </w:r>
          </w:p>
        </w:tc>
        <w:tc>
          <w:tcPr>
            <w:tcW w:w="518"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r>
      <w:tr>
        <w:trPr/>
        <w:tc>
          <w:tcPr>
            <w:tcW w:w="321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65" w:type="dxa"/>
            <w:tcBorders/>
            <w:shd w:fill="auto" w:val="clear"/>
            <w:vAlign w:val="center"/>
          </w:tcPr>
          <w:p>
            <w:pPr>
              <w:pStyle w:val="TableContents"/>
              <w:spacing w:before="0" w:after="0"/>
              <w:rPr>
                <w:bdr w:val="single" w:sz="2" w:space="1" w:color="000000"/>
              </w:rPr>
            </w:pPr>
            <w:r>
              <w:rPr>
                <w:bdr w:val="single" w:sz="2" w:space="1" w:color="000000"/>
              </w:rPr>
              <w:t> </w:t>
            </w:r>
          </w:p>
        </w:tc>
        <w:tc>
          <w:tcPr>
            <w:tcW w:w="943" w:type="dxa"/>
            <w:tcBorders/>
            <w:shd w:fill="auto" w:val="clear"/>
            <w:vAlign w:val="center"/>
          </w:tcPr>
          <w:p>
            <w:pPr>
              <w:pStyle w:val="TableContents"/>
              <w:spacing w:before="0" w:after="0"/>
              <w:rPr>
                <w:bdr w:val="single" w:sz="2" w:space="1" w:color="000000"/>
              </w:rPr>
            </w:pPr>
            <w:r>
              <w:rPr>
                <w:bdr w:val="single" w:sz="2" w:space="1" w:color="000000"/>
              </w:rPr>
              <w:t> </w:t>
            </w:r>
          </w:p>
        </w:tc>
        <w:tc>
          <w:tcPr>
            <w:tcW w:w="70" w:type="dxa"/>
            <w:tcBorders/>
            <w:shd w:fill="auto" w:val="clear"/>
            <w:vAlign w:val="center"/>
          </w:tcPr>
          <w:p>
            <w:pPr>
              <w:pStyle w:val="TableContents"/>
              <w:spacing w:before="0" w:after="283"/>
              <w:rPr/>
            </w:pPr>
            <w:r>
              <w:rPr/>
              <w:t> </w:t>
            </w:r>
          </w:p>
        </w:tc>
        <w:tc>
          <w:tcPr>
            <w:tcW w:w="141" w:type="dxa"/>
            <w:tcBorders/>
            <w:shd w:fill="auto" w:val="clear"/>
            <w:vAlign w:val="center"/>
          </w:tcPr>
          <w:p>
            <w:pPr>
              <w:pStyle w:val="TableContents"/>
              <w:spacing w:before="0" w:after="283"/>
              <w:rPr/>
            </w:pPr>
            <w:r>
              <w:rPr/>
              <w:t>  </w:t>
            </w:r>
          </w:p>
        </w:tc>
        <w:tc>
          <w:tcPr>
            <w:tcW w:w="70" w:type="dxa"/>
            <w:tcBorders/>
            <w:shd w:fill="auto" w:val="clear"/>
            <w:vAlign w:val="center"/>
          </w:tcPr>
          <w:p>
            <w:pPr>
              <w:pStyle w:val="TableContents"/>
              <w:spacing w:before="0" w:after="283"/>
              <w:rPr>
                <w:sz w:val="4"/>
                <w:szCs w:val="4"/>
              </w:rPr>
            </w:pPr>
            <w:r>
              <w:rPr>
                <w:sz w:val="4"/>
                <w:szCs w:val="4"/>
              </w:rPr>
            </w:r>
          </w:p>
        </w:tc>
        <w:tc>
          <w:tcPr>
            <w:tcW w:w="518"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65" w:type="dxa"/>
            <w:tcBorders/>
            <w:shd w:fill="auto" w:val="clear"/>
            <w:vAlign w:val="center"/>
          </w:tcPr>
          <w:p>
            <w:pPr>
              <w:pStyle w:val="TableContents"/>
              <w:spacing w:before="0" w:after="0"/>
              <w:rPr>
                <w:bdr w:val="single" w:sz="2" w:space="1" w:color="000000"/>
              </w:rPr>
            </w:pPr>
            <w:r>
              <w:rPr>
                <w:bdr w:val="single" w:sz="2" w:space="1" w:color="000000"/>
              </w:rPr>
              <w:t> </w:t>
            </w:r>
          </w:p>
        </w:tc>
        <w:tc>
          <w:tcPr>
            <w:tcW w:w="943" w:type="dxa"/>
            <w:tcBorders/>
            <w:shd w:fill="auto" w:val="clear"/>
            <w:vAlign w:val="center"/>
          </w:tcPr>
          <w:p>
            <w:pPr>
              <w:pStyle w:val="TableContents"/>
              <w:spacing w:before="0" w:after="0"/>
              <w:rPr>
                <w:bdr w:val="single" w:sz="2" w:space="1" w:color="000000"/>
              </w:rPr>
            </w:pPr>
            <w:r>
              <w:rPr>
                <w:bdr w:val="single" w:sz="2" w:space="1" w:color="000000"/>
              </w:rPr>
              <w:t> </w:t>
            </w:r>
          </w:p>
        </w:tc>
        <w:tc>
          <w:tcPr>
            <w:tcW w:w="70" w:type="dxa"/>
            <w:tcBorders/>
            <w:shd w:fill="auto" w:val="clear"/>
            <w:vAlign w:val="center"/>
          </w:tcPr>
          <w:p>
            <w:pPr>
              <w:pStyle w:val="TableContents"/>
              <w:spacing w:before="0" w:after="283"/>
              <w:rPr/>
            </w:pPr>
            <w:r>
              <w:rPr/>
              <w:t> </w:t>
            </w:r>
          </w:p>
        </w:tc>
        <w:tc>
          <w:tcPr>
            <w:tcW w:w="141" w:type="dxa"/>
            <w:tcBorders/>
            <w:shd w:fill="auto" w:val="clear"/>
            <w:vAlign w:val="center"/>
          </w:tcPr>
          <w:p>
            <w:pPr>
              <w:pStyle w:val="TableContents"/>
              <w:spacing w:before="0" w:after="283"/>
              <w:rPr/>
            </w:pPr>
            <w:r>
              <w:rPr/>
              <w:t>  </w:t>
            </w:r>
          </w:p>
        </w:tc>
        <w:tc>
          <w:tcPr>
            <w:tcW w:w="70" w:type="dxa"/>
            <w:tcBorders/>
            <w:shd w:fill="auto" w:val="clear"/>
            <w:vAlign w:val="center"/>
          </w:tcPr>
          <w:p>
            <w:pPr>
              <w:pStyle w:val="TableContents"/>
              <w:spacing w:before="0" w:after="283"/>
              <w:rPr>
                <w:sz w:val="4"/>
                <w:szCs w:val="4"/>
              </w:rPr>
            </w:pPr>
            <w:r>
              <w:rPr>
                <w:sz w:val="4"/>
                <w:szCs w:val="4"/>
              </w:rPr>
            </w:r>
          </w:p>
        </w:tc>
        <w:tc>
          <w:tcPr>
            <w:tcW w:w="518"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r>
      <w:tr>
        <w:trPr/>
        <w:tc>
          <w:tcPr>
            <w:tcW w:w="321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Adjusted EBITDA</w:t>
            </w:r>
          </w:p>
        </w:tc>
        <w:tc>
          <w:tcPr>
            <w:tcW w:w="120" w:type="dxa"/>
            <w:tcBorders/>
            <w:shd w:fill="CCEEFF" w:val="clear"/>
            <w:vAlign w:val="center"/>
          </w:tcPr>
          <w:p>
            <w:pPr>
              <w:pStyle w:val="TableContents"/>
              <w:spacing w:before="0" w:after="283"/>
              <w:rPr/>
            </w:pPr>
            <w:r>
              <w:rPr/>
              <w:t>  </w:t>
            </w:r>
          </w:p>
        </w:tc>
        <w:tc>
          <w:tcPr>
            <w:tcW w:w="165" w:type="dxa"/>
            <w:tcBorders/>
            <w:shd w:fill="CCEEFF" w:val="clear"/>
            <w:vAlign w:val="center"/>
          </w:tcPr>
          <w:p>
            <w:pPr>
              <w:pStyle w:val="TableContents"/>
              <w:spacing w:before="0" w:after="283"/>
              <w:rPr/>
            </w:pPr>
            <w:r>
              <w:rPr/>
              <w:t>$</w:t>
            </w:r>
          </w:p>
        </w:tc>
        <w:tc>
          <w:tcPr>
            <w:tcW w:w="943" w:type="dxa"/>
            <w:tcBorders/>
            <w:shd w:fill="CCEEFF" w:val="clear"/>
            <w:vAlign w:val="center"/>
          </w:tcPr>
          <w:p>
            <w:pPr>
              <w:pStyle w:val="TableContents"/>
              <w:spacing w:before="0" w:after="283"/>
              <w:jc w:val="right"/>
              <w:rPr/>
            </w:pPr>
            <w:r>
              <w:rPr/>
              <w:t>308,222</w:t>
            </w:r>
          </w:p>
        </w:tc>
        <w:tc>
          <w:tcPr>
            <w:tcW w:w="70" w:type="dxa"/>
            <w:tcBorders/>
            <w:shd w:fill="CCEEFF" w:val="clear"/>
            <w:vAlign w:val="center"/>
          </w:tcPr>
          <w:p>
            <w:pPr>
              <w:pStyle w:val="TableContents"/>
              <w:spacing w:before="0" w:after="283"/>
              <w:rPr/>
            </w:pPr>
            <w:r>
              <w:rPr/>
              <w:t> </w:t>
            </w:r>
          </w:p>
        </w:tc>
        <w:tc>
          <w:tcPr>
            <w:tcW w:w="141" w:type="dxa"/>
            <w:tcBorders/>
            <w:shd w:fill="CCEEFF" w:val="clear"/>
            <w:vAlign w:val="center"/>
          </w:tcPr>
          <w:p>
            <w:pPr>
              <w:pStyle w:val="TableContents"/>
              <w:spacing w:before="0" w:after="283"/>
              <w:rPr/>
            </w:pPr>
            <w:r>
              <w:rPr/>
              <w:t>  </w:t>
            </w:r>
          </w:p>
        </w:tc>
        <w:tc>
          <w:tcPr>
            <w:tcW w:w="70" w:type="dxa"/>
            <w:tcBorders/>
            <w:shd w:fill="CCEEFF" w:val="clear"/>
            <w:vAlign w:val="center"/>
          </w:tcPr>
          <w:p>
            <w:pPr>
              <w:pStyle w:val="TableContents"/>
              <w:spacing w:before="0" w:after="283"/>
              <w:rPr/>
            </w:pPr>
            <w:r>
              <w:rPr/>
              <w:t> </w:t>
            </w:r>
          </w:p>
        </w:tc>
        <w:tc>
          <w:tcPr>
            <w:tcW w:w="518" w:type="dxa"/>
            <w:tcBorders/>
            <w:shd w:fill="CCEEFF" w:val="clear"/>
            <w:vAlign w:val="center"/>
          </w:tcPr>
          <w:p>
            <w:pPr>
              <w:pStyle w:val="TableContents"/>
              <w:spacing w:before="0" w:after="283"/>
              <w:jc w:val="right"/>
              <w:rPr/>
            </w:pPr>
            <w:r>
              <w:rPr/>
              <w:t>22.8</w:t>
            </w:r>
          </w:p>
        </w:tc>
        <w:tc>
          <w:tcPr>
            <w:tcW w:w="27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65" w:type="dxa"/>
            <w:tcBorders/>
            <w:shd w:fill="CCEEFF" w:val="clear"/>
            <w:vAlign w:val="center"/>
          </w:tcPr>
          <w:p>
            <w:pPr>
              <w:pStyle w:val="TableContents"/>
              <w:spacing w:before="0" w:after="283"/>
              <w:rPr/>
            </w:pPr>
            <w:r>
              <w:rPr/>
              <w:t>$</w:t>
            </w:r>
          </w:p>
        </w:tc>
        <w:tc>
          <w:tcPr>
            <w:tcW w:w="943" w:type="dxa"/>
            <w:tcBorders/>
            <w:shd w:fill="CCEEFF" w:val="clear"/>
            <w:vAlign w:val="center"/>
          </w:tcPr>
          <w:p>
            <w:pPr>
              <w:pStyle w:val="TableContents"/>
              <w:spacing w:before="0" w:after="283"/>
              <w:jc w:val="right"/>
              <w:rPr/>
            </w:pPr>
            <w:r>
              <w:rPr/>
              <w:t>311,117</w:t>
            </w:r>
          </w:p>
        </w:tc>
        <w:tc>
          <w:tcPr>
            <w:tcW w:w="70" w:type="dxa"/>
            <w:tcBorders/>
            <w:shd w:fill="CCEEFF" w:val="clear"/>
            <w:vAlign w:val="center"/>
          </w:tcPr>
          <w:p>
            <w:pPr>
              <w:pStyle w:val="TableContents"/>
              <w:spacing w:before="0" w:after="283"/>
              <w:rPr/>
            </w:pPr>
            <w:r>
              <w:rPr/>
              <w:t> </w:t>
            </w:r>
          </w:p>
        </w:tc>
        <w:tc>
          <w:tcPr>
            <w:tcW w:w="141" w:type="dxa"/>
            <w:tcBorders/>
            <w:shd w:fill="CCEEFF" w:val="clear"/>
            <w:vAlign w:val="center"/>
          </w:tcPr>
          <w:p>
            <w:pPr>
              <w:pStyle w:val="TableContents"/>
              <w:spacing w:before="0" w:after="283"/>
              <w:rPr/>
            </w:pPr>
            <w:r>
              <w:rPr/>
              <w:t>  </w:t>
            </w:r>
          </w:p>
        </w:tc>
        <w:tc>
          <w:tcPr>
            <w:tcW w:w="70" w:type="dxa"/>
            <w:tcBorders/>
            <w:shd w:fill="CCEEFF" w:val="clear"/>
            <w:vAlign w:val="center"/>
          </w:tcPr>
          <w:p>
            <w:pPr>
              <w:pStyle w:val="TableContents"/>
              <w:spacing w:before="0" w:after="283"/>
              <w:rPr/>
            </w:pPr>
            <w:r>
              <w:rPr/>
              <w:t> </w:t>
            </w:r>
          </w:p>
        </w:tc>
        <w:tc>
          <w:tcPr>
            <w:tcW w:w="518" w:type="dxa"/>
            <w:tcBorders/>
            <w:shd w:fill="CCEEFF" w:val="clear"/>
            <w:vAlign w:val="center"/>
          </w:tcPr>
          <w:p>
            <w:pPr>
              <w:pStyle w:val="TableContents"/>
              <w:spacing w:before="0" w:after="283"/>
              <w:jc w:val="right"/>
              <w:rPr/>
            </w:pPr>
            <w:r>
              <w:rPr/>
              <w:t>24.6</w:t>
            </w:r>
          </w:p>
        </w:tc>
        <w:tc>
          <w:tcPr>
            <w:tcW w:w="290" w:type="dxa"/>
            <w:tcBorders/>
            <w:shd w:fill="CCEEFF" w:val="clear"/>
            <w:vAlign w:val="center"/>
          </w:tcPr>
          <w:p>
            <w:pPr>
              <w:pStyle w:val="TableContents"/>
              <w:spacing w:before="0" w:after="283"/>
              <w:rPr/>
            </w:pPr>
            <w:r>
              <w:rPr/>
              <w:t>% </w:t>
            </w:r>
          </w:p>
        </w:tc>
      </w:tr>
      <w:tr>
        <w:trPr/>
        <w:tc>
          <w:tcPr>
            <w:tcW w:w="321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65" w:type="dxa"/>
            <w:tcBorders/>
            <w:shd w:fill="auto" w:val="clear"/>
            <w:vAlign w:val="center"/>
          </w:tcPr>
          <w:p>
            <w:pPr>
              <w:pStyle w:val="TableContents"/>
              <w:spacing w:before="0" w:after="0"/>
              <w:rPr>
                <w:bdr w:val="double" w:sz="6" w:space="1" w:color="000000"/>
              </w:rPr>
            </w:pPr>
            <w:r>
              <w:rPr>
                <w:bdr w:val="double" w:sz="6" w:space="1" w:color="000000"/>
              </w:rPr>
              <w:t> </w:t>
            </w:r>
          </w:p>
        </w:tc>
        <w:tc>
          <w:tcPr>
            <w:tcW w:w="943" w:type="dxa"/>
            <w:tcBorders/>
            <w:shd w:fill="auto" w:val="clear"/>
            <w:vAlign w:val="center"/>
          </w:tcPr>
          <w:p>
            <w:pPr>
              <w:pStyle w:val="TableContents"/>
              <w:spacing w:before="0" w:after="0"/>
              <w:rPr>
                <w:bdr w:val="double" w:sz="6" w:space="1" w:color="000000"/>
              </w:rPr>
            </w:pPr>
            <w:r>
              <w:rPr>
                <w:bdr w:val="double" w:sz="6" w:space="1" w:color="000000"/>
              </w:rPr>
              <w:t> </w:t>
            </w:r>
          </w:p>
        </w:tc>
        <w:tc>
          <w:tcPr>
            <w:tcW w:w="70" w:type="dxa"/>
            <w:tcBorders/>
            <w:shd w:fill="auto" w:val="clear"/>
            <w:vAlign w:val="center"/>
          </w:tcPr>
          <w:p>
            <w:pPr>
              <w:pStyle w:val="TableContents"/>
              <w:spacing w:before="0" w:after="283"/>
              <w:rPr/>
            </w:pPr>
            <w:r>
              <w:rPr/>
              <w:t> </w:t>
            </w:r>
          </w:p>
        </w:tc>
        <w:tc>
          <w:tcPr>
            <w:tcW w:w="141" w:type="dxa"/>
            <w:tcBorders/>
            <w:shd w:fill="auto" w:val="clear"/>
            <w:vAlign w:val="center"/>
          </w:tcPr>
          <w:p>
            <w:pPr>
              <w:pStyle w:val="TableContents"/>
              <w:spacing w:before="0" w:after="283"/>
              <w:rPr/>
            </w:pPr>
            <w:r>
              <w:rPr/>
              <w:t>  </w:t>
            </w:r>
          </w:p>
        </w:tc>
        <w:tc>
          <w:tcPr>
            <w:tcW w:w="70" w:type="dxa"/>
            <w:tcBorders/>
            <w:shd w:fill="auto" w:val="clear"/>
            <w:vAlign w:val="center"/>
          </w:tcPr>
          <w:p>
            <w:pPr>
              <w:pStyle w:val="TableContents"/>
              <w:spacing w:before="0" w:after="283"/>
              <w:rPr>
                <w:sz w:val="4"/>
                <w:szCs w:val="4"/>
              </w:rPr>
            </w:pPr>
            <w:r>
              <w:rPr>
                <w:sz w:val="4"/>
                <w:szCs w:val="4"/>
              </w:rPr>
            </w:r>
          </w:p>
        </w:tc>
        <w:tc>
          <w:tcPr>
            <w:tcW w:w="518"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65" w:type="dxa"/>
            <w:tcBorders/>
            <w:shd w:fill="auto" w:val="clear"/>
            <w:vAlign w:val="center"/>
          </w:tcPr>
          <w:p>
            <w:pPr>
              <w:pStyle w:val="TableContents"/>
              <w:spacing w:before="0" w:after="0"/>
              <w:rPr>
                <w:bdr w:val="double" w:sz="6" w:space="1" w:color="000000"/>
              </w:rPr>
            </w:pPr>
            <w:r>
              <w:rPr>
                <w:bdr w:val="double" w:sz="6" w:space="1" w:color="000000"/>
              </w:rPr>
              <w:t> </w:t>
            </w:r>
          </w:p>
        </w:tc>
        <w:tc>
          <w:tcPr>
            <w:tcW w:w="943" w:type="dxa"/>
            <w:tcBorders/>
            <w:shd w:fill="auto" w:val="clear"/>
            <w:vAlign w:val="center"/>
          </w:tcPr>
          <w:p>
            <w:pPr>
              <w:pStyle w:val="TableContents"/>
              <w:spacing w:before="0" w:after="0"/>
              <w:rPr>
                <w:bdr w:val="double" w:sz="6" w:space="1" w:color="000000"/>
              </w:rPr>
            </w:pPr>
            <w:r>
              <w:rPr>
                <w:bdr w:val="double" w:sz="6" w:space="1" w:color="000000"/>
              </w:rPr>
              <w:t> </w:t>
            </w:r>
          </w:p>
        </w:tc>
        <w:tc>
          <w:tcPr>
            <w:tcW w:w="70" w:type="dxa"/>
            <w:tcBorders/>
            <w:shd w:fill="auto" w:val="clear"/>
            <w:vAlign w:val="center"/>
          </w:tcPr>
          <w:p>
            <w:pPr>
              <w:pStyle w:val="TableContents"/>
              <w:spacing w:before="0" w:after="283"/>
              <w:rPr/>
            </w:pPr>
            <w:r>
              <w:rPr/>
              <w:t> </w:t>
            </w:r>
          </w:p>
        </w:tc>
        <w:tc>
          <w:tcPr>
            <w:tcW w:w="141" w:type="dxa"/>
            <w:tcBorders/>
            <w:shd w:fill="auto" w:val="clear"/>
            <w:vAlign w:val="center"/>
          </w:tcPr>
          <w:p>
            <w:pPr>
              <w:pStyle w:val="TableContents"/>
              <w:spacing w:before="0" w:after="283"/>
              <w:rPr/>
            </w:pPr>
            <w:r>
              <w:rPr/>
              <w:t>  </w:t>
            </w:r>
          </w:p>
        </w:tc>
        <w:tc>
          <w:tcPr>
            <w:tcW w:w="70" w:type="dxa"/>
            <w:tcBorders/>
            <w:shd w:fill="auto" w:val="clear"/>
            <w:vAlign w:val="center"/>
          </w:tcPr>
          <w:p>
            <w:pPr>
              <w:pStyle w:val="TableContents"/>
              <w:spacing w:before="0" w:after="283"/>
              <w:rPr>
                <w:sz w:val="4"/>
                <w:szCs w:val="4"/>
              </w:rPr>
            </w:pPr>
            <w:r>
              <w:rPr>
                <w:sz w:val="4"/>
                <w:szCs w:val="4"/>
              </w:rPr>
            </w:r>
          </w:p>
        </w:tc>
        <w:tc>
          <w:tcPr>
            <w:tcW w:w="518"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jc w:val="left"/>
        <w:rPr>
          <w:spacing w:val="0"/>
        </w:rPr>
      </w:pPr>
      <w:r>
        <w:rPr>
          <w:spacing w:val="0"/>
        </w:rPr>
        <w:t> </w:t>
      </w:r>
    </w:p>
    <w:tbl>
      <w:tblPr>
        <w:tblW w:w="6220" w:type="dxa"/>
        <w:jc w:val="left"/>
        <w:tblInd w:w="0" w:type="dxa"/>
        <w:tblCellMar>
          <w:top w:w="0" w:type="dxa"/>
          <w:left w:w="0" w:type="dxa"/>
          <w:bottom w:w="0" w:type="dxa"/>
          <w:right w:w="0" w:type="dxa"/>
        </w:tblCellMar>
      </w:tblPr>
      <w:tblGrid>
        <w:gridCol w:w="200"/>
        <w:gridCol w:w="6020"/>
      </w:tblGrid>
      <w:tr>
        <w:trPr/>
        <w:tc>
          <w:tcPr>
            <w:tcW w:w="200" w:type="dxa"/>
            <w:tcBorders/>
            <w:shd w:fill="auto" w:val="clear"/>
            <w:vAlign w:val="center"/>
          </w:tcPr>
          <w:p>
            <w:pPr>
              <w:pStyle w:val="TableContents"/>
              <w:spacing w:before="0" w:after="0"/>
              <w:jc w:val="left"/>
              <w:rPr>
                <w:sz w:val="14"/>
              </w:rPr>
            </w:pPr>
            <w:r>
              <w:rPr>
                <w:sz w:val="14"/>
              </w:rPr>
              <w:t>(1)</w:t>
            </w:r>
          </w:p>
          <w:p>
            <w:pPr>
              <w:pStyle w:val="TableContents"/>
              <w:spacing w:before="0" w:after="0"/>
              <w:jc w:val="left"/>
              <w:rPr/>
            </w:pPr>
            <w:r>
              <w:rPr/>
              <w:t> </w:t>
            </w:r>
          </w:p>
        </w:tc>
        <w:tc>
          <w:tcPr>
            <w:tcW w:w="602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Primarily represents costs related to currency transaction (gains) or losses. </w:t>
            </w:r>
          </w:p>
        </w:tc>
      </w:tr>
    </w:tbl>
    <w:p>
      <w:pPr>
        <w:pStyle w:val="TextBody"/>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Store Operating Income Before Depreciation and Amortization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The following table reconciles Operating income to Store Operating Income Before Depreciation and Amortization for the periods indicated: </w:t>
      </w:r>
    </w:p>
    <w:p>
      <w:pPr>
        <w:pStyle w:val="TextBody"/>
        <w:spacing w:before="0" w:after="0"/>
        <w:jc w:val="left"/>
        <w:rPr>
          <w:spacing w:val="0"/>
        </w:rPr>
      </w:pPr>
      <w:r>
        <w:rPr>
          <w:spacing w:val="0"/>
        </w:rPr>
        <w:t> </w:t>
      </w:r>
    </w:p>
    <w:tbl>
      <w:tblPr>
        <w:tblW w:w="9664" w:type="dxa"/>
        <w:jc w:val="left"/>
        <w:tblInd w:w="0" w:type="dxa"/>
        <w:tblCellMar>
          <w:top w:w="0" w:type="dxa"/>
          <w:left w:w="0" w:type="dxa"/>
          <w:bottom w:w="0" w:type="dxa"/>
          <w:right w:w="0" w:type="dxa"/>
        </w:tblCellMar>
      </w:tblPr>
      <w:tblGrid>
        <w:gridCol w:w="5105"/>
        <w:gridCol w:w="120"/>
        <w:gridCol w:w="165"/>
        <w:gridCol w:w="943"/>
        <w:gridCol w:w="70"/>
        <w:gridCol w:w="141"/>
        <w:gridCol w:w="70"/>
        <w:gridCol w:w="518"/>
        <w:gridCol w:w="275"/>
        <w:gridCol w:w="60"/>
        <w:gridCol w:w="165"/>
        <w:gridCol w:w="943"/>
        <w:gridCol w:w="70"/>
        <w:gridCol w:w="141"/>
        <w:gridCol w:w="70"/>
        <w:gridCol w:w="518"/>
        <w:gridCol w:w="290"/>
      </w:tblGrid>
      <w:tr>
        <w:trPr/>
        <w:tc>
          <w:tcPr>
            <w:tcW w:w="510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943" w:type="dxa"/>
            <w:tcBorders/>
            <w:shd w:fill="auto" w:val="clear"/>
            <w:vAlign w:val="center"/>
          </w:tcPr>
          <w:p>
            <w:pPr>
              <w:pStyle w:val="TableContents"/>
              <w:spacing w:before="0" w:after="283"/>
              <w:rPr>
                <w:sz w:val="4"/>
                <w:szCs w:val="4"/>
              </w:rPr>
            </w:pPr>
            <w:r>
              <w:rPr>
                <w:sz w:val="4"/>
                <w:szCs w:val="4"/>
              </w:rPr>
            </w:r>
          </w:p>
        </w:tc>
        <w:tc>
          <w:tcPr>
            <w:tcW w:w="70"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70" w:type="dxa"/>
            <w:tcBorders/>
            <w:shd w:fill="auto" w:val="clear"/>
            <w:vAlign w:val="center"/>
          </w:tcPr>
          <w:p>
            <w:pPr>
              <w:pStyle w:val="TableContents"/>
              <w:spacing w:before="0" w:after="283"/>
              <w:rPr>
                <w:sz w:val="4"/>
                <w:szCs w:val="4"/>
              </w:rPr>
            </w:pPr>
            <w:r>
              <w:rPr>
                <w:sz w:val="4"/>
                <w:szCs w:val="4"/>
              </w:rPr>
            </w:r>
          </w:p>
        </w:tc>
        <w:tc>
          <w:tcPr>
            <w:tcW w:w="518"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943" w:type="dxa"/>
            <w:tcBorders/>
            <w:shd w:fill="auto" w:val="clear"/>
            <w:vAlign w:val="center"/>
          </w:tcPr>
          <w:p>
            <w:pPr>
              <w:pStyle w:val="TableContents"/>
              <w:spacing w:before="0" w:after="283"/>
              <w:rPr>
                <w:sz w:val="4"/>
                <w:szCs w:val="4"/>
              </w:rPr>
            </w:pPr>
            <w:r>
              <w:rPr>
                <w:sz w:val="4"/>
                <w:szCs w:val="4"/>
              </w:rPr>
            </w:r>
          </w:p>
        </w:tc>
        <w:tc>
          <w:tcPr>
            <w:tcW w:w="70"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70" w:type="dxa"/>
            <w:tcBorders/>
            <w:shd w:fill="auto" w:val="clear"/>
            <w:vAlign w:val="center"/>
          </w:tcPr>
          <w:p>
            <w:pPr>
              <w:pStyle w:val="TableContents"/>
              <w:spacing w:before="0" w:after="283"/>
              <w:rPr>
                <w:sz w:val="4"/>
                <w:szCs w:val="4"/>
              </w:rPr>
            </w:pPr>
            <w:r>
              <w:rPr>
                <w:sz w:val="4"/>
                <w:szCs w:val="4"/>
              </w:rPr>
            </w:r>
          </w:p>
        </w:tc>
        <w:tc>
          <w:tcPr>
            <w:tcW w:w="518"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r>
      <w:tr>
        <w:trPr/>
        <w:tc>
          <w:tcPr>
            <w:tcW w:w="510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907" w:type="dxa"/>
            <w:gridSpan w:val="6"/>
            <w:tcBorders/>
            <w:shd w:fill="auto" w:val="clear"/>
            <w:vAlign w:val="center"/>
          </w:tcPr>
          <w:p>
            <w:pPr>
              <w:pStyle w:val="TableContents"/>
              <w:spacing w:before="0" w:after="0"/>
              <w:jc w:val="center"/>
              <w:rPr>
                <w:b/>
                <w:spacing w:val="0"/>
              </w:rPr>
            </w:pPr>
            <w:r>
              <w:rPr>
                <w:b/>
                <w:spacing w:val="0"/>
              </w:rPr>
              <w:t>Fiscal Year Ended</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907" w:type="dxa"/>
            <w:gridSpan w:val="6"/>
            <w:tcBorders/>
            <w:shd w:fill="auto" w:val="clear"/>
            <w:vAlign w:val="center"/>
          </w:tcPr>
          <w:p>
            <w:pPr>
              <w:pStyle w:val="TableContents"/>
              <w:spacing w:before="0" w:after="0"/>
              <w:jc w:val="center"/>
              <w:rPr>
                <w:b/>
                <w:spacing w:val="0"/>
              </w:rPr>
            </w:pPr>
            <w:r>
              <w:rPr>
                <w:b/>
                <w:spacing w:val="0"/>
              </w:rPr>
              <w:t>Fiscal Year Ended</w:t>
            </w:r>
          </w:p>
        </w:tc>
        <w:tc>
          <w:tcPr>
            <w:tcW w:w="290" w:type="dxa"/>
            <w:tcBorders/>
            <w:shd w:fill="auto" w:val="clear"/>
            <w:vAlign w:val="center"/>
          </w:tcPr>
          <w:p>
            <w:pPr>
              <w:pStyle w:val="TableContents"/>
              <w:spacing w:before="0" w:after="283"/>
              <w:rPr/>
            </w:pPr>
            <w:r>
              <w:rPr/>
              <w:t> </w:t>
            </w:r>
          </w:p>
        </w:tc>
      </w:tr>
      <w:tr>
        <w:trPr/>
        <w:tc>
          <w:tcPr>
            <w:tcW w:w="510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907" w:type="dxa"/>
            <w:gridSpan w:val="6"/>
            <w:tcBorders/>
            <w:shd w:fill="auto" w:val="clear"/>
            <w:vAlign w:val="center"/>
          </w:tcPr>
          <w:p>
            <w:pPr>
              <w:pStyle w:val="TableContents"/>
              <w:spacing w:before="0" w:after="0"/>
              <w:jc w:val="center"/>
              <w:rPr>
                <w:b/>
                <w:spacing w:val="0"/>
              </w:rPr>
            </w:pPr>
            <w:r>
              <w:rPr>
                <w:b/>
                <w:spacing w:val="0"/>
              </w:rPr>
              <w:t>February 2, 2020</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907" w:type="dxa"/>
            <w:gridSpan w:val="6"/>
            <w:tcBorders/>
            <w:shd w:fill="auto" w:val="clear"/>
            <w:vAlign w:val="center"/>
          </w:tcPr>
          <w:p>
            <w:pPr>
              <w:pStyle w:val="TableContents"/>
              <w:spacing w:before="0" w:after="0"/>
              <w:jc w:val="center"/>
              <w:rPr>
                <w:b/>
                <w:spacing w:val="0"/>
              </w:rPr>
            </w:pPr>
            <w:r>
              <w:rPr>
                <w:b/>
                <w:spacing w:val="0"/>
              </w:rPr>
              <w:t>February 3, 2019</w:t>
            </w:r>
          </w:p>
        </w:tc>
        <w:tc>
          <w:tcPr>
            <w:tcW w:w="290" w:type="dxa"/>
            <w:tcBorders/>
            <w:shd w:fill="auto" w:val="clear"/>
            <w:vAlign w:val="center"/>
          </w:tcPr>
          <w:p>
            <w:pPr>
              <w:pStyle w:val="TableContents"/>
              <w:spacing w:before="0" w:after="283"/>
              <w:rPr/>
            </w:pPr>
            <w:r>
              <w:rPr/>
              <w:t> </w:t>
            </w:r>
          </w:p>
        </w:tc>
      </w:tr>
      <w:tr>
        <w:trPr/>
        <w:tc>
          <w:tcPr>
            <w:tcW w:w="510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Operating income</w:t>
            </w:r>
          </w:p>
        </w:tc>
        <w:tc>
          <w:tcPr>
            <w:tcW w:w="120" w:type="dxa"/>
            <w:tcBorders/>
            <w:shd w:fill="CCEEFF" w:val="clear"/>
            <w:vAlign w:val="center"/>
          </w:tcPr>
          <w:p>
            <w:pPr>
              <w:pStyle w:val="TableContents"/>
              <w:spacing w:before="0" w:after="283"/>
              <w:rPr/>
            </w:pPr>
            <w:r>
              <w:rPr/>
              <w:t>  </w:t>
            </w:r>
          </w:p>
        </w:tc>
        <w:tc>
          <w:tcPr>
            <w:tcW w:w="165" w:type="dxa"/>
            <w:tcBorders/>
            <w:shd w:fill="CCEEFF" w:val="clear"/>
            <w:vAlign w:val="center"/>
          </w:tcPr>
          <w:p>
            <w:pPr>
              <w:pStyle w:val="TableContents"/>
              <w:spacing w:before="0" w:after="283"/>
              <w:rPr/>
            </w:pPr>
            <w:r>
              <w:rPr/>
              <w:t>$</w:t>
            </w:r>
          </w:p>
        </w:tc>
        <w:tc>
          <w:tcPr>
            <w:tcW w:w="943" w:type="dxa"/>
            <w:tcBorders/>
            <w:shd w:fill="CCEEFF" w:val="clear"/>
            <w:vAlign w:val="center"/>
          </w:tcPr>
          <w:p>
            <w:pPr>
              <w:pStyle w:val="TableContents"/>
              <w:spacing w:before="0" w:after="283"/>
              <w:jc w:val="right"/>
              <w:rPr/>
            </w:pPr>
            <w:r>
              <w:rPr/>
              <w:t>148,079</w:t>
            </w:r>
          </w:p>
        </w:tc>
        <w:tc>
          <w:tcPr>
            <w:tcW w:w="70" w:type="dxa"/>
            <w:tcBorders/>
            <w:shd w:fill="CCEEFF" w:val="clear"/>
            <w:vAlign w:val="center"/>
          </w:tcPr>
          <w:p>
            <w:pPr>
              <w:pStyle w:val="TableContents"/>
              <w:spacing w:before="0" w:after="283"/>
              <w:rPr/>
            </w:pPr>
            <w:r>
              <w:rPr/>
              <w:t> </w:t>
            </w:r>
          </w:p>
        </w:tc>
        <w:tc>
          <w:tcPr>
            <w:tcW w:w="141" w:type="dxa"/>
            <w:tcBorders/>
            <w:shd w:fill="CCEEFF" w:val="clear"/>
            <w:vAlign w:val="center"/>
          </w:tcPr>
          <w:p>
            <w:pPr>
              <w:pStyle w:val="TableContents"/>
              <w:spacing w:before="0" w:after="283"/>
              <w:rPr/>
            </w:pPr>
            <w:r>
              <w:rPr/>
              <w:t>  </w:t>
            </w:r>
          </w:p>
        </w:tc>
        <w:tc>
          <w:tcPr>
            <w:tcW w:w="70" w:type="dxa"/>
            <w:tcBorders/>
            <w:shd w:fill="CCEEFF" w:val="clear"/>
            <w:vAlign w:val="center"/>
          </w:tcPr>
          <w:p>
            <w:pPr>
              <w:pStyle w:val="TableContents"/>
              <w:spacing w:before="0" w:after="283"/>
              <w:rPr/>
            </w:pPr>
            <w:r>
              <w:rPr/>
              <w:t> </w:t>
            </w:r>
          </w:p>
        </w:tc>
        <w:tc>
          <w:tcPr>
            <w:tcW w:w="518" w:type="dxa"/>
            <w:tcBorders/>
            <w:shd w:fill="CCEEFF" w:val="clear"/>
            <w:vAlign w:val="center"/>
          </w:tcPr>
          <w:p>
            <w:pPr>
              <w:pStyle w:val="TableContents"/>
              <w:spacing w:before="0" w:after="283"/>
              <w:jc w:val="right"/>
              <w:rPr/>
            </w:pPr>
            <w:r>
              <w:rPr/>
              <w:t>10.9</w:t>
            </w:r>
          </w:p>
        </w:tc>
        <w:tc>
          <w:tcPr>
            <w:tcW w:w="27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65" w:type="dxa"/>
            <w:tcBorders/>
            <w:shd w:fill="CCEEFF" w:val="clear"/>
            <w:vAlign w:val="center"/>
          </w:tcPr>
          <w:p>
            <w:pPr>
              <w:pStyle w:val="TableContents"/>
              <w:spacing w:before="0" w:after="283"/>
              <w:rPr/>
            </w:pPr>
            <w:r>
              <w:rPr/>
              <w:t>$</w:t>
            </w:r>
          </w:p>
        </w:tc>
        <w:tc>
          <w:tcPr>
            <w:tcW w:w="943" w:type="dxa"/>
            <w:tcBorders/>
            <w:shd w:fill="CCEEFF" w:val="clear"/>
            <w:vAlign w:val="center"/>
          </w:tcPr>
          <w:p>
            <w:pPr>
              <w:pStyle w:val="TableContents"/>
              <w:spacing w:before="0" w:after="283"/>
              <w:jc w:val="right"/>
              <w:rPr/>
            </w:pPr>
            <w:r>
              <w:rPr/>
              <w:t>161,000</w:t>
            </w:r>
          </w:p>
        </w:tc>
        <w:tc>
          <w:tcPr>
            <w:tcW w:w="70" w:type="dxa"/>
            <w:tcBorders/>
            <w:shd w:fill="CCEEFF" w:val="clear"/>
            <w:vAlign w:val="center"/>
          </w:tcPr>
          <w:p>
            <w:pPr>
              <w:pStyle w:val="TableContents"/>
              <w:spacing w:before="0" w:after="283"/>
              <w:rPr/>
            </w:pPr>
            <w:r>
              <w:rPr/>
              <w:t> </w:t>
            </w:r>
          </w:p>
        </w:tc>
        <w:tc>
          <w:tcPr>
            <w:tcW w:w="141" w:type="dxa"/>
            <w:tcBorders/>
            <w:shd w:fill="CCEEFF" w:val="clear"/>
            <w:vAlign w:val="center"/>
          </w:tcPr>
          <w:p>
            <w:pPr>
              <w:pStyle w:val="TableContents"/>
              <w:spacing w:before="0" w:after="283"/>
              <w:rPr/>
            </w:pPr>
            <w:r>
              <w:rPr/>
              <w:t>  </w:t>
            </w:r>
          </w:p>
        </w:tc>
        <w:tc>
          <w:tcPr>
            <w:tcW w:w="70" w:type="dxa"/>
            <w:tcBorders/>
            <w:shd w:fill="CCEEFF" w:val="clear"/>
            <w:vAlign w:val="center"/>
          </w:tcPr>
          <w:p>
            <w:pPr>
              <w:pStyle w:val="TableContents"/>
              <w:spacing w:before="0" w:after="283"/>
              <w:rPr/>
            </w:pPr>
            <w:r>
              <w:rPr/>
              <w:t> </w:t>
            </w:r>
          </w:p>
        </w:tc>
        <w:tc>
          <w:tcPr>
            <w:tcW w:w="518" w:type="dxa"/>
            <w:tcBorders/>
            <w:shd w:fill="CCEEFF" w:val="clear"/>
            <w:vAlign w:val="center"/>
          </w:tcPr>
          <w:p>
            <w:pPr>
              <w:pStyle w:val="TableContents"/>
              <w:spacing w:before="0" w:after="283"/>
              <w:jc w:val="right"/>
              <w:rPr/>
            </w:pPr>
            <w:r>
              <w:rPr/>
              <w:t>12.7</w:t>
            </w:r>
          </w:p>
        </w:tc>
        <w:tc>
          <w:tcPr>
            <w:tcW w:w="290" w:type="dxa"/>
            <w:tcBorders/>
            <w:shd w:fill="CCEEFF" w:val="clear"/>
            <w:vAlign w:val="center"/>
          </w:tcPr>
          <w:p>
            <w:pPr>
              <w:pStyle w:val="TableContents"/>
              <w:spacing w:before="0" w:after="283"/>
              <w:rPr/>
            </w:pPr>
            <w:r>
              <w:rPr/>
              <w:t>% </w:t>
            </w:r>
          </w:p>
        </w:tc>
      </w:tr>
      <w:tr>
        <w:trPr/>
        <w:tc>
          <w:tcPr>
            <w:tcW w:w="510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General and administrative expenses</w:t>
            </w:r>
          </w:p>
        </w:tc>
        <w:tc>
          <w:tcPr>
            <w:tcW w:w="120" w:type="dxa"/>
            <w:tcBorders/>
            <w:shd w:fill="auto" w:val="clear"/>
            <w:vAlign w:val="center"/>
          </w:tcPr>
          <w:p>
            <w:pPr>
              <w:pStyle w:val="TableContents"/>
              <w:spacing w:before="0" w:after="283"/>
              <w:rPr/>
            </w:pPr>
            <w:r>
              <w:rPr/>
              <w:t>  </w:t>
            </w:r>
          </w:p>
        </w:tc>
        <w:tc>
          <w:tcPr>
            <w:tcW w:w="165" w:type="dxa"/>
            <w:tcBorders/>
            <w:shd w:fill="auto" w:val="clear"/>
            <w:vAlign w:val="center"/>
          </w:tcPr>
          <w:p>
            <w:pPr>
              <w:pStyle w:val="TableContents"/>
              <w:spacing w:before="0" w:after="283"/>
              <w:rPr/>
            </w:pPr>
            <w:r>
              <w:rPr/>
              <w:t> </w:t>
            </w:r>
          </w:p>
        </w:tc>
        <w:tc>
          <w:tcPr>
            <w:tcW w:w="943" w:type="dxa"/>
            <w:tcBorders/>
            <w:shd w:fill="auto" w:val="clear"/>
            <w:vAlign w:val="center"/>
          </w:tcPr>
          <w:p>
            <w:pPr>
              <w:pStyle w:val="TableContents"/>
              <w:spacing w:before="0" w:after="283"/>
              <w:jc w:val="right"/>
              <w:rPr/>
            </w:pPr>
            <w:r>
              <w:rPr/>
              <w:t>69,469</w:t>
            </w:r>
          </w:p>
        </w:tc>
        <w:tc>
          <w:tcPr>
            <w:tcW w:w="70" w:type="dxa"/>
            <w:tcBorders/>
            <w:shd w:fill="auto" w:val="clear"/>
            <w:vAlign w:val="center"/>
          </w:tcPr>
          <w:p>
            <w:pPr>
              <w:pStyle w:val="TableContents"/>
              <w:spacing w:before="0" w:after="283"/>
              <w:rPr/>
            </w:pPr>
            <w:r>
              <w:rPr/>
              <w:t> </w:t>
            </w:r>
          </w:p>
        </w:tc>
        <w:tc>
          <w:tcPr>
            <w:tcW w:w="141" w:type="dxa"/>
            <w:tcBorders/>
            <w:shd w:fill="auto" w:val="clear"/>
            <w:vAlign w:val="center"/>
          </w:tcPr>
          <w:p>
            <w:pPr>
              <w:pStyle w:val="TableContents"/>
              <w:spacing w:before="0" w:after="283"/>
              <w:rPr/>
            </w:pPr>
            <w:r>
              <w:rPr/>
              <w:t>  </w:t>
            </w:r>
          </w:p>
        </w:tc>
        <w:tc>
          <w:tcPr>
            <w:tcW w:w="70" w:type="dxa"/>
            <w:tcBorders/>
            <w:shd w:fill="auto" w:val="clear"/>
            <w:vAlign w:val="center"/>
          </w:tcPr>
          <w:p>
            <w:pPr>
              <w:pStyle w:val="TableContents"/>
              <w:spacing w:before="0" w:after="283"/>
              <w:rPr>
                <w:sz w:val="4"/>
                <w:szCs w:val="4"/>
              </w:rPr>
            </w:pPr>
            <w:r>
              <w:rPr>
                <w:sz w:val="4"/>
                <w:szCs w:val="4"/>
              </w:rPr>
            </w:r>
          </w:p>
        </w:tc>
        <w:tc>
          <w:tcPr>
            <w:tcW w:w="518"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65" w:type="dxa"/>
            <w:tcBorders/>
            <w:shd w:fill="auto" w:val="clear"/>
            <w:vAlign w:val="center"/>
          </w:tcPr>
          <w:p>
            <w:pPr>
              <w:pStyle w:val="TableContents"/>
              <w:spacing w:before="0" w:after="283"/>
              <w:rPr/>
            </w:pPr>
            <w:r>
              <w:rPr/>
              <w:t> </w:t>
            </w:r>
          </w:p>
        </w:tc>
        <w:tc>
          <w:tcPr>
            <w:tcW w:w="943" w:type="dxa"/>
            <w:tcBorders/>
            <w:shd w:fill="auto" w:val="clear"/>
            <w:vAlign w:val="center"/>
          </w:tcPr>
          <w:p>
            <w:pPr>
              <w:pStyle w:val="TableContents"/>
              <w:spacing w:before="0" w:after="283"/>
              <w:jc w:val="right"/>
              <w:rPr/>
            </w:pPr>
            <w:r>
              <w:rPr/>
              <w:t>61,521</w:t>
            </w:r>
          </w:p>
        </w:tc>
        <w:tc>
          <w:tcPr>
            <w:tcW w:w="70" w:type="dxa"/>
            <w:tcBorders/>
            <w:shd w:fill="auto" w:val="clear"/>
            <w:vAlign w:val="center"/>
          </w:tcPr>
          <w:p>
            <w:pPr>
              <w:pStyle w:val="TableContents"/>
              <w:spacing w:before="0" w:after="283"/>
              <w:rPr/>
            </w:pPr>
            <w:r>
              <w:rPr/>
              <w:t> </w:t>
            </w:r>
          </w:p>
        </w:tc>
        <w:tc>
          <w:tcPr>
            <w:tcW w:w="141" w:type="dxa"/>
            <w:tcBorders/>
            <w:shd w:fill="auto" w:val="clear"/>
            <w:vAlign w:val="center"/>
          </w:tcPr>
          <w:p>
            <w:pPr>
              <w:pStyle w:val="TableContents"/>
              <w:spacing w:before="0" w:after="283"/>
              <w:rPr/>
            </w:pPr>
            <w:r>
              <w:rPr/>
              <w:t>  </w:t>
            </w:r>
          </w:p>
        </w:tc>
        <w:tc>
          <w:tcPr>
            <w:tcW w:w="70" w:type="dxa"/>
            <w:tcBorders/>
            <w:shd w:fill="auto" w:val="clear"/>
            <w:vAlign w:val="center"/>
          </w:tcPr>
          <w:p>
            <w:pPr>
              <w:pStyle w:val="TableContents"/>
              <w:spacing w:before="0" w:after="283"/>
              <w:rPr>
                <w:sz w:val="4"/>
                <w:szCs w:val="4"/>
              </w:rPr>
            </w:pPr>
            <w:r>
              <w:rPr>
                <w:sz w:val="4"/>
                <w:szCs w:val="4"/>
              </w:rPr>
            </w:r>
          </w:p>
        </w:tc>
        <w:tc>
          <w:tcPr>
            <w:tcW w:w="518"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r>
      <w:tr>
        <w:trPr/>
        <w:tc>
          <w:tcPr>
            <w:tcW w:w="510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Depreciation and amortization expense</w:t>
            </w:r>
          </w:p>
        </w:tc>
        <w:tc>
          <w:tcPr>
            <w:tcW w:w="120" w:type="dxa"/>
            <w:tcBorders/>
            <w:shd w:fill="CCEEFF" w:val="clear"/>
            <w:vAlign w:val="center"/>
          </w:tcPr>
          <w:p>
            <w:pPr>
              <w:pStyle w:val="TableContents"/>
              <w:spacing w:before="0" w:after="283"/>
              <w:rPr/>
            </w:pPr>
            <w:r>
              <w:rPr/>
              <w:t>  </w:t>
            </w:r>
          </w:p>
        </w:tc>
        <w:tc>
          <w:tcPr>
            <w:tcW w:w="165" w:type="dxa"/>
            <w:tcBorders/>
            <w:shd w:fill="CCEEFF" w:val="clear"/>
            <w:vAlign w:val="center"/>
          </w:tcPr>
          <w:p>
            <w:pPr>
              <w:pStyle w:val="TableContents"/>
              <w:spacing w:before="0" w:after="283"/>
              <w:rPr/>
            </w:pPr>
            <w:r>
              <w:rPr/>
              <w:t> </w:t>
            </w:r>
          </w:p>
        </w:tc>
        <w:tc>
          <w:tcPr>
            <w:tcW w:w="943" w:type="dxa"/>
            <w:tcBorders/>
            <w:shd w:fill="CCEEFF" w:val="clear"/>
            <w:vAlign w:val="center"/>
          </w:tcPr>
          <w:p>
            <w:pPr>
              <w:pStyle w:val="TableContents"/>
              <w:spacing w:before="0" w:after="283"/>
              <w:jc w:val="right"/>
              <w:rPr/>
            </w:pPr>
            <w:r>
              <w:rPr/>
              <w:t>132,460</w:t>
            </w:r>
          </w:p>
        </w:tc>
        <w:tc>
          <w:tcPr>
            <w:tcW w:w="70" w:type="dxa"/>
            <w:tcBorders/>
            <w:shd w:fill="CCEEFF" w:val="clear"/>
            <w:vAlign w:val="center"/>
          </w:tcPr>
          <w:p>
            <w:pPr>
              <w:pStyle w:val="TableContents"/>
              <w:spacing w:before="0" w:after="283"/>
              <w:rPr/>
            </w:pPr>
            <w:r>
              <w:rPr/>
              <w:t> </w:t>
            </w:r>
          </w:p>
        </w:tc>
        <w:tc>
          <w:tcPr>
            <w:tcW w:w="141" w:type="dxa"/>
            <w:tcBorders/>
            <w:shd w:fill="CCEEFF" w:val="clear"/>
            <w:vAlign w:val="center"/>
          </w:tcPr>
          <w:p>
            <w:pPr>
              <w:pStyle w:val="TableContents"/>
              <w:spacing w:before="0" w:after="283"/>
              <w:rPr/>
            </w:pPr>
            <w:r>
              <w:rPr/>
              <w:t>  </w:t>
            </w:r>
          </w:p>
        </w:tc>
        <w:tc>
          <w:tcPr>
            <w:tcW w:w="70" w:type="dxa"/>
            <w:tcBorders/>
            <w:shd w:fill="CCEEFF" w:val="clear"/>
            <w:vAlign w:val="center"/>
          </w:tcPr>
          <w:p>
            <w:pPr>
              <w:pStyle w:val="TableContents"/>
              <w:spacing w:before="0" w:after="283"/>
              <w:rPr>
                <w:sz w:val="4"/>
                <w:szCs w:val="4"/>
              </w:rPr>
            </w:pPr>
            <w:r>
              <w:rPr>
                <w:sz w:val="4"/>
                <w:szCs w:val="4"/>
              </w:rPr>
            </w:r>
          </w:p>
        </w:tc>
        <w:tc>
          <w:tcPr>
            <w:tcW w:w="518" w:type="dxa"/>
            <w:tcBorders/>
            <w:shd w:fill="CCEEFF" w:val="clear"/>
            <w:vAlign w:val="center"/>
          </w:tcPr>
          <w:p>
            <w:pPr>
              <w:pStyle w:val="TableContents"/>
              <w:spacing w:before="0" w:after="283"/>
              <w:rPr>
                <w:sz w:val="4"/>
                <w:szCs w:val="4"/>
              </w:rPr>
            </w:pPr>
            <w:r>
              <w:rPr>
                <w:sz w:val="4"/>
                <w:szCs w:val="4"/>
              </w:rPr>
            </w:r>
          </w:p>
        </w:tc>
        <w:tc>
          <w:tcPr>
            <w:tcW w:w="275"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pPr>
            <w:r>
              <w:rPr/>
              <w:t> </w:t>
            </w:r>
          </w:p>
        </w:tc>
        <w:tc>
          <w:tcPr>
            <w:tcW w:w="165" w:type="dxa"/>
            <w:tcBorders/>
            <w:shd w:fill="CCEEFF" w:val="clear"/>
            <w:vAlign w:val="center"/>
          </w:tcPr>
          <w:p>
            <w:pPr>
              <w:pStyle w:val="TableContents"/>
              <w:spacing w:before="0" w:after="283"/>
              <w:rPr/>
            </w:pPr>
            <w:r>
              <w:rPr/>
              <w:t> </w:t>
            </w:r>
          </w:p>
        </w:tc>
        <w:tc>
          <w:tcPr>
            <w:tcW w:w="943" w:type="dxa"/>
            <w:tcBorders/>
            <w:shd w:fill="CCEEFF" w:val="clear"/>
            <w:vAlign w:val="center"/>
          </w:tcPr>
          <w:p>
            <w:pPr>
              <w:pStyle w:val="TableContents"/>
              <w:spacing w:before="0" w:after="283"/>
              <w:jc w:val="right"/>
              <w:rPr/>
            </w:pPr>
            <w:r>
              <w:rPr/>
              <w:t>118,275</w:t>
            </w:r>
          </w:p>
        </w:tc>
        <w:tc>
          <w:tcPr>
            <w:tcW w:w="70" w:type="dxa"/>
            <w:tcBorders/>
            <w:shd w:fill="CCEEFF" w:val="clear"/>
            <w:vAlign w:val="center"/>
          </w:tcPr>
          <w:p>
            <w:pPr>
              <w:pStyle w:val="TableContents"/>
              <w:spacing w:before="0" w:after="283"/>
              <w:rPr/>
            </w:pPr>
            <w:r>
              <w:rPr/>
              <w:t> </w:t>
            </w:r>
          </w:p>
        </w:tc>
        <w:tc>
          <w:tcPr>
            <w:tcW w:w="141" w:type="dxa"/>
            <w:tcBorders/>
            <w:shd w:fill="CCEEFF" w:val="clear"/>
            <w:vAlign w:val="center"/>
          </w:tcPr>
          <w:p>
            <w:pPr>
              <w:pStyle w:val="TableContents"/>
              <w:spacing w:before="0" w:after="283"/>
              <w:rPr/>
            </w:pPr>
            <w:r>
              <w:rPr/>
              <w:t>  </w:t>
            </w:r>
          </w:p>
        </w:tc>
        <w:tc>
          <w:tcPr>
            <w:tcW w:w="70" w:type="dxa"/>
            <w:tcBorders/>
            <w:shd w:fill="CCEEFF" w:val="clear"/>
            <w:vAlign w:val="center"/>
          </w:tcPr>
          <w:p>
            <w:pPr>
              <w:pStyle w:val="TableContents"/>
              <w:spacing w:before="0" w:after="283"/>
              <w:rPr>
                <w:sz w:val="4"/>
                <w:szCs w:val="4"/>
              </w:rPr>
            </w:pPr>
            <w:r>
              <w:rPr>
                <w:sz w:val="4"/>
                <w:szCs w:val="4"/>
              </w:rPr>
            </w:r>
          </w:p>
        </w:tc>
        <w:tc>
          <w:tcPr>
            <w:tcW w:w="518" w:type="dxa"/>
            <w:tcBorders/>
            <w:shd w:fill="CCEEFF" w:val="clear"/>
            <w:vAlign w:val="center"/>
          </w:tcPr>
          <w:p>
            <w:pPr>
              <w:pStyle w:val="TableContents"/>
              <w:spacing w:before="0" w:after="283"/>
              <w:rPr>
                <w:sz w:val="4"/>
                <w:szCs w:val="4"/>
              </w:rPr>
            </w:pPr>
            <w:r>
              <w:rPr>
                <w:sz w:val="4"/>
                <w:szCs w:val="4"/>
              </w:rPr>
            </w:r>
          </w:p>
        </w:tc>
        <w:tc>
          <w:tcPr>
            <w:tcW w:w="290" w:type="dxa"/>
            <w:tcBorders/>
            <w:shd w:fill="CCEEFF" w:val="clear"/>
            <w:vAlign w:val="center"/>
          </w:tcPr>
          <w:p>
            <w:pPr>
              <w:pStyle w:val="TableContents"/>
              <w:spacing w:before="0" w:after="283"/>
              <w:rPr>
                <w:sz w:val="4"/>
                <w:szCs w:val="4"/>
              </w:rPr>
            </w:pPr>
            <w:r>
              <w:rPr>
                <w:sz w:val="4"/>
                <w:szCs w:val="4"/>
              </w:rPr>
            </w:r>
          </w:p>
        </w:tc>
      </w:tr>
      <w:tr>
        <w:trPr/>
        <w:tc>
          <w:tcPr>
            <w:tcW w:w="510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Pre-opening</w:t>
            </w:r>
          </w:p>
          <w:p>
            <w:pPr>
              <w:pStyle w:val="TableContents"/>
              <w:spacing w:before="0" w:after="0"/>
              <w:rPr>
                <w:rFonts w:ascii="Times New Roman" w:hAnsi="Times New Roman"/>
                <w:sz w:val="20"/>
              </w:rPr>
            </w:pPr>
            <w:r>
              <w:rPr>
                <w:rFonts w:ascii="Times New Roman" w:hAnsi="Times New Roman"/>
                <w:sz w:val="20"/>
              </w:rPr>
              <w:t>costs</w:t>
            </w:r>
          </w:p>
        </w:tc>
        <w:tc>
          <w:tcPr>
            <w:tcW w:w="120" w:type="dxa"/>
            <w:tcBorders/>
            <w:shd w:fill="auto" w:val="clear"/>
            <w:vAlign w:val="center"/>
          </w:tcPr>
          <w:p>
            <w:pPr>
              <w:pStyle w:val="TableContents"/>
              <w:spacing w:before="0" w:after="283"/>
              <w:rPr/>
            </w:pPr>
            <w:r>
              <w:rPr/>
              <w:t>  </w:t>
            </w:r>
          </w:p>
        </w:tc>
        <w:tc>
          <w:tcPr>
            <w:tcW w:w="165" w:type="dxa"/>
            <w:tcBorders/>
            <w:shd w:fill="auto" w:val="clear"/>
            <w:vAlign w:val="center"/>
          </w:tcPr>
          <w:p>
            <w:pPr>
              <w:pStyle w:val="TableContents"/>
              <w:spacing w:before="0" w:after="283"/>
              <w:rPr/>
            </w:pPr>
            <w:r>
              <w:rPr/>
              <w:t> </w:t>
            </w:r>
          </w:p>
        </w:tc>
        <w:tc>
          <w:tcPr>
            <w:tcW w:w="943" w:type="dxa"/>
            <w:tcBorders/>
            <w:shd w:fill="auto" w:val="clear"/>
            <w:vAlign w:val="center"/>
          </w:tcPr>
          <w:p>
            <w:pPr>
              <w:pStyle w:val="TableContents"/>
              <w:spacing w:before="0" w:after="283"/>
              <w:jc w:val="right"/>
              <w:rPr/>
            </w:pPr>
            <w:r>
              <w:rPr/>
              <w:t>18,971</w:t>
            </w:r>
          </w:p>
        </w:tc>
        <w:tc>
          <w:tcPr>
            <w:tcW w:w="70" w:type="dxa"/>
            <w:tcBorders/>
            <w:shd w:fill="auto" w:val="clear"/>
            <w:vAlign w:val="center"/>
          </w:tcPr>
          <w:p>
            <w:pPr>
              <w:pStyle w:val="TableContents"/>
              <w:spacing w:before="0" w:after="283"/>
              <w:rPr/>
            </w:pPr>
            <w:r>
              <w:rPr/>
              <w:t> </w:t>
            </w:r>
          </w:p>
        </w:tc>
        <w:tc>
          <w:tcPr>
            <w:tcW w:w="141" w:type="dxa"/>
            <w:tcBorders/>
            <w:shd w:fill="auto" w:val="clear"/>
            <w:vAlign w:val="center"/>
          </w:tcPr>
          <w:p>
            <w:pPr>
              <w:pStyle w:val="TableContents"/>
              <w:spacing w:before="0" w:after="283"/>
              <w:rPr/>
            </w:pPr>
            <w:r>
              <w:rPr/>
              <w:t>  </w:t>
            </w:r>
          </w:p>
        </w:tc>
        <w:tc>
          <w:tcPr>
            <w:tcW w:w="70" w:type="dxa"/>
            <w:tcBorders/>
            <w:shd w:fill="auto" w:val="clear"/>
            <w:vAlign w:val="center"/>
          </w:tcPr>
          <w:p>
            <w:pPr>
              <w:pStyle w:val="TableContents"/>
              <w:spacing w:before="0" w:after="283"/>
              <w:rPr>
                <w:sz w:val="4"/>
                <w:szCs w:val="4"/>
              </w:rPr>
            </w:pPr>
            <w:r>
              <w:rPr>
                <w:sz w:val="4"/>
                <w:szCs w:val="4"/>
              </w:rPr>
            </w:r>
          </w:p>
        </w:tc>
        <w:tc>
          <w:tcPr>
            <w:tcW w:w="518"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65" w:type="dxa"/>
            <w:tcBorders/>
            <w:shd w:fill="auto" w:val="clear"/>
            <w:vAlign w:val="center"/>
          </w:tcPr>
          <w:p>
            <w:pPr>
              <w:pStyle w:val="TableContents"/>
              <w:spacing w:before="0" w:after="283"/>
              <w:rPr/>
            </w:pPr>
            <w:r>
              <w:rPr/>
              <w:t> </w:t>
            </w:r>
          </w:p>
        </w:tc>
        <w:tc>
          <w:tcPr>
            <w:tcW w:w="943" w:type="dxa"/>
            <w:tcBorders/>
            <w:shd w:fill="auto" w:val="clear"/>
            <w:vAlign w:val="center"/>
          </w:tcPr>
          <w:p>
            <w:pPr>
              <w:pStyle w:val="TableContents"/>
              <w:spacing w:before="0" w:after="283"/>
              <w:jc w:val="right"/>
              <w:rPr/>
            </w:pPr>
            <w:r>
              <w:rPr/>
              <w:t>23,163</w:t>
            </w:r>
          </w:p>
        </w:tc>
        <w:tc>
          <w:tcPr>
            <w:tcW w:w="70" w:type="dxa"/>
            <w:tcBorders/>
            <w:shd w:fill="auto" w:val="clear"/>
            <w:vAlign w:val="center"/>
          </w:tcPr>
          <w:p>
            <w:pPr>
              <w:pStyle w:val="TableContents"/>
              <w:spacing w:before="0" w:after="283"/>
              <w:rPr/>
            </w:pPr>
            <w:r>
              <w:rPr/>
              <w:t> </w:t>
            </w:r>
          </w:p>
        </w:tc>
        <w:tc>
          <w:tcPr>
            <w:tcW w:w="141" w:type="dxa"/>
            <w:tcBorders/>
            <w:shd w:fill="auto" w:val="clear"/>
            <w:vAlign w:val="center"/>
          </w:tcPr>
          <w:p>
            <w:pPr>
              <w:pStyle w:val="TableContents"/>
              <w:spacing w:before="0" w:after="283"/>
              <w:rPr/>
            </w:pPr>
            <w:r>
              <w:rPr/>
              <w:t>  </w:t>
            </w:r>
          </w:p>
        </w:tc>
        <w:tc>
          <w:tcPr>
            <w:tcW w:w="70" w:type="dxa"/>
            <w:tcBorders/>
            <w:shd w:fill="auto" w:val="clear"/>
            <w:vAlign w:val="center"/>
          </w:tcPr>
          <w:p>
            <w:pPr>
              <w:pStyle w:val="TableContents"/>
              <w:spacing w:before="0" w:after="283"/>
              <w:rPr>
                <w:sz w:val="4"/>
                <w:szCs w:val="4"/>
              </w:rPr>
            </w:pPr>
            <w:r>
              <w:rPr>
                <w:sz w:val="4"/>
                <w:szCs w:val="4"/>
              </w:rPr>
            </w:r>
          </w:p>
        </w:tc>
        <w:tc>
          <w:tcPr>
            <w:tcW w:w="518"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r>
      <w:tr>
        <w:trPr/>
        <w:tc>
          <w:tcPr>
            <w:tcW w:w="510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65" w:type="dxa"/>
            <w:tcBorders/>
            <w:shd w:fill="auto" w:val="clear"/>
            <w:vAlign w:val="center"/>
          </w:tcPr>
          <w:p>
            <w:pPr>
              <w:pStyle w:val="TableContents"/>
              <w:spacing w:before="0" w:after="0"/>
              <w:rPr>
                <w:bdr w:val="single" w:sz="2" w:space="1" w:color="000000"/>
              </w:rPr>
            </w:pPr>
            <w:r>
              <w:rPr>
                <w:bdr w:val="single" w:sz="2" w:space="1" w:color="000000"/>
              </w:rPr>
              <w:t> </w:t>
            </w:r>
          </w:p>
        </w:tc>
        <w:tc>
          <w:tcPr>
            <w:tcW w:w="943" w:type="dxa"/>
            <w:tcBorders/>
            <w:shd w:fill="auto" w:val="clear"/>
            <w:vAlign w:val="center"/>
          </w:tcPr>
          <w:p>
            <w:pPr>
              <w:pStyle w:val="TableContents"/>
              <w:spacing w:before="0" w:after="0"/>
              <w:rPr>
                <w:bdr w:val="single" w:sz="2" w:space="1" w:color="000000"/>
              </w:rPr>
            </w:pPr>
            <w:r>
              <w:rPr>
                <w:bdr w:val="single" w:sz="2" w:space="1" w:color="000000"/>
              </w:rPr>
              <w:t> </w:t>
            </w:r>
          </w:p>
        </w:tc>
        <w:tc>
          <w:tcPr>
            <w:tcW w:w="70" w:type="dxa"/>
            <w:tcBorders/>
            <w:shd w:fill="auto" w:val="clear"/>
            <w:vAlign w:val="center"/>
          </w:tcPr>
          <w:p>
            <w:pPr>
              <w:pStyle w:val="TableContents"/>
              <w:spacing w:before="0" w:after="283"/>
              <w:rPr/>
            </w:pPr>
            <w:r>
              <w:rPr/>
              <w:t> </w:t>
            </w:r>
          </w:p>
        </w:tc>
        <w:tc>
          <w:tcPr>
            <w:tcW w:w="141" w:type="dxa"/>
            <w:tcBorders/>
            <w:shd w:fill="auto" w:val="clear"/>
            <w:vAlign w:val="center"/>
          </w:tcPr>
          <w:p>
            <w:pPr>
              <w:pStyle w:val="TableContents"/>
              <w:spacing w:before="0" w:after="283"/>
              <w:rPr/>
            </w:pPr>
            <w:r>
              <w:rPr/>
              <w:t>  </w:t>
            </w:r>
          </w:p>
        </w:tc>
        <w:tc>
          <w:tcPr>
            <w:tcW w:w="70" w:type="dxa"/>
            <w:tcBorders/>
            <w:shd w:fill="auto" w:val="clear"/>
            <w:vAlign w:val="center"/>
          </w:tcPr>
          <w:p>
            <w:pPr>
              <w:pStyle w:val="TableContents"/>
              <w:spacing w:before="0" w:after="283"/>
              <w:rPr>
                <w:sz w:val="4"/>
                <w:szCs w:val="4"/>
              </w:rPr>
            </w:pPr>
            <w:r>
              <w:rPr>
                <w:sz w:val="4"/>
                <w:szCs w:val="4"/>
              </w:rPr>
            </w:r>
          </w:p>
        </w:tc>
        <w:tc>
          <w:tcPr>
            <w:tcW w:w="518"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65" w:type="dxa"/>
            <w:tcBorders/>
            <w:shd w:fill="auto" w:val="clear"/>
            <w:vAlign w:val="center"/>
          </w:tcPr>
          <w:p>
            <w:pPr>
              <w:pStyle w:val="TableContents"/>
              <w:spacing w:before="0" w:after="0"/>
              <w:rPr>
                <w:bdr w:val="single" w:sz="2" w:space="1" w:color="000000"/>
              </w:rPr>
            </w:pPr>
            <w:r>
              <w:rPr>
                <w:bdr w:val="single" w:sz="2" w:space="1" w:color="000000"/>
              </w:rPr>
              <w:t> </w:t>
            </w:r>
          </w:p>
        </w:tc>
        <w:tc>
          <w:tcPr>
            <w:tcW w:w="943" w:type="dxa"/>
            <w:tcBorders/>
            <w:shd w:fill="auto" w:val="clear"/>
            <w:vAlign w:val="center"/>
          </w:tcPr>
          <w:p>
            <w:pPr>
              <w:pStyle w:val="TableContents"/>
              <w:spacing w:before="0" w:after="0"/>
              <w:rPr>
                <w:bdr w:val="single" w:sz="2" w:space="1" w:color="000000"/>
              </w:rPr>
            </w:pPr>
            <w:r>
              <w:rPr>
                <w:bdr w:val="single" w:sz="2" w:space="1" w:color="000000"/>
              </w:rPr>
              <w:t> </w:t>
            </w:r>
          </w:p>
        </w:tc>
        <w:tc>
          <w:tcPr>
            <w:tcW w:w="70" w:type="dxa"/>
            <w:tcBorders/>
            <w:shd w:fill="auto" w:val="clear"/>
            <w:vAlign w:val="center"/>
          </w:tcPr>
          <w:p>
            <w:pPr>
              <w:pStyle w:val="TableContents"/>
              <w:spacing w:before="0" w:after="283"/>
              <w:rPr/>
            </w:pPr>
            <w:r>
              <w:rPr/>
              <w:t> </w:t>
            </w:r>
          </w:p>
        </w:tc>
        <w:tc>
          <w:tcPr>
            <w:tcW w:w="141" w:type="dxa"/>
            <w:tcBorders/>
            <w:shd w:fill="auto" w:val="clear"/>
            <w:vAlign w:val="center"/>
          </w:tcPr>
          <w:p>
            <w:pPr>
              <w:pStyle w:val="TableContents"/>
              <w:spacing w:before="0" w:after="283"/>
              <w:rPr/>
            </w:pPr>
            <w:r>
              <w:rPr/>
              <w:t>  </w:t>
            </w:r>
          </w:p>
        </w:tc>
        <w:tc>
          <w:tcPr>
            <w:tcW w:w="70" w:type="dxa"/>
            <w:tcBorders/>
            <w:shd w:fill="auto" w:val="clear"/>
            <w:vAlign w:val="center"/>
          </w:tcPr>
          <w:p>
            <w:pPr>
              <w:pStyle w:val="TableContents"/>
              <w:spacing w:before="0" w:after="283"/>
              <w:rPr>
                <w:sz w:val="4"/>
                <w:szCs w:val="4"/>
              </w:rPr>
            </w:pPr>
            <w:r>
              <w:rPr>
                <w:sz w:val="4"/>
                <w:szCs w:val="4"/>
              </w:rPr>
            </w:r>
          </w:p>
        </w:tc>
        <w:tc>
          <w:tcPr>
            <w:tcW w:w="518"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r>
      <w:tr>
        <w:trPr/>
        <w:tc>
          <w:tcPr>
            <w:tcW w:w="510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Store Operating Income Before Depreciation and Amortization</w:t>
            </w:r>
          </w:p>
        </w:tc>
        <w:tc>
          <w:tcPr>
            <w:tcW w:w="120" w:type="dxa"/>
            <w:tcBorders/>
            <w:shd w:fill="CCEEFF" w:val="clear"/>
            <w:vAlign w:val="center"/>
          </w:tcPr>
          <w:p>
            <w:pPr>
              <w:pStyle w:val="TableContents"/>
              <w:spacing w:before="0" w:after="283"/>
              <w:rPr/>
            </w:pPr>
            <w:r>
              <w:rPr/>
              <w:t>  </w:t>
            </w:r>
          </w:p>
        </w:tc>
        <w:tc>
          <w:tcPr>
            <w:tcW w:w="165" w:type="dxa"/>
            <w:tcBorders/>
            <w:shd w:fill="CCEEFF" w:val="clear"/>
            <w:vAlign w:val="center"/>
          </w:tcPr>
          <w:p>
            <w:pPr>
              <w:pStyle w:val="TableContents"/>
              <w:spacing w:before="0" w:after="283"/>
              <w:rPr/>
            </w:pPr>
            <w:r>
              <w:rPr/>
              <w:t>$</w:t>
            </w:r>
          </w:p>
        </w:tc>
        <w:tc>
          <w:tcPr>
            <w:tcW w:w="943" w:type="dxa"/>
            <w:tcBorders/>
            <w:shd w:fill="CCEEFF" w:val="clear"/>
            <w:vAlign w:val="center"/>
          </w:tcPr>
          <w:p>
            <w:pPr>
              <w:pStyle w:val="TableContents"/>
              <w:spacing w:before="0" w:after="283"/>
              <w:jc w:val="right"/>
              <w:rPr/>
            </w:pPr>
            <w:r>
              <w:rPr/>
              <w:t>368,979</w:t>
            </w:r>
          </w:p>
        </w:tc>
        <w:tc>
          <w:tcPr>
            <w:tcW w:w="70" w:type="dxa"/>
            <w:tcBorders/>
            <w:shd w:fill="CCEEFF" w:val="clear"/>
            <w:vAlign w:val="center"/>
          </w:tcPr>
          <w:p>
            <w:pPr>
              <w:pStyle w:val="TableContents"/>
              <w:spacing w:before="0" w:after="283"/>
              <w:rPr/>
            </w:pPr>
            <w:r>
              <w:rPr/>
              <w:t> </w:t>
            </w:r>
          </w:p>
        </w:tc>
        <w:tc>
          <w:tcPr>
            <w:tcW w:w="141" w:type="dxa"/>
            <w:tcBorders/>
            <w:shd w:fill="CCEEFF" w:val="clear"/>
            <w:vAlign w:val="center"/>
          </w:tcPr>
          <w:p>
            <w:pPr>
              <w:pStyle w:val="TableContents"/>
              <w:spacing w:before="0" w:after="283"/>
              <w:rPr/>
            </w:pPr>
            <w:r>
              <w:rPr/>
              <w:t>  </w:t>
            </w:r>
          </w:p>
        </w:tc>
        <w:tc>
          <w:tcPr>
            <w:tcW w:w="70" w:type="dxa"/>
            <w:tcBorders/>
            <w:shd w:fill="CCEEFF" w:val="clear"/>
            <w:vAlign w:val="center"/>
          </w:tcPr>
          <w:p>
            <w:pPr>
              <w:pStyle w:val="TableContents"/>
              <w:spacing w:before="0" w:after="283"/>
              <w:rPr/>
            </w:pPr>
            <w:r>
              <w:rPr/>
              <w:t> </w:t>
            </w:r>
          </w:p>
        </w:tc>
        <w:tc>
          <w:tcPr>
            <w:tcW w:w="518" w:type="dxa"/>
            <w:tcBorders/>
            <w:shd w:fill="CCEEFF" w:val="clear"/>
            <w:vAlign w:val="center"/>
          </w:tcPr>
          <w:p>
            <w:pPr>
              <w:pStyle w:val="TableContents"/>
              <w:spacing w:before="0" w:after="283"/>
              <w:jc w:val="right"/>
              <w:rPr/>
            </w:pPr>
            <w:r>
              <w:rPr/>
              <w:t>27.2</w:t>
            </w:r>
          </w:p>
        </w:tc>
        <w:tc>
          <w:tcPr>
            <w:tcW w:w="27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65" w:type="dxa"/>
            <w:tcBorders/>
            <w:shd w:fill="CCEEFF" w:val="clear"/>
            <w:vAlign w:val="center"/>
          </w:tcPr>
          <w:p>
            <w:pPr>
              <w:pStyle w:val="TableContents"/>
              <w:spacing w:before="0" w:after="283"/>
              <w:rPr/>
            </w:pPr>
            <w:r>
              <w:rPr/>
              <w:t>$</w:t>
            </w:r>
          </w:p>
        </w:tc>
        <w:tc>
          <w:tcPr>
            <w:tcW w:w="943" w:type="dxa"/>
            <w:tcBorders/>
            <w:shd w:fill="CCEEFF" w:val="clear"/>
            <w:vAlign w:val="center"/>
          </w:tcPr>
          <w:p>
            <w:pPr>
              <w:pStyle w:val="TableContents"/>
              <w:spacing w:before="0" w:after="283"/>
              <w:jc w:val="right"/>
              <w:rPr/>
            </w:pPr>
            <w:r>
              <w:rPr/>
              <w:t>363,959</w:t>
            </w:r>
          </w:p>
        </w:tc>
        <w:tc>
          <w:tcPr>
            <w:tcW w:w="70" w:type="dxa"/>
            <w:tcBorders/>
            <w:shd w:fill="CCEEFF" w:val="clear"/>
            <w:vAlign w:val="center"/>
          </w:tcPr>
          <w:p>
            <w:pPr>
              <w:pStyle w:val="TableContents"/>
              <w:spacing w:before="0" w:after="283"/>
              <w:rPr/>
            </w:pPr>
            <w:r>
              <w:rPr/>
              <w:t> </w:t>
            </w:r>
          </w:p>
        </w:tc>
        <w:tc>
          <w:tcPr>
            <w:tcW w:w="141" w:type="dxa"/>
            <w:tcBorders/>
            <w:shd w:fill="CCEEFF" w:val="clear"/>
            <w:vAlign w:val="center"/>
          </w:tcPr>
          <w:p>
            <w:pPr>
              <w:pStyle w:val="TableContents"/>
              <w:spacing w:before="0" w:after="283"/>
              <w:rPr/>
            </w:pPr>
            <w:r>
              <w:rPr/>
              <w:t>  </w:t>
            </w:r>
          </w:p>
        </w:tc>
        <w:tc>
          <w:tcPr>
            <w:tcW w:w="70" w:type="dxa"/>
            <w:tcBorders/>
            <w:shd w:fill="CCEEFF" w:val="clear"/>
            <w:vAlign w:val="center"/>
          </w:tcPr>
          <w:p>
            <w:pPr>
              <w:pStyle w:val="TableContents"/>
              <w:spacing w:before="0" w:after="283"/>
              <w:rPr/>
            </w:pPr>
            <w:r>
              <w:rPr/>
              <w:t> </w:t>
            </w:r>
          </w:p>
        </w:tc>
        <w:tc>
          <w:tcPr>
            <w:tcW w:w="518" w:type="dxa"/>
            <w:tcBorders/>
            <w:shd w:fill="CCEEFF" w:val="clear"/>
            <w:vAlign w:val="center"/>
          </w:tcPr>
          <w:p>
            <w:pPr>
              <w:pStyle w:val="TableContents"/>
              <w:spacing w:before="0" w:after="283"/>
              <w:jc w:val="right"/>
              <w:rPr/>
            </w:pPr>
            <w:r>
              <w:rPr/>
              <w:t>28.8</w:t>
            </w:r>
          </w:p>
        </w:tc>
        <w:tc>
          <w:tcPr>
            <w:tcW w:w="290" w:type="dxa"/>
            <w:tcBorders/>
            <w:shd w:fill="CCEEFF" w:val="clear"/>
            <w:vAlign w:val="center"/>
          </w:tcPr>
          <w:p>
            <w:pPr>
              <w:pStyle w:val="TableContents"/>
              <w:spacing w:before="0" w:after="283"/>
              <w:rPr/>
            </w:pPr>
            <w:r>
              <w:rPr/>
              <w:t>% </w:t>
            </w:r>
          </w:p>
        </w:tc>
      </w:tr>
      <w:tr>
        <w:trPr/>
        <w:tc>
          <w:tcPr>
            <w:tcW w:w="510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65" w:type="dxa"/>
            <w:tcBorders/>
            <w:shd w:fill="auto" w:val="clear"/>
            <w:vAlign w:val="center"/>
          </w:tcPr>
          <w:p>
            <w:pPr>
              <w:pStyle w:val="TableContents"/>
              <w:spacing w:before="0" w:after="0"/>
              <w:rPr>
                <w:bdr w:val="double" w:sz="6" w:space="1" w:color="000000"/>
              </w:rPr>
            </w:pPr>
            <w:r>
              <w:rPr>
                <w:bdr w:val="double" w:sz="6" w:space="1" w:color="000000"/>
              </w:rPr>
              <w:t> </w:t>
            </w:r>
          </w:p>
        </w:tc>
        <w:tc>
          <w:tcPr>
            <w:tcW w:w="943" w:type="dxa"/>
            <w:tcBorders/>
            <w:shd w:fill="auto" w:val="clear"/>
            <w:vAlign w:val="center"/>
          </w:tcPr>
          <w:p>
            <w:pPr>
              <w:pStyle w:val="TableContents"/>
              <w:spacing w:before="0" w:after="0"/>
              <w:rPr>
                <w:bdr w:val="double" w:sz="6" w:space="1" w:color="000000"/>
              </w:rPr>
            </w:pPr>
            <w:r>
              <w:rPr>
                <w:bdr w:val="double" w:sz="6" w:space="1" w:color="000000"/>
              </w:rPr>
              <w:t> </w:t>
            </w:r>
          </w:p>
        </w:tc>
        <w:tc>
          <w:tcPr>
            <w:tcW w:w="70" w:type="dxa"/>
            <w:tcBorders/>
            <w:shd w:fill="auto" w:val="clear"/>
            <w:vAlign w:val="center"/>
          </w:tcPr>
          <w:p>
            <w:pPr>
              <w:pStyle w:val="TableContents"/>
              <w:spacing w:before="0" w:after="283"/>
              <w:rPr/>
            </w:pPr>
            <w:r>
              <w:rPr/>
              <w:t> </w:t>
            </w:r>
          </w:p>
        </w:tc>
        <w:tc>
          <w:tcPr>
            <w:tcW w:w="141" w:type="dxa"/>
            <w:tcBorders/>
            <w:shd w:fill="auto" w:val="clear"/>
            <w:vAlign w:val="center"/>
          </w:tcPr>
          <w:p>
            <w:pPr>
              <w:pStyle w:val="TableContents"/>
              <w:spacing w:before="0" w:after="283"/>
              <w:rPr/>
            </w:pPr>
            <w:r>
              <w:rPr/>
              <w:t>  </w:t>
            </w:r>
          </w:p>
        </w:tc>
        <w:tc>
          <w:tcPr>
            <w:tcW w:w="70" w:type="dxa"/>
            <w:tcBorders/>
            <w:shd w:fill="auto" w:val="clear"/>
            <w:vAlign w:val="center"/>
          </w:tcPr>
          <w:p>
            <w:pPr>
              <w:pStyle w:val="TableContents"/>
              <w:spacing w:before="0" w:after="283"/>
              <w:rPr>
                <w:sz w:val="4"/>
                <w:szCs w:val="4"/>
              </w:rPr>
            </w:pPr>
            <w:r>
              <w:rPr>
                <w:sz w:val="4"/>
                <w:szCs w:val="4"/>
              </w:rPr>
            </w:r>
          </w:p>
        </w:tc>
        <w:tc>
          <w:tcPr>
            <w:tcW w:w="518"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65" w:type="dxa"/>
            <w:tcBorders/>
            <w:shd w:fill="auto" w:val="clear"/>
            <w:vAlign w:val="center"/>
          </w:tcPr>
          <w:p>
            <w:pPr>
              <w:pStyle w:val="TableContents"/>
              <w:spacing w:before="0" w:after="0"/>
              <w:rPr>
                <w:bdr w:val="double" w:sz="6" w:space="1" w:color="000000"/>
              </w:rPr>
            </w:pPr>
            <w:r>
              <w:rPr>
                <w:bdr w:val="double" w:sz="6" w:space="1" w:color="000000"/>
              </w:rPr>
              <w:t> </w:t>
            </w:r>
          </w:p>
        </w:tc>
        <w:tc>
          <w:tcPr>
            <w:tcW w:w="943" w:type="dxa"/>
            <w:tcBorders/>
            <w:shd w:fill="auto" w:val="clear"/>
            <w:vAlign w:val="center"/>
          </w:tcPr>
          <w:p>
            <w:pPr>
              <w:pStyle w:val="TableContents"/>
              <w:spacing w:before="0" w:after="0"/>
              <w:rPr>
                <w:bdr w:val="double" w:sz="6" w:space="1" w:color="000000"/>
              </w:rPr>
            </w:pPr>
            <w:r>
              <w:rPr>
                <w:bdr w:val="double" w:sz="6" w:space="1" w:color="000000"/>
              </w:rPr>
              <w:t> </w:t>
            </w:r>
          </w:p>
        </w:tc>
        <w:tc>
          <w:tcPr>
            <w:tcW w:w="70" w:type="dxa"/>
            <w:tcBorders/>
            <w:shd w:fill="auto" w:val="clear"/>
            <w:vAlign w:val="center"/>
          </w:tcPr>
          <w:p>
            <w:pPr>
              <w:pStyle w:val="TableContents"/>
              <w:spacing w:before="0" w:after="283"/>
              <w:rPr/>
            </w:pPr>
            <w:r>
              <w:rPr/>
              <w:t> </w:t>
            </w:r>
          </w:p>
        </w:tc>
        <w:tc>
          <w:tcPr>
            <w:tcW w:w="141" w:type="dxa"/>
            <w:tcBorders/>
            <w:shd w:fill="auto" w:val="clear"/>
            <w:vAlign w:val="center"/>
          </w:tcPr>
          <w:p>
            <w:pPr>
              <w:pStyle w:val="TableContents"/>
              <w:spacing w:before="0" w:after="283"/>
              <w:rPr/>
            </w:pPr>
            <w:r>
              <w:rPr/>
              <w:t>  </w:t>
            </w:r>
          </w:p>
        </w:tc>
        <w:tc>
          <w:tcPr>
            <w:tcW w:w="70" w:type="dxa"/>
            <w:tcBorders/>
            <w:shd w:fill="auto" w:val="clear"/>
            <w:vAlign w:val="center"/>
          </w:tcPr>
          <w:p>
            <w:pPr>
              <w:pStyle w:val="TableContents"/>
              <w:spacing w:before="0" w:after="283"/>
              <w:rPr>
                <w:sz w:val="4"/>
                <w:szCs w:val="4"/>
              </w:rPr>
            </w:pPr>
            <w:r>
              <w:rPr>
                <w:sz w:val="4"/>
                <w:szCs w:val="4"/>
              </w:rPr>
            </w:r>
          </w:p>
        </w:tc>
        <w:tc>
          <w:tcPr>
            <w:tcW w:w="518"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r>
    </w:tbl>
    <w:p>
      <w:pPr>
        <w:pStyle w:val="TextBody"/>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Capital Additions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The following table reflects accrual-based capital additions. Capital additions do not include any reductions for Payments from landlords. </w:t>
      </w:r>
    </w:p>
    <w:p>
      <w:pPr>
        <w:pStyle w:val="TextBody"/>
        <w:spacing w:before="0" w:after="0"/>
        <w:jc w:val="left"/>
        <w:rPr>
          <w:spacing w:val="0"/>
        </w:rPr>
      </w:pPr>
      <w:r>
        <w:rPr>
          <w:spacing w:val="0"/>
        </w:rPr>
        <w:t> </w:t>
      </w:r>
    </w:p>
    <w:tbl>
      <w:tblPr>
        <w:tblW w:w="5715" w:type="dxa"/>
        <w:jc w:val="left"/>
        <w:tblInd w:w="0" w:type="dxa"/>
        <w:tblCellMar>
          <w:top w:w="0" w:type="dxa"/>
          <w:left w:w="0" w:type="dxa"/>
          <w:bottom w:w="0" w:type="dxa"/>
          <w:right w:w="0" w:type="dxa"/>
        </w:tblCellMar>
      </w:tblPr>
      <w:tblGrid>
        <w:gridCol w:w="2870"/>
        <w:gridCol w:w="120"/>
        <w:gridCol w:w="183"/>
        <w:gridCol w:w="1052"/>
        <w:gridCol w:w="60"/>
        <w:gridCol w:w="120"/>
        <w:gridCol w:w="183"/>
        <w:gridCol w:w="1052"/>
        <w:gridCol w:w="75"/>
      </w:tblGrid>
      <w:tr>
        <w:trPr/>
        <w:tc>
          <w:tcPr>
            <w:tcW w:w="287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83" w:type="dxa"/>
            <w:tcBorders/>
            <w:shd w:fill="auto" w:val="clear"/>
            <w:vAlign w:val="center"/>
          </w:tcPr>
          <w:p>
            <w:pPr>
              <w:pStyle w:val="TableContents"/>
              <w:spacing w:before="0" w:after="283"/>
              <w:rPr>
                <w:sz w:val="4"/>
                <w:szCs w:val="4"/>
              </w:rPr>
            </w:pPr>
            <w:r>
              <w:rPr>
                <w:sz w:val="4"/>
                <w:szCs w:val="4"/>
              </w:rPr>
            </w:r>
          </w:p>
        </w:tc>
        <w:tc>
          <w:tcPr>
            <w:tcW w:w="105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83" w:type="dxa"/>
            <w:tcBorders/>
            <w:shd w:fill="auto" w:val="clear"/>
            <w:vAlign w:val="center"/>
          </w:tcPr>
          <w:p>
            <w:pPr>
              <w:pStyle w:val="TableContents"/>
              <w:spacing w:before="0" w:after="283"/>
              <w:rPr>
                <w:sz w:val="4"/>
                <w:szCs w:val="4"/>
              </w:rPr>
            </w:pPr>
            <w:r>
              <w:rPr>
                <w:sz w:val="4"/>
                <w:szCs w:val="4"/>
              </w:rPr>
            </w:r>
          </w:p>
        </w:tc>
        <w:tc>
          <w:tcPr>
            <w:tcW w:w="1052"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287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235" w:type="dxa"/>
            <w:gridSpan w:val="2"/>
            <w:tcBorders/>
            <w:shd w:fill="auto" w:val="clear"/>
            <w:vAlign w:val="center"/>
          </w:tcPr>
          <w:p>
            <w:pPr>
              <w:pStyle w:val="TableContents"/>
              <w:spacing w:before="0" w:after="0"/>
              <w:jc w:val="center"/>
              <w:rPr>
                <w:b/>
                <w:spacing w:val="0"/>
              </w:rPr>
            </w:pPr>
            <w:r>
              <w:rPr>
                <w:b/>
                <w:spacing w:val="0"/>
              </w:rPr>
              <w:t>Fiscal Year</w:t>
              <w:br/>
              <w:t>Ended</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235" w:type="dxa"/>
            <w:gridSpan w:val="2"/>
            <w:tcBorders/>
            <w:shd w:fill="auto" w:val="clear"/>
            <w:vAlign w:val="center"/>
          </w:tcPr>
          <w:p>
            <w:pPr>
              <w:pStyle w:val="TableContents"/>
              <w:spacing w:before="0" w:after="0"/>
              <w:jc w:val="center"/>
              <w:rPr>
                <w:b/>
                <w:spacing w:val="0"/>
              </w:rPr>
            </w:pPr>
            <w:r>
              <w:rPr>
                <w:b/>
                <w:spacing w:val="0"/>
              </w:rPr>
              <w:t>Fiscal Year</w:t>
              <w:br/>
              <w:t>Ended</w:t>
            </w:r>
          </w:p>
        </w:tc>
        <w:tc>
          <w:tcPr>
            <w:tcW w:w="75" w:type="dxa"/>
            <w:tcBorders/>
            <w:shd w:fill="auto" w:val="clear"/>
            <w:vAlign w:val="center"/>
          </w:tcPr>
          <w:p>
            <w:pPr>
              <w:pStyle w:val="TableContents"/>
              <w:spacing w:before="0" w:after="283"/>
              <w:rPr/>
            </w:pPr>
            <w:r>
              <w:rPr/>
              <w:t> </w:t>
            </w:r>
          </w:p>
        </w:tc>
      </w:tr>
      <w:tr>
        <w:trPr/>
        <w:tc>
          <w:tcPr>
            <w:tcW w:w="287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235" w:type="dxa"/>
            <w:gridSpan w:val="2"/>
            <w:tcBorders/>
            <w:shd w:fill="auto" w:val="clear"/>
            <w:vAlign w:val="center"/>
          </w:tcPr>
          <w:p>
            <w:pPr>
              <w:pStyle w:val="TableContents"/>
              <w:spacing w:before="0" w:after="0"/>
              <w:jc w:val="center"/>
              <w:rPr>
                <w:b/>
                <w:spacing w:val="0"/>
              </w:rPr>
            </w:pPr>
            <w:r>
              <w:rPr>
                <w:b/>
                <w:spacing w:val="0"/>
              </w:rPr>
              <w:t>February 3,</w:t>
              <w:br/>
              <w:t>2020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235" w:type="dxa"/>
            <w:gridSpan w:val="2"/>
            <w:tcBorders/>
            <w:shd w:fill="auto" w:val="clear"/>
            <w:vAlign w:val="center"/>
          </w:tcPr>
          <w:p>
            <w:pPr>
              <w:pStyle w:val="TableContents"/>
              <w:spacing w:before="0" w:after="0"/>
              <w:jc w:val="center"/>
              <w:rPr>
                <w:b/>
                <w:spacing w:val="0"/>
              </w:rPr>
            </w:pPr>
            <w:r>
              <w:rPr>
                <w:b/>
                <w:spacing w:val="0"/>
              </w:rPr>
              <w:t>February 3,</w:t>
              <w:br/>
              <w:t>2019</w:t>
            </w:r>
          </w:p>
        </w:tc>
        <w:tc>
          <w:tcPr>
            <w:tcW w:w="75" w:type="dxa"/>
            <w:tcBorders/>
            <w:shd w:fill="auto" w:val="clear"/>
            <w:vAlign w:val="center"/>
          </w:tcPr>
          <w:p>
            <w:pPr>
              <w:pStyle w:val="TableContents"/>
              <w:spacing w:before="0" w:after="283"/>
              <w:rPr/>
            </w:pPr>
            <w:r>
              <w:rPr/>
              <w:t> </w:t>
            </w:r>
          </w:p>
        </w:tc>
      </w:tr>
      <w:tr>
        <w:trPr/>
        <w:tc>
          <w:tcPr>
            <w:tcW w:w="287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New store and operating initiatives</w:t>
            </w:r>
          </w:p>
        </w:tc>
        <w:tc>
          <w:tcPr>
            <w:tcW w:w="120" w:type="dxa"/>
            <w:tcBorders/>
            <w:shd w:fill="CCEEFF" w:val="clear"/>
            <w:vAlign w:val="center"/>
          </w:tcPr>
          <w:p>
            <w:pPr>
              <w:pStyle w:val="TableContents"/>
              <w:spacing w:before="0" w:after="283"/>
              <w:rPr/>
            </w:pPr>
            <w:r>
              <w:rPr/>
              <w:t>  </w:t>
            </w:r>
          </w:p>
        </w:tc>
        <w:tc>
          <w:tcPr>
            <w:tcW w:w="183" w:type="dxa"/>
            <w:tcBorders/>
            <w:shd w:fill="CCEEFF" w:val="clear"/>
            <w:vAlign w:val="center"/>
          </w:tcPr>
          <w:p>
            <w:pPr>
              <w:pStyle w:val="TableContents"/>
              <w:spacing w:before="0" w:after="283"/>
              <w:rPr/>
            </w:pPr>
            <w:r>
              <w:rPr/>
              <w:t>$</w:t>
            </w:r>
          </w:p>
        </w:tc>
        <w:tc>
          <w:tcPr>
            <w:tcW w:w="1052" w:type="dxa"/>
            <w:tcBorders/>
            <w:shd w:fill="CCEEFF" w:val="clear"/>
            <w:vAlign w:val="center"/>
          </w:tcPr>
          <w:p>
            <w:pPr>
              <w:pStyle w:val="TableContents"/>
              <w:spacing w:before="0" w:after="283"/>
              <w:jc w:val="right"/>
              <w:rPr/>
            </w:pPr>
            <w:r>
              <w:rPr/>
              <w:t>183,897</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83" w:type="dxa"/>
            <w:tcBorders/>
            <w:shd w:fill="CCEEFF" w:val="clear"/>
            <w:vAlign w:val="center"/>
          </w:tcPr>
          <w:p>
            <w:pPr>
              <w:pStyle w:val="TableContents"/>
              <w:spacing w:before="0" w:after="283"/>
              <w:rPr/>
            </w:pPr>
            <w:r>
              <w:rPr/>
              <w:t>$</w:t>
            </w:r>
          </w:p>
        </w:tc>
        <w:tc>
          <w:tcPr>
            <w:tcW w:w="1052" w:type="dxa"/>
            <w:tcBorders/>
            <w:shd w:fill="CCEEFF" w:val="clear"/>
            <w:vAlign w:val="center"/>
          </w:tcPr>
          <w:p>
            <w:pPr>
              <w:pStyle w:val="TableContents"/>
              <w:spacing w:before="0" w:after="283"/>
              <w:jc w:val="right"/>
              <w:rPr/>
            </w:pPr>
            <w:r>
              <w:rPr/>
              <w:t>162,763</w:t>
            </w:r>
          </w:p>
        </w:tc>
        <w:tc>
          <w:tcPr>
            <w:tcW w:w="75" w:type="dxa"/>
            <w:tcBorders/>
            <w:shd w:fill="CCEEFF" w:val="clear"/>
            <w:vAlign w:val="center"/>
          </w:tcPr>
          <w:p>
            <w:pPr>
              <w:pStyle w:val="TableContents"/>
              <w:spacing w:before="0" w:after="283"/>
              <w:rPr/>
            </w:pPr>
            <w:r>
              <w:rPr/>
              <w:t> </w:t>
            </w:r>
          </w:p>
        </w:tc>
      </w:tr>
      <w:tr>
        <w:trPr/>
        <w:tc>
          <w:tcPr>
            <w:tcW w:w="287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Games</w:t>
            </w:r>
          </w:p>
        </w:tc>
        <w:tc>
          <w:tcPr>
            <w:tcW w:w="120" w:type="dxa"/>
            <w:tcBorders/>
            <w:shd w:fill="auto" w:val="clear"/>
            <w:vAlign w:val="center"/>
          </w:tcPr>
          <w:p>
            <w:pPr>
              <w:pStyle w:val="TableContents"/>
              <w:spacing w:before="0" w:after="283"/>
              <w:rPr/>
            </w:pPr>
            <w:r>
              <w:rPr/>
              <w:t>  </w:t>
            </w:r>
          </w:p>
        </w:tc>
        <w:tc>
          <w:tcPr>
            <w:tcW w:w="183" w:type="dxa"/>
            <w:tcBorders/>
            <w:shd w:fill="auto" w:val="clear"/>
            <w:vAlign w:val="center"/>
          </w:tcPr>
          <w:p>
            <w:pPr>
              <w:pStyle w:val="TableContents"/>
              <w:spacing w:before="0" w:after="283"/>
              <w:rPr/>
            </w:pPr>
            <w:r>
              <w:rPr/>
              <w:t> </w:t>
            </w:r>
          </w:p>
        </w:tc>
        <w:tc>
          <w:tcPr>
            <w:tcW w:w="1052" w:type="dxa"/>
            <w:tcBorders/>
            <w:shd w:fill="auto" w:val="clear"/>
            <w:vAlign w:val="center"/>
          </w:tcPr>
          <w:p>
            <w:pPr>
              <w:pStyle w:val="TableContents"/>
              <w:spacing w:before="0" w:after="283"/>
              <w:jc w:val="right"/>
              <w:rPr/>
            </w:pPr>
            <w:r>
              <w:rPr/>
              <w:t>19,749</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83" w:type="dxa"/>
            <w:tcBorders/>
            <w:shd w:fill="auto" w:val="clear"/>
            <w:vAlign w:val="center"/>
          </w:tcPr>
          <w:p>
            <w:pPr>
              <w:pStyle w:val="TableContents"/>
              <w:spacing w:before="0" w:after="283"/>
              <w:rPr/>
            </w:pPr>
            <w:r>
              <w:rPr/>
              <w:t> </w:t>
            </w:r>
          </w:p>
        </w:tc>
        <w:tc>
          <w:tcPr>
            <w:tcW w:w="1052" w:type="dxa"/>
            <w:tcBorders/>
            <w:shd w:fill="auto" w:val="clear"/>
            <w:vAlign w:val="center"/>
          </w:tcPr>
          <w:p>
            <w:pPr>
              <w:pStyle w:val="TableContents"/>
              <w:spacing w:before="0" w:after="283"/>
              <w:jc w:val="right"/>
              <w:rPr/>
            </w:pPr>
            <w:r>
              <w:rPr/>
              <w:t>27,381</w:t>
            </w:r>
          </w:p>
        </w:tc>
        <w:tc>
          <w:tcPr>
            <w:tcW w:w="75" w:type="dxa"/>
            <w:tcBorders/>
            <w:shd w:fill="auto" w:val="clear"/>
            <w:vAlign w:val="center"/>
          </w:tcPr>
          <w:p>
            <w:pPr>
              <w:pStyle w:val="TableContents"/>
              <w:spacing w:before="0" w:after="283"/>
              <w:rPr/>
            </w:pPr>
            <w:r>
              <w:rPr/>
              <w:t> </w:t>
            </w:r>
          </w:p>
        </w:tc>
      </w:tr>
      <w:tr>
        <w:trPr/>
        <w:tc>
          <w:tcPr>
            <w:tcW w:w="287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Maintenance capital</w:t>
            </w:r>
          </w:p>
        </w:tc>
        <w:tc>
          <w:tcPr>
            <w:tcW w:w="120" w:type="dxa"/>
            <w:tcBorders/>
            <w:shd w:fill="CCEEFF" w:val="clear"/>
            <w:vAlign w:val="center"/>
          </w:tcPr>
          <w:p>
            <w:pPr>
              <w:pStyle w:val="TableContents"/>
              <w:spacing w:before="0" w:after="283"/>
              <w:rPr/>
            </w:pPr>
            <w:r>
              <w:rPr/>
              <w:t>  </w:t>
            </w:r>
          </w:p>
        </w:tc>
        <w:tc>
          <w:tcPr>
            <w:tcW w:w="183" w:type="dxa"/>
            <w:tcBorders/>
            <w:shd w:fill="CCEEFF" w:val="clear"/>
            <w:vAlign w:val="center"/>
          </w:tcPr>
          <w:p>
            <w:pPr>
              <w:pStyle w:val="TableContents"/>
              <w:spacing w:before="0" w:after="283"/>
              <w:rPr/>
            </w:pPr>
            <w:r>
              <w:rPr/>
              <w:t> </w:t>
            </w:r>
          </w:p>
        </w:tc>
        <w:tc>
          <w:tcPr>
            <w:tcW w:w="1052" w:type="dxa"/>
            <w:tcBorders/>
            <w:shd w:fill="CCEEFF" w:val="clear"/>
            <w:vAlign w:val="center"/>
          </w:tcPr>
          <w:p>
            <w:pPr>
              <w:pStyle w:val="TableContents"/>
              <w:spacing w:before="0" w:after="283"/>
              <w:jc w:val="right"/>
              <w:rPr/>
            </w:pPr>
            <w:r>
              <w:rPr/>
              <w:t>27,351</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83" w:type="dxa"/>
            <w:tcBorders/>
            <w:shd w:fill="CCEEFF" w:val="clear"/>
            <w:vAlign w:val="center"/>
          </w:tcPr>
          <w:p>
            <w:pPr>
              <w:pStyle w:val="TableContents"/>
              <w:spacing w:before="0" w:after="283"/>
              <w:rPr/>
            </w:pPr>
            <w:r>
              <w:rPr/>
              <w:t> </w:t>
            </w:r>
          </w:p>
        </w:tc>
        <w:tc>
          <w:tcPr>
            <w:tcW w:w="1052" w:type="dxa"/>
            <w:tcBorders/>
            <w:shd w:fill="CCEEFF" w:val="clear"/>
            <w:vAlign w:val="center"/>
          </w:tcPr>
          <w:p>
            <w:pPr>
              <w:pStyle w:val="TableContents"/>
              <w:spacing w:before="0" w:after="283"/>
              <w:jc w:val="right"/>
              <w:rPr/>
            </w:pPr>
            <w:r>
              <w:rPr/>
              <w:t>20,821</w:t>
            </w:r>
          </w:p>
        </w:tc>
        <w:tc>
          <w:tcPr>
            <w:tcW w:w="75" w:type="dxa"/>
            <w:tcBorders/>
            <w:shd w:fill="CCEEFF" w:val="clear"/>
            <w:vAlign w:val="center"/>
          </w:tcPr>
          <w:p>
            <w:pPr>
              <w:pStyle w:val="TableContents"/>
              <w:spacing w:before="0" w:after="283"/>
              <w:rPr/>
            </w:pPr>
            <w:r>
              <w:rPr/>
              <w:t> </w:t>
            </w:r>
          </w:p>
        </w:tc>
      </w:tr>
      <w:tr>
        <w:trPr/>
        <w:tc>
          <w:tcPr>
            <w:tcW w:w="287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83" w:type="dxa"/>
            <w:tcBorders/>
            <w:shd w:fill="auto" w:val="clear"/>
            <w:vAlign w:val="center"/>
          </w:tcPr>
          <w:p>
            <w:pPr>
              <w:pStyle w:val="TableContents"/>
              <w:spacing w:before="0" w:after="0"/>
              <w:rPr>
                <w:bdr w:val="single" w:sz="2" w:space="1" w:color="000000"/>
              </w:rPr>
            </w:pPr>
            <w:r>
              <w:rPr>
                <w:bdr w:val="single" w:sz="2" w:space="1" w:color="000000"/>
              </w:rPr>
              <w:t> </w:t>
            </w:r>
          </w:p>
        </w:tc>
        <w:tc>
          <w:tcPr>
            <w:tcW w:w="1052" w:type="dxa"/>
            <w:tcBorders/>
            <w:shd w:fill="auto" w:val="clear"/>
            <w:vAlign w:val="center"/>
          </w:tcPr>
          <w:p>
            <w:pPr>
              <w:pStyle w:val="TableContents"/>
              <w:spacing w:before="0" w:after="0"/>
              <w:rPr>
                <w:bdr w:val="single" w:sz="2" w:space="1" w:color="000000"/>
              </w:rPr>
            </w:pPr>
            <w:r>
              <w:rPr>
                <w:bdr w:val="single" w:sz="2"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83" w:type="dxa"/>
            <w:tcBorders/>
            <w:shd w:fill="auto" w:val="clear"/>
            <w:vAlign w:val="center"/>
          </w:tcPr>
          <w:p>
            <w:pPr>
              <w:pStyle w:val="TableContents"/>
              <w:spacing w:before="0" w:after="0"/>
              <w:rPr>
                <w:bdr w:val="single" w:sz="2" w:space="1" w:color="000000"/>
              </w:rPr>
            </w:pPr>
            <w:r>
              <w:rPr>
                <w:bdr w:val="single" w:sz="2" w:space="1" w:color="000000"/>
              </w:rPr>
              <w:t> </w:t>
            </w:r>
          </w:p>
        </w:tc>
        <w:tc>
          <w:tcPr>
            <w:tcW w:w="1052" w:type="dxa"/>
            <w:tcBorders/>
            <w:shd w:fill="auto" w:val="clear"/>
            <w:vAlign w:val="center"/>
          </w:tcPr>
          <w:p>
            <w:pPr>
              <w:pStyle w:val="TableContents"/>
              <w:spacing w:before="0" w:after="0"/>
              <w:rPr>
                <w:bdr w:val="single" w:sz="2" w:space="1" w:color="000000"/>
              </w:rPr>
            </w:pPr>
            <w:r>
              <w:rPr>
                <w:bdr w:val="single" w:sz="2" w:space="1" w:color="000000"/>
              </w:rPr>
              <w:t> </w:t>
            </w:r>
          </w:p>
        </w:tc>
        <w:tc>
          <w:tcPr>
            <w:tcW w:w="75" w:type="dxa"/>
            <w:tcBorders/>
            <w:shd w:fill="auto" w:val="clear"/>
            <w:vAlign w:val="center"/>
          </w:tcPr>
          <w:p>
            <w:pPr>
              <w:pStyle w:val="TableContents"/>
              <w:spacing w:before="0" w:after="283"/>
              <w:rPr/>
            </w:pPr>
            <w:r>
              <w:rPr/>
              <w:t> </w:t>
            </w:r>
          </w:p>
        </w:tc>
      </w:tr>
      <w:tr>
        <w:trPr/>
        <w:tc>
          <w:tcPr>
            <w:tcW w:w="287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Total capital additions</w:t>
            </w:r>
          </w:p>
        </w:tc>
        <w:tc>
          <w:tcPr>
            <w:tcW w:w="120" w:type="dxa"/>
            <w:tcBorders/>
            <w:shd w:fill="auto" w:val="clear"/>
            <w:vAlign w:val="center"/>
          </w:tcPr>
          <w:p>
            <w:pPr>
              <w:pStyle w:val="TableContents"/>
              <w:spacing w:before="0" w:after="283"/>
              <w:rPr/>
            </w:pPr>
            <w:r>
              <w:rPr/>
              <w:t>  </w:t>
            </w:r>
          </w:p>
        </w:tc>
        <w:tc>
          <w:tcPr>
            <w:tcW w:w="183" w:type="dxa"/>
            <w:tcBorders/>
            <w:shd w:fill="auto" w:val="clear"/>
            <w:vAlign w:val="center"/>
          </w:tcPr>
          <w:p>
            <w:pPr>
              <w:pStyle w:val="TableContents"/>
              <w:spacing w:before="0" w:after="283"/>
              <w:rPr/>
            </w:pPr>
            <w:r>
              <w:rPr/>
              <w:t>$</w:t>
            </w:r>
          </w:p>
        </w:tc>
        <w:tc>
          <w:tcPr>
            <w:tcW w:w="1052" w:type="dxa"/>
            <w:tcBorders/>
            <w:shd w:fill="auto" w:val="clear"/>
            <w:vAlign w:val="center"/>
          </w:tcPr>
          <w:p>
            <w:pPr>
              <w:pStyle w:val="TableContents"/>
              <w:spacing w:before="0" w:after="283"/>
              <w:jc w:val="right"/>
              <w:rPr/>
            </w:pPr>
            <w:r>
              <w:rPr/>
              <w:t>230,997</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83" w:type="dxa"/>
            <w:tcBorders/>
            <w:shd w:fill="auto" w:val="clear"/>
            <w:vAlign w:val="center"/>
          </w:tcPr>
          <w:p>
            <w:pPr>
              <w:pStyle w:val="TableContents"/>
              <w:spacing w:before="0" w:after="283"/>
              <w:rPr/>
            </w:pPr>
            <w:r>
              <w:rPr/>
              <w:t>$</w:t>
            </w:r>
          </w:p>
        </w:tc>
        <w:tc>
          <w:tcPr>
            <w:tcW w:w="1052" w:type="dxa"/>
            <w:tcBorders/>
            <w:shd w:fill="auto" w:val="clear"/>
            <w:vAlign w:val="center"/>
          </w:tcPr>
          <w:p>
            <w:pPr>
              <w:pStyle w:val="TableContents"/>
              <w:spacing w:before="0" w:after="283"/>
              <w:jc w:val="right"/>
              <w:rPr/>
            </w:pPr>
            <w:r>
              <w:rPr/>
              <w:t>210,965</w:t>
            </w:r>
          </w:p>
        </w:tc>
        <w:tc>
          <w:tcPr>
            <w:tcW w:w="75" w:type="dxa"/>
            <w:tcBorders/>
            <w:shd w:fill="auto" w:val="clear"/>
            <w:vAlign w:val="center"/>
          </w:tcPr>
          <w:p>
            <w:pPr>
              <w:pStyle w:val="TableContents"/>
              <w:spacing w:before="0" w:after="283"/>
              <w:rPr/>
            </w:pPr>
            <w:r>
              <w:rPr/>
              <w:t> </w:t>
            </w:r>
          </w:p>
        </w:tc>
      </w:tr>
      <w:tr>
        <w:trPr/>
        <w:tc>
          <w:tcPr>
            <w:tcW w:w="287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83" w:type="dxa"/>
            <w:tcBorders/>
            <w:shd w:fill="auto" w:val="clear"/>
            <w:vAlign w:val="center"/>
          </w:tcPr>
          <w:p>
            <w:pPr>
              <w:pStyle w:val="TableContents"/>
              <w:spacing w:before="0" w:after="0"/>
              <w:rPr>
                <w:bdr w:val="double" w:sz="6" w:space="1" w:color="000000"/>
              </w:rPr>
            </w:pPr>
            <w:r>
              <w:rPr>
                <w:bdr w:val="double" w:sz="6" w:space="1" w:color="000000"/>
              </w:rPr>
              <w:t> </w:t>
            </w:r>
          </w:p>
        </w:tc>
        <w:tc>
          <w:tcPr>
            <w:tcW w:w="1052" w:type="dxa"/>
            <w:tcBorders/>
            <w:shd w:fill="auto" w:val="clear"/>
            <w:vAlign w:val="center"/>
          </w:tcPr>
          <w:p>
            <w:pPr>
              <w:pStyle w:val="TableContents"/>
              <w:spacing w:before="0" w:after="0"/>
              <w:rPr>
                <w:bdr w:val="double" w:sz="6" w:space="1" w:color="000000"/>
              </w:rPr>
            </w:pPr>
            <w:r>
              <w:rPr>
                <w:bdr w:val="double" w:sz="6"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83" w:type="dxa"/>
            <w:tcBorders/>
            <w:shd w:fill="auto" w:val="clear"/>
            <w:vAlign w:val="center"/>
          </w:tcPr>
          <w:p>
            <w:pPr>
              <w:pStyle w:val="TableContents"/>
              <w:spacing w:before="0" w:after="0"/>
              <w:rPr>
                <w:bdr w:val="double" w:sz="6" w:space="1" w:color="000000"/>
              </w:rPr>
            </w:pPr>
            <w:r>
              <w:rPr>
                <w:bdr w:val="double" w:sz="6" w:space="1" w:color="000000"/>
              </w:rPr>
              <w:t> </w:t>
            </w:r>
          </w:p>
        </w:tc>
        <w:tc>
          <w:tcPr>
            <w:tcW w:w="1052" w:type="dxa"/>
            <w:tcBorders/>
            <w:shd w:fill="auto" w:val="clear"/>
            <w:vAlign w:val="center"/>
          </w:tcPr>
          <w:p>
            <w:pPr>
              <w:pStyle w:val="TableContents"/>
              <w:spacing w:before="0" w:after="0"/>
              <w:rPr>
                <w:bdr w:val="double" w:sz="6" w:space="1" w:color="000000"/>
              </w:rPr>
            </w:pPr>
            <w:r>
              <w:rPr>
                <w:bdr w:val="double" w:sz="6" w:space="1" w:color="000000"/>
              </w:rPr>
              <w:t> </w:t>
            </w:r>
          </w:p>
        </w:tc>
        <w:tc>
          <w:tcPr>
            <w:tcW w:w="75" w:type="dxa"/>
            <w:tcBorders/>
            <w:shd w:fill="auto" w:val="clear"/>
            <w:vAlign w:val="center"/>
          </w:tcPr>
          <w:p>
            <w:pPr>
              <w:pStyle w:val="TableContents"/>
              <w:spacing w:before="0" w:after="283"/>
              <w:rPr/>
            </w:pPr>
            <w:r>
              <w:rPr/>
              <w:t> </w:t>
            </w:r>
          </w:p>
        </w:tc>
      </w:tr>
      <w:tr>
        <w:trPr/>
        <w:tc>
          <w:tcPr>
            <w:tcW w:w="287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Payments from landlords</w:t>
            </w:r>
          </w:p>
        </w:tc>
        <w:tc>
          <w:tcPr>
            <w:tcW w:w="120" w:type="dxa"/>
            <w:tcBorders/>
            <w:shd w:fill="CCEEFF" w:val="clear"/>
            <w:vAlign w:val="center"/>
          </w:tcPr>
          <w:p>
            <w:pPr>
              <w:pStyle w:val="TableContents"/>
              <w:spacing w:before="0" w:after="283"/>
              <w:rPr/>
            </w:pPr>
            <w:r>
              <w:rPr/>
              <w:t>  </w:t>
            </w:r>
          </w:p>
        </w:tc>
        <w:tc>
          <w:tcPr>
            <w:tcW w:w="183" w:type="dxa"/>
            <w:tcBorders/>
            <w:shd w:fill="CCEEFF" w:val="clear"/>
            <w:vAlign w:val="center"/>
          </w:tcPr>
          <w:p>
            <w:pPr>
              <w:pStyle w:val="TableContents"/>
              <w:spacing w:before="0" w:after="283"/>
              <w:rPr/>
            </w:pPr>
            <w:r>
              <w:rPr/>
              <w:t>$</w:t>
            </w:r>
          </w:p>
        </w:tc>
        <w:tc>
          <w:tcPr>
            <w:tcW w:w="1052" w:type="dxa"/>
            <w:tcBorders/>
            <w:shd w:fill="CCEEFF" w:val="clear"/>
            <w:vAlign w:val="center"/>
          </w:tcPr>
          <w:p>
            <w:pPr>
              <w:pStyle w:val="TableContents"/>
              <w:spacing w:before="0" w:after="283"/>
              <w:jc w:val="right"/>
              <w:rPr/>
            </w:pPr>
            <w:r>
              <w:rPr/>
              <w:t>33,544</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83" w:type="dxa"/>
            <w:tcBorders/>
            <w:shd w:fill="CCEEFF" w:val="clear"/>
            <w:vAlign w:val="center"/>
          </w:tcPr>
          <w:p>
            <w:pPr>
              <w:pStyle w:val="TableContents"/>
              <w:spacing w:before="0" w:after="283"/>
              <w:rPr/>
            </w:pPr>
            <w:r>
              <w:rPr/>
              <w:t>$</w:t>
            </w:r>
          </w:p>
        </w:tc>
        <w:tc>
          <w:tcPr>
            <w:tcW w:w="1052" w:type="dxa"/>
            <w:tcBorders/>
            <w:shd w:fill="CCEEFF" w:val="clear"/>
            <w:vAlign w:val="center"/>
          </w:tcPr>
          <w:p>
            <w:pPr>
              <w:pStyle w:val="TableContents"/>
              <w:spacing w:before="0" w:after="283"/>
              <w:jc w:val="right"/>
              <w:rPr/>
            </w:pPr>
            <w:r>
              <w:rPr/>
              <w:t>52,099</w:t>
            </w:r>
          </w:p>
        </w:tc>
        <w:tc>
          <w:tcPr>
            <w:tcW w:w="75" w:type="dxa"/>
            <w:tcBorders/>
            <w:shd w:fill="CCEEFF" w:val="clear"/>
            <w:vAlign w:val="center"/>
          </w:tcPr>
          <w:p>
            <w:pPr>
              <w:pStyle w:val="TableContents"/>
              <w:spacing w:before="0" w:after="283"/>
              <w:rPr/>
            </w:pPr>
            <w:r>
              <w:rPr/>
              <w:t> </w:t>
            </w:r>
          </w:p>
        </w:tc>
      </w:tr>
    </w:tbl>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44 </w:t>
      </w:r>
    </w:p>
    <w:p>
      <w:pPr>
        <w:pStyle w:val="HorizontalLine"/>
        <w:rPr/>
      </w:pPr>
      <w:r>
        <w:rPr/>
      </w:r>
    </w:p>
    <w:p>
      <w:pPr>
        <w:pStyle w:val="TextBody"/>
        <w:spacing w:before="0" w:after="0"/>
        <w:rPr/>
      </w:pPr>
      <w:hyperlink w:anchor="toc">
        <w:r>
          <w:rPr>
            <w:rStyle w:val="InternetLink"/>
            <w:b/>
            <w:sz w:val="20"/>
          </w:rPr>
          <w:t>Table of Contents</w:t>
        </w:r>
      </w:hyperlink>
    </w:p>
    <w:p>
      <w:pPr>
        <w:pStyle w:val="TextBody"/>
        <w:spacing w:before="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Results of Operations </w:t>
      </w:r>
    </w:p>
    <w:p>
      <w:pPr>
        <w:pStyle w:val="TextBody"/>
        <w:spacing w:before="12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Revenues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Total revenues increased $89,390 or 7.1%, to $1,354,691 in fiscal 2019 compared to total revenues of $1,265,301 in fiscal 2018. For the year ended February 2, 2020, we derived 28.3% of our total revenue from food sales, 13.3% from beverage sales, 57.5% from amusement sales and 0.9% from other sources. For the year ended February 3, 2019 we derived 28.9% of our total revenue from food sales, 13.5% from beverage sales, 56.8% from amusement sales and 0.8% from other sources.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The net increase in revenues for fiscal 2019 compared to fiscal 2018 were from the following sources: </w:t>
      </w:r>
    </w:p>
    <w:p>
      <w:pPr>
        <w:pStyle w:val="TextBody"/>
        <w:spacing w:before="0" w:after="0"/>
        <w:jc w:val="left"/>
        <w:rPr>
          <w:spacing w:val="0"/>
        </w:rPr>
      </w:pPr>
      <w:r>
        <w:rPr>
          <w:spacing w:val="0"/>
        </w:rPr>
        <w:t> </w:t>
      </w:r>
    </w:p>
    <w:tbl>
      <w:tblPr>
        <w:tblW w:w="2765" w:type="dxa"/>
        <w:jc w:val="left"/>
        <w:tblInd w:w="0" w:type="dxa"/>
        <w:tblCellMar>
          <w:top w:w="0" w:type="dxa"/>
          <w:left w:w="0" w:type="dxa"/>
          <w:bottom w:w="0" w:type="dxa"/>
          <w:right w:w="0" w:type="dxa"/>
        </w:tblCellMar>
      </w:tblPr>
      <w:tblGrid>
        <w:gridCol w:w="1535"/>
        <w:gridCol w:w="120"/>
        <w:gridCol w:w="140"/>
        <w:gridCol w:w="800"/>
        <w:gridCol w:w="170"/>
      </w:tblGrid>
      <w:tr>
        <w:trPr/>
        <w:tc>
          <w:tcPr>
            <w:tcW w:w="153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800"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r>
      <w:tr>
        <w:trPr/>
        <w:tc>
          <w:tcPr>
            <w:tcW w:w="153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Comparable stores</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800" w:type="dxa"/>
            <w:tcBorders/>
            <w:shd w:fill="CCEEFF" w:val="clear"/>
            <w:vAlign w:val="center"/>
          </w:tcPr>
          <w:p>
            <w:pPr>
              <w:pStyle w:val="TableContents"/>
              <w:spacing w:before="0" w:after="283"/>
              <w:jc w:val="right"/>
              <w:rPr/>
            </w:pPr>
            <w:r>
              <w:rPr/>
              <w:t>(28,408</w:t>
            </w:r>
          </w:p>
        </w:tc>
        <w:tc>
          <w:tcPr>
            <w:tcW w:w="170" w:type="dxa"/>
            <w:tcBorders/>
            <w:shd w:fill="CCEEFF" w:val="clear"/>
            <w:vAlign w:val="center"/>
          </w:tcPr>
          <w:p>
            <w:pPr>
              <w:pStyle w:val="TableContents"/>
              <w:spacing w:before="0" w:after="283"/>
              <w:rPr/>
            </w:pPr>
            <w:r>
              <w:rPr/>
              <w:t>) </w:t>
            </w:r>
          </w:p>
        </w:tc>
      </w:tr>
      <w:tr>
        <w:trPr/>
        <w:tc>
          <w:tcPr>
            <w:tcW w:w="153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Non-comparable</w:t>
            </w:r>
          </w:p>
          <w:p>
            <w:pPr>
              <w:pStyle w:val="TableContents"/>
              <w:spacing w:before="0" w:after="0"/>
              <w:rPr>
                <w:rFonts w:ascii="Times New Roman" w:hAnsi="Times New Roman"/>
                <w:sz w:val="20"/>
              </w:rPr>
            </w:pPr>
            <w:r>
              <w:rPr>
                <w:rFonts w:ascii="Times New Roman" w:hAnsi="Times New Roman"/>
                <w:sz w:val="20"/>
              </w:rPr>
              <w:t>stores</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117,592</w:t>
            </w:r>
          </w:p>
        </w:tc>
        <w:tc>
          <w:tcPr>
            <w:tcW w:w="170" w:type="dxa"/>
            <w:tcBorders/>
            <w:shd w:fill="auto" w:val="clear"/>
            <w:vAlign w:val="center"/>
          </w:tcPr>
          <w:p>
            <w:pPr>
              <w:pStyle w:val="TableContents"/>
              <w:spacing w:before="0" w:after="283"/>
              <w:rPr/>
            </w:pPr>
            <w:r>
              <w:rPr/>
              <w:t> </w:t>
            </w:r>
          </w:p>
        </w:tc>
      </w:tr>
      <w:tr>
        <w:trPr/>
        <w:tc>
          <w:tcPr>
            <w:tcW w:w="153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Other</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800" w:type="dxa"/>
            <w:tcBorders/>
            <w:shd w:fill="CCEEFF" w:val="clear"/>
            <w:vAlign w:val="center"/>
          </w:tcPr>
          <w:p>
            <w:pPr>
              <w:pStyle w:val="TableContents"/>
              <w:spacing w:before="0" w:after="283"/>
              <w:jc w:val="right"/>
              <w:rPr/>
            </w:pPr>
            <w:r>
              <w:rPr/>
              <w:t>206</w:t>
            </w:r>
          </w:p>
        </w:tc>
        <w:tc>
          <w:tcPr>
            <w:tcW w:w="170" w:type="dxa"/>
            <w:tcBorders/>
            <w:shd w:fill="CCEEFF" w:val="clear"/>
            <w:vAlign w:val="center"/>
          </w:tcPr>
          <w:p>
            <w:pPr>
              <w:pStyle w:val="TableContents"/>
              <w:spacing w:before="0" w:after="283"/>
              <w:rPr/>
            </w:pPr>
            <w:r>
              <w:rPr/>
              <w:t> </w:t>
            </w:r>
          </w:p>
        </w:tc>
      </w:tr>
      <w:tr>
        <w:trPr/>
        <w:tc>
          <w:tcPr>
            <w:tcW w:w="153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single" w:sz="2" w:space="1" w:color="000000"/>
              </w:rPr>
            </w:pPr>
            <w:r>
              <w:rPr>
                <w:bdr w:val="single" w:sz="2" w:space="1" w:color="000000"/>
              </w:rPr>
              <w:t> </w:t>
            </w:r>
          </w:p>
        </w:tc>
        <w:tc>
          <w:tcPr>
            <w:tcW w:w="800" w:type="dxa"/>
            <w:tcBorders/>
            <w:shd w:fill="auto" w:val="clear"/>
            <w:vAlign w:val="center"/>
          </w:tcPr>
          <w:p>
            <w:pPr>
              <w:pStyle w:val="TableContents"/>
              <w:spacing w:before="0" w:after="0"/>
              <w:rPr>
                <w:bdr w:val="single" w:sz="2" w:space="1" w:color="000000"/>
              </w:rPr>
            </w:pPr>
            <w:r>
              <w:rPr>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153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Total</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800" w:type="dxa"/>
            <w:tcBorders/>
            <w:shd w:fill="auto" w:val="clear"/>
            <w:vAlign w:val="center"/>
          </w:tcPr>
          <w:p>
            <w:pPr>
              <w:pStyle w:val="TableContents"/>
              <w:spacing w:before="0" w:after="283"/>
              <w:jc w:val="right"/>
              <w:rPr/>
            </w:pPr>
            <w:r>
              <w:rPr/>
              <w:t>89,390</w:t>
            </w:r>
          </w:p>
        </w:tc>
        <w:tc>
          <w:tcPr>
            <w:tcW w:w="170" w:type="dxa"/>
            <w:tcBorders/>
            <w:shd w:fill="auto" w:val="clear"/>
            <w:vAlign w:val="center"/>
          </w:tcPr>
          <w:p>
            <w:pPr>
              <w:pStyle w:val="TableContents"/>
              <w:spacing w:before="0" w:after="283"/>
              <w:rPr/>
            </w:pPr>
            <w:r>
              <w:rPr/>
              <w:t> </w:t>
            </w:r>
          </w:p>
        </w:tc>
      </w:tr>
      <w:tr>
        <w:trPr/>
        <w:tc>
          <w:tcPr>
            <w:tcW w:w="153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double" w:sz="6" w:space="1" w:color="000000"/>
              </w:rPr>
            </w:pPr>
            <w:r>
              <w:rPr>
                <w:bdr w:val="double" w:sz="6" w:space="1" w:color="000000"/>
              </w:rPr>
              <w:t> </w:t>
            </w:r>
          </w:p>
        </w:tc>
        <w:tc>
          <w:tcPr>
            <w:tcW w:w="800" w:type="dxa"/>
            <w:tcBorders/>
            <w:shd w:fill="auto" w:val="clear"/>
            <w:vAlign w:val="center"/>
          </w:tcPr>
          <w:p>
            <w:pPr>
              <w:pStyle w:val="TableContents"/>
              <w:spacing w:before="0" w:after="0"/>
              <w:rPr>
                <w:bdr w:val="double" w:sz="6" w:space="1" w:color="000000"/>
              </w:rPr>
            </w:pPr>
            <w:r>
              <w:rPr>
                <w:bdr w:val="double" w:sz="6" w:space="1" w:color="000000"/>
              </w:rPr>
              <w:t> </w:t>
            </w:r>
          </w:p>
        </w:tc>
        <w:tc>
          <w:tcPr>
            <w:tcW w:w="170" w:type="dxa"/>
            <w:tcBorders/>
            <w:shd w:fill="auto" w:val="clear"/>
            <w:vAlign w:val="center"/>
          </w:tcPr>
          <w:p>
            <w:pPr>
              <w:pStyle w:val="TableContents"/>
              <w:spacing w:before="0" w:after="283"/>
              <w:rPr/>
            </w:pPr>
            <w:r>
              <w:rPr/>
              <w:t> </w:t>
            </w:r>
          </w:p>
        </w:tc>
      </w:tr>
    </w:tbl>
    <w:p>
      <w:pPr>
        <w:pStyle w:val="TextBody"/>
        <w:spacing w:before="240" w:after="0"/>
        <w:jc w:val="left"/>
        <w:rPr>
          <w:rFonts w:ascii="Times New Roman" w:hAnsi="Times New Roman"/>
          <w:sz w:val="20"/>
        </w:rPr>
      </w:pPr>
      <w:r>
        <w:rPr>
          <w:rFonts w:ascii="Times New Roman" w:hAnsi="Times New Roman"/>
          <w:sz w:val="20"/>
        </w:rPr>
        <w:t xml:space="preserve">Comparable store revenue decreased $28,408 or 2.6%, in fiscal 2019 compared to fiscal 2018. Comparable store revenue compared to the prior fiscal year was, in part, negatively impacted by an unfavorable shift in the current year holiday/school break calendar, sales transfers to new stores that we opened in markets where we operate and increased competitive pressure. Comparable </w:t>
      </w:r>
    </w:p>
    <w:p>
      <w:pPr>
        <w:pStyle w:val="TextBody"/>
        <w:spacing w:before="240" w:after="0"/>
        <w:jc w:val="left"/>
        <w:rPr>
          <w:rFonts w:ascii="Times New Roman" w:hAnsi="Times New Roman"/>
          <w:spacing w:val="0"/>
          <w:sz w:val="20"/>
        </w:rPr>
      </w:pPr>
      <w:r>
        <w:rPr>
          <w:rFonts w:ascii="Times New Roman" w:hAnsi="Times New Roman"/>
          <w:spacing w:val="0"/>
          <w:sz w:val="20"/>
        </w:rPr>
        <w:t>walk-in</w:t>
      </w:r>
    </w:p>
    <w:p>
      <w:pPr>
        <w:pStyle w:val="TextBody"/>
        <w:spacing w:before="240" w:after="0"/>
        <w:jc w:val="left"/>
        <w:rPr>
          <w:rFonts w:ascii="Times New Roman" w:hAnsi="Times New Roman"/>
          <w:sz w:val="20"/>
        </w:rPr>
      </w:pPr>
      <w:r>
        <w:rPr>
          <w:rFonts w:ascii="Times New Roman" w:hAnsi="Times New Roman"/>
          <w:sz w:val="20"/>
        </w:rPr>
        <w:t xml:space="preserve">revenues, which accounted for 89.6% of comparable store revenue for fiscal 2019, decreased $29,304, or 3.0% compared to fiscal 2018. Comparable store special events revenues, which accounted for 10.4% of consolidated comparable store revenue for fiscal 2019, increased $896, or 0.8% compared to fiscal 2018.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Food sales at comparable stores decreased by $13,303, or 4.3%, to $296,389 for fiscal 2019 from $309,692 in fiscal 2018. Beverage sales at comparable stores decreased by $5,356, or 3.7%, to $139,446 for fiscal 2019 from $144,802 in the 2018 comparison period. The decrease in food and beverage unit sales at comparable stores was partially offset by an overall increase in menu prices. Comparable store amusement and other revenues in fiscal 2019 decreased by $9,749, or 1.6%, to $608,243 from $617,992 in fiscal 2018. The decrease in amusement sales was due in part to lower customer volumes partially offset by various pricing initiatives in the current year, including an increase in new card fees with the launch of our RFID power card. </w:t>
      </w:r>
    </w:p>
    <w:p>
      <w:pPr>
        <w:pStyle w:val="TextBody"/>
        <w:spacing w:before="240" w:after="0"/>
        <w:jc w:val="left"/>
        <w:rPr>
          <w:rFonts w:ascii="Times New Roman" w:hAnsi="Times New Roman"/>
          <w:spacing w:val="0"/>
          <w:sz w:val="20"/>
        </w:rPr>
      </w:pPr>
      <w:r>
        <w:rPr>
          <w:rFonts w:ascii="Times New Roman" w:hAnsi="Times New Roman"/>
          <w:spacing w:val="0"/>
          <w:sz w:val="20"/>
        </w:rPr>
        <w:t>Non-comparable</w:t>
      </w:r>
    </w:p>
    <w:p>
      <w:pPr>
        <w:pStyle w:val="TextBody"/>
        <w:spacing w:before="240" w:after="0"/>
        <w:jc w:val="left"/>
        <w:rPr>
          <w:rFonts w:ascii="Times New Roman" w:hAnsi="Times New Roman"/>
          <w:sz w:val="20"/>
        </w:rPr>
      </w:pPr>
      <w:r>
        <w:rPr>
          <w:rFonts w:ascii="Times New Roman" w:hAnsi="Times New Roman"/>
          <w:sz w:val="20"/>
        </w:rPr>
        <w:t xml:space="preserve">store revenue increased by $117,592 for fiscal 2019 compared to fiscal 2018. The increase in </w:t>
      </w:r>
    </w:p>
    <w:p>
      <w:pPr>
        <w:pStyle w:val="TextBody"/>
        <w:spacing w:before="240" w:after="0"/>
        <w:jc w:val="left"/>
        <w:rPr>
          <w:rFonts w:ascii="Times New Roman" w:hAnsi="Times New Roman"/>
          <w:spacing w:val="0"/>
          <w:sz w:val="20"/>
        </w:rPr>
      </w:pPr>
      <w:r>
        <w:rPr>
          <w:rFonts w:ascii="Times New Roman" w:hAnsi="Times New Roman"/>
          <w:spacing w:val="0"/>
          <w:sz w:val="20"/>
        </w:rPr>
        <w:t>non-comparable</w:t>
      </w:r>
    </w:p>
    <w:p>
      <w:pPr>
        <w:pStyle w:val="TextBody"/>
        <w:spacing w:before="240" w:after="0"/>
        <w:jc w:val="left"/>
        <w:rPr>
          <w:rFonts w:ascii="Times New Roman" w:hAnsi="Times New Roman"/>
          <w:sz w:val="20"/>
        </w:rPr>
      </w:pPr>
      <w:r>
        <w:rPr>
          <w:rFonts w:ascii="Times New Roman" w:hAnsi="Times New Roman"/>
          <w:sz w:val="20"/>
        </w:rPr>
        <w:t xml:space="preserve">store revenue was primarily driven by 811 additional operating store weeks contributed by our thirty-seven </w:t>
      </w:r>
    </w:p>
    <w:p>
      <w:pPr>
        <w:pStyle w:val="TextBody"/>
        <w:spacing w:before="240" w:after="0"/>
        <w:jc w:val="left"/>
        <w:rPr>
          <w:rFonts w:ascii="Times New Roman" w:hAnsi="Times New Roman"/>
          <w:spacing w:val="0"/>
          <w:sz w:val="20"/>
        </w:rPr>
      </w:pPr>
      <w:r>
        <w:rPr>
          <w:rFonts w:ascii="Times New Roman" w:hAnsi="Times New Roman"/>
          <w:spacing w:val="0"/>
          <w:sz w:val="20"/>
        </w:rPr>
        <w:t>non-comparable</w:t>
      </w:r>
    </w:p>
    <w:p>
      <w:pPr>
        <w:pStyle w:val="TextBody"/>
        <w:spacing w:before="240" w:after="0"/>
        <w:jc w:val="left"/>
        <w:rPr>
          <w:rFonts w:ascii="Times New Roman" w:hAnsi="Times New Roman"/>
          <w:sz w:val="20"/>
        </w:rPr>
      </w:pPr>
      <w:r>
        <w:rPr>
          <w:rFonts w:ascii="Times New Roman" w:hAnsi="Times New Roman"/>
          <w:sz w:val="20"/>
        </w:rPr>
        <w:t xml:space="preserve">stores, partially offset by a decrease in revenue due to the closure of our store in Duluth (Atlanta), Georgia on March 3, 2019. The year-over-year decline in average weekly </w:t>
      </w:r>
    </w:p>
    <w:p>
      <w:pPr>
        <w:pStyle w:val="TextBody"/>
        <w:spacing w:before="240" w:after="0"/>
        <w:jc w:val="left"/>
        <w:rPr>
          <w:rFonts w:ascii="Times New Roman" w:hAnsi="Times New Roman"/>
          <w:spacing w:val="0"/>
          <w:sz w:val="20"/>
        </w:rPr>
      </w:pPr>
      <w:r>
        <w:rPr>
          <w:rFonts w:ascii="Times New Roman" w:hAnsi="Times New Roman"/>
          <w:spacing w:val="0"/>
          <w:sz w:val="20"/>
        </w:rPr>
        <w:t>non-comparable</w:t>
      </w:r>
    </w:p>
    <w:p>
      <w:pPr>
        <w:pStyle w:val="TextBody"/>
        <w:spacing w:before="240" w:after="0"/>
        <w:jc w:val="left"/>
        <w:rPr>
          <w:rFonts w:ascii="Times New Roman" w:hAnsi="Times New Roman"/>
          <w:sz w:val="20"/>
        </w:rPr>
      </w:pPr>
      <w:r>
        <w:rPr>
          <w:rFonts w:ascii="Times New Roman" w:hAnsi="Times New Roman"/>
          <w:sz w:val="20"/>
        </w:rPr>
        <w:t xml:space="preserve">store sales during fiscal 2019 is driven primarily by a honeymoon effect on fiscal 2017 and 2018 opening sales volumes and larger than expected declines in two of those markets which were adversely impacted by slowdowns in their local economies following a natural disaster. Additionally, stores opened during fiscal 2019 experienced slightly lower opening volumes than our 2018 openings. </w:t>
      </w:r>
    </w:p>
    <w:p>
      <w:pPr>
        <w:pStyle w:val="TextBody"/>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Cost of products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The total cost of products was $233,311 for fiscal 2019 and $220,263 for fiscal 2018. The total cost of products as a percentage of total revenues was 17.2% and 17.4% for fiscal 2019 and fiscal 2018, respectively. For the year ended February 2, 2020, the cost of food products was 27.2% of food revenue, the cost of beverage products was 24.3% of beverage revenue, and the amusement and other cost of products was 10.8% of amusement and other revenues. For the year ended February 3, 2019, the cost of food products was 26.8% of food revenue, the cost of beverage products was 24.2% of beverage revenue, and the amusement and other cost of products was 11.1% of amusement and other revenues.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45 </w:t>
      </w:r>
    </w:p>
    <w:p>
      <w:pPr>
        <w:pStyle w:val="HorizontalLine"/>
        <w:rPr/>
      </w:pPr>
      <w:r>
        <w:rPr/>
      </w:r>
    </w:p>
    <w:p>
      <w:pPr>
        <w:pStyle w:val="TextBody"/>
        <w:spacing w:before="0" w:after="0"/>
        <w:rPr/>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Cost of food and beverage products increased to $148,196 in fiscal 2019 compared to $139,199 for fiscal 2018 due primarily to the increased sales volume related to new store openings. Cost of food and beverage products, as a percentage of food and beverage revenues, increased 40 basis points to 26.3% for fiscal 2019 from 25.9% for fiscal 2018. Higher meat costs resulting from our upgraded steak products, higher poultry costs due to our “All You Can Eat” wings promotion and higher bar consumable costs due to our shift to fresh juices at the bar as well as the impact of our larger </w:t>
      </w:r>
    </w:p>
    <w:p>
      <w:pPr>
        <w:pStyle w:val="TextBody"/>
        <w:spacing w:before="0" w:after="0"/>
        <w:jc w:val="left"/>
        <w:rPr>
          <w:rFonts w:ascii="Times New Roman" w:hAnsi="Times New Roman"/>
          <w:spacing w:val="0"/>
          <w:sz w:val="20"/>
        </w:rPr>
      </w:pPr>
      <w:r>
        <w:rPr>
          <w:rFonts w:ascii="Times New Roman" w:hAnsi="Times New Roman"/>
          <w:spacing w:val="0"/>
          <w:sz w:val="20"/>
        </w:rPr>
        <w:t>non-comparable</w:t>
      </w:r>
    </w:p>
    <w:p>
      <w:pPr>
        <w:pStyle w:val="TextBody"/>
        <w:spacing w:before="0" w:after="0"/>
        <w:jc w:val="left"/>
        <w:rPr>
          <w:rFonts w:ascii="Times New Roman" w:hAnsi="Times New Roman"/>
          <w:sz w:val="20"/>
        </w:rPr>
      </w:pPr>
      <w:r>
        <w:rPr>
          <w:rFonts w:ascii="Times New Roman" w:hAnsi="Times New Roman"/>
          <w:sz w:val="20"/>
        </w:rPr>
        <w:t xml:space="preserve">store group, were partially offset by declines in seafood costs and increases in food and beverage menu prices. </w:t>
      </w:r>
    </w:p>
    <w:p>
      <w:pPr>
        <w:pStyle w:val="TextBody"/>
        <w:spacing w:before="240" w:after="0"/>
        <w:jc w:val="left"/>
        <w:rPr>
          <w:rFonts w:ascii="Times New Roman" w:hAnsi="Times New Roman"/>
          <w:sz w:val="20"/>
        </w:rPr>
      </w:pPr>
      <w:r>
        <w:rPr>
          <w:rFonts w:ascii="Times New Roman" w:hAnsi="Times New Roman"/>
          <w:sz w:val="20"/>
        </w:rPr>
        <w:t xml:space="preserve">Cost of amusement and other increased to $85,115 in fiscal 2019 compared to $81,064 in fiscal 2018. The costs of amusement and other, as a percentage of amusement and other revenues, decreased 30 basis points to 10.8% for fiscal 2019 from 11.1% for fiscal 2018. The decrease in cost of amusement and other as a percentage of revenue was due primarily to a shift in game play to </w:t>
      </w:r>
    </w:p>
    <w:p>
      <w:pPr>
        <w:pStyle w:val="TextBody"/>
        <w:spacing w:before="240" w:after="0"/>
        <w:jc w:val="left"/>
        <w:rPr>
          <w:rFonts w:ascii="Times New Roman" w:hAnsi="Times New Roman"/>
          <w:spacing w:val="0"/>
          <w:sz w:val="20"/>
        </w:rPr>
      </w:pPr>
      <w:r>
        <w:rPr>
          <w:rFonts w:ascii="Times New Roman" w:hAnsi="Times New Roman"/>
          <w:spacing w:val="0"/>
          <w:sz w:val="20"/>
        </w:rPr>
        <w:t>non-redemption</w:t>
      </w:r>
    </w:p>
    <w:p>
      <w:pPr>
        <w:pStyle w:val="TextBody"/>
        <w:spacing w:before="240" w:after="0"/>
        <w:jc w:val="left"/>
        <w:rPr>
          <w:rFonts w:ascii="Times New Roman" w:hAnsi="Times New Roman"/>
          <w:sz w:val="20"/>
        </w:rPr>
      </w:pPr>
      <w:r>
        <w:rPr>
          <w:rFonts w:ascii="Times New Roman" w:hAnsi="Times New Roman"/>
          <w:sz w:val="20"/>
        </w:rPr>
        <w:t xml:space="preserve">games and an increase in the price of power cards. </w:t>
      </w:r>
    </w:p>
    <w:p>
      <w:pPr>
        <w:pStyle w:val="TextBody"/>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Operating payroll and benefits </w:t>
      </w:r>
    </w:p>
    <w:p>
      <w:pPr>
        <w:pStyle w:val="TextBody"/>
        <w:spacing w:before="120" w:after="0"/>
        <w:jc w:val="left"/>
        <w:rPr>
          <w:rFonts w:ascii="Times New Roman" w:hAnsi="Times New Roman"/>
          <w:sz w:val="20"/>
        </w:rPr>
      </w:pPr>
      <w:r>
        <w:rPr>
          <w:rFonts w:ascii="Times New Roman" w:hAnsi="Times New Roman"/>
          <w:sz w:val="20"/>
        </w:rPr>
        <w:t xml:space="preserve">Total operating payroll and benefits increased by $26,046, or 8.8%, to $322,970 in fiscal 2019 compared to $296,924 in fiscal 2018. This increase was primarily due to labor associated with the additional operating store weeks of our </w:t>
      </w:r>
    </w:p>
    <w:p>
      <w:pPr>
        <w:pStyle w:val="TextBody"/>
        <w:spacing w:before="120" w:after="0"/>
        <w:jc w:val="left"/>
        <w:rPr>
          <w:rFonts w:ascii="Times New Roman" w:hAnsi="Times New Roman"/>
          <w:spacing w:val="0"/>
          <w:sz w:val="20"/>
        </w:rPr>
      </w:pPr>
      <w:r>
        <w:rPr>
          <w:rFonts w:ascii="Times New Roman" w:hAnsi="Times New Roman"/>
          <w:spacing w:val="0"/>
          <w:sz w:val="20"/>
        </w:rPr>
        <w:t>non-comparable</w:t>
      </w:r>
    </w:p>
    <w:p>
      <w:pPr>
        <w:pStyle w:val="TextBody"/>
        <w:spacing w:before="120" w:after="0"/>
        <w:jc w:val="left"/>
        <w:rPr>
          <w:rFonts w:ascii="Times New Roman" w:hAnsi="Times New Roman"/>
          <w:sz w:val="20"/>
        </w:rPr>
      </w:pPr>
      <w:r>
        <w:rPr>
          <w:rFonts w:ascii="Times New Roman" w:hAnsi="Times New Roman"/>
          <w:sz w:val="20"/>
        </w:rPr>
        <w:t xml:space="preserve">stores. The total cost of operating payroll and benefits, as a percentage of total revenues, increased 30 basis points to 23.8% in fiscal 2019 compared to 23.5% for fiscal 2018. This increase was due to an average hourly wage rate increase of approximately 4.1% and unfavorable leverage on decreased comparable store sales, partially offset by lower incentive compensation. </w:t>
      </w:r>
    </w:p>
    <w:p>
      <w:pPr>
        <w:pStyle w:val="TextBody"/>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Other store operating expenses </w:t>
      </w:r>
    </w:p>
    <w:p>
      <w:pPr>
        <w:pStyle w:val="TextBody"/>
        <w:spacing w:before="120" w:after="0"/>
        <w:jc w:val="left"/>
        <w:rPr>
          <w:rFonts w:ascii="Times New Roman" w:hAnsi="Times New Roman"/>
          <w:sz w:val="20"/>
        </w:rPr>
      </w:pPr>
      <w:r>
        <w:rPr>
          <w:rFonts w:ascii="Times New Roman" w:hAnsi="Times New Roman"/>
          <w:sz w:val="20"/>
        </w:rPr>
        <w:t xml:space="preserve">Other store operating expenses increased by $45,276, or 11.8%, to $429,431 in fiscal 2019 compared to $384,155 in fiscal 2018, primarily due to new store openings. Other store operating expenses as a percentage of total revenues increased 140 basis points to 31.8% in fiscal 2019 compared to 30.4% in fiscal 2018. This increase was due primarily to higher occupancy costs associated with our </w:t>
      </w:r>
    </w:p>
    <w:p>
      <w:pPr>
        <w:pStyle w:val="TextBody"/>
        <w:spacing w:before="120" w:after="0"/>
        <w:jc w:val="left"/>
        <w:rPr>
          <w:rFonts w:ascii="Times New Roman" w:hAnsi="Times New Roman"/>
          <w:spacing w:val="0"/>
          <w:sz w:val="20"/>
        </w:rPr>
      </w:pPr>
      <w:r>
        <w:rPr>
          <w:rFonts w:ascii="Times New Roman" w:hAnsi="Times New Roman"/>
          <w:spacing w:val="0"/>
          <w:sz w:val="20"/>
        </w:rPr>
        <w:t>non-comparable</w:t>
      </w:r>
    </w:p>
    <w:p>
      <w:pPr>
        <w:pStyle w:val="TextBody"/>
        <w:spacing w:before="120" w:after="0"/>
        <w:jc w:val="left"/>
        <w:rPr>
          <w:rFonts w:ascii="Times New Roman" w:hAnsi="Times New Roman"/>
          <w:sz w:val="20"/>
        </w:rPr>
      </w:pPr>
      <w:r>
        <w:rPr>
          <w:rFonts w:ascii="Times New Roman" w:hAnsi="Times New Roman"/>
          <w:sz w:val="20"/>
        </w:rPr>
        <w:t xml:space="preserve">stores and the deleveraging impact of lower comparable store sales, the absence of hurricane-related business interruption proceeds recorded in the prior year and incremental legal costs. </w:t>
      </w:r>
    </w:p>
    <w:p>
      <w:pPr>
        <w:pStyle w:val="TextBody"/>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General and administrative expenses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General and administrative expenses increased by $7,948, or 12.9%, to $69,469 in fiscal 2019 compared to $61,521 in fiscal 2018. The increase in general and administrative expenses was driven primarily by professional services at our corporate headquarters including costs related to shareholder activism. General and administrative expenses, as a percentage of total revenues, increased 20 basis points to 5.1% in fiscal 2019 compared to 4.9% in fiscal 2018, for the same reasons above offset by favorable leverage on revenue increases. </w:t>
      </w:r>
    </w:p>
    <w:p>
      <w:pPr>
        <w:pStyle w:val="TextBody"/>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Depreciation and amortization expense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Depreciation and amortization expense increased by $14,185, or 12.0%, to $132,460 in fiscal 2019 compared to $118,275 in fiscal 2018. Increased depreciation due to our 2018 and 2017 capital expenditures for new stores, operating initiatives, including remodels, games and maintenance capital, was partially offset by other assets reaching the end of their depreciable lives. </w:t>
      </w:r>
    </w:p>
    <w:p>
      <w:pPr>
        <w:pStyle w:val="TextBody"/>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Pre-opening</w:t>
      </w:r>
    </w:p>
    <w:p>
      <w:pPr>
        <w:pStyle w:val="TextBody"/>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costs </w:t>
      </w:r>
    </w:p>
    <w:p>
      <w:pPr>
        <w:pStyle w:val="TextBody"/>
        <w:spacing w:before="120" w:after="0"/>
        <w:jc w:val="left"/>
        <w:rPr>
          <w:rFonts w:ascii="Times New Roman" w:hAnsi="Times New Roman"/>
          <w:spacing w:val="0"/>
          <w:sz w:val="20"/>
        </w:rPr>
      </w:pPr>
      <w:r>
        <w:rPr>
          <w:rFonts w:ascii="Times New Roman" w:hAnsi="Times New Roman"/>
          <w:spacing w:val="0"/>
          <w:sz w:val="20"/>
        </w:rPr>
        <w:t>Pre-opening</w:t>
      </w:r>
    </w:p>
    <w:p>
      <w:pPr>
        <w:pStyle w:val="TextBody"/>
        <w:spacing w:before="120" w:after="0"/>
        <w:jc w:val="left"/>
        <w:rPr>
          <w:rFonts w:ascii="Times New Roman" w:hAnsi="Times New Roman"/>
          <w:sz w:val="20"/>
        </w:rPr>
      </w:pPr>
      <w:r>
        <w:rPr>
          <w:rFonts w:ascii="Times New Roman" w:hAnsi="Times New Roman"/>
          <w:sz w:val="20"/>
        </w:rPr>
        <w:t xml:space="preserve">costs decreased by $4,192 to $18,971 in fiscal 2019 compared to $23,163 in fiscal 2018 due to the number and timing of new store openings and stores in development.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46 </w:t>
      </w:r>
    </w:p>
    <w:p>
      <w:pPr>
        <w:pStyle w:val="HorizontalLine"/>
        <w:rPr/>
      </w:pPr>
      <w:r>
        <w:rPr/>
      </w:r>
    </w:p>
    <w:p>
      <w:pPr>
        <w:pStyle w:val="TextBody"/>
        <w:spacing w:before="0" w:after="0"/>
        <w:rPr/>
      </w:pPr>
      <w:hyperlink w:anchor="toc">
        <w:r>
          <w:rPr>
            <w:rStyle w:val="InternetLink"/>
            <w:b/>
            <w:sz w:val="20"/>
          </w:rPr>
          <w:t>Table of Contents</w:t>
        </w:r>
      </w:hyperlink>
    </w:p>
    <w:p>
      <w:pPr>
        <w:pStyle w:val="TextBody"/>
        <w:spacing w:before="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Interest expense, net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Interest expense, net increased by $7,824 to $20,937 in fiscal 2019 compared to $13,113 in fiscal 2018 due primarily to an increase in average outstanding debt partially offset by slightly lower interest rates. </w:t>
      </w:r>
    </w:p>
    <w:p>
      <w:pPr>
        <w:pStyle w:val="TextBody"/>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Provision for income taxes </w:t>
      </w:r>
    </w:p>
    <w:p>
      <w:pPr>
        <w:pStyle w:val="TextBody"/>
        <w:spacing w:before="120" w:after="0"/>
        <w:jc w:val="left"/>
        <w:rPr>
          <w:rFonts w:ascii="Times New Roman" w:hAnsi="Times New Roman"/>
          <w:sz w:val="20"/>
        </w:rPr>
      </w:pPr>
      <w:r>
        <w:rPr>
          <w:rFonts w:ascii="Times New Roman" w:hAnsi="Times New Roman"/>
          <w:sz w:val="20"/>
        </w:rPr>
        <w:t>The effective income tax rate increased to 21.1% in fiscal 2019 compared to 20.7% in fiscal 2018. This increase primarily reflects lower excess tax benefits associated with share-based compensation, offset partially with higher tax credits.</w:t>
      </w:r>
    </w:p>
    <w:p>
      <w:pPr>
        <w:pStyle w:val="TextBody"/>
        <w:spacing w:before="360" w:after="0"/>
        <w:jc w:val="left"/>
        <w:rPr>
          <w:rFonts w:ascii="Times New Roman" w:hAnsi="Times New Roman"/>
          <w:b/>
          <w:spacing w:val="0"/>
          <w:sz w:val="20"/>
        </w:rPr>
      </w:pPr>
      <w:r>
        <w:rPr>
          <w:rFonts w:ascii="Times New Roman" w:hAnsi="Times New Roman"/>
          <w:b/>
          <w:spacing w:val="0"/>
          <w:sz w:val="20"/>
        </w:rPr>
        <w:t xml:space="preserve">Liquidity and Capital Resources </w:t>
      </w:r>
    </w:p>
    <w:p>
      <w:pPr>
        <w:pStyle w:val="TextBody"/>
        <w:spacing w:before="120" w:after="0"/>
        <w:jc w:val="left"/>
        <w:rPr>
          <w:rFonts w:ascii="Times New Roman" w:hAnsi="Times New Roman"/>
          <w:sz w:val="20"/>
        </w:rPr>
      </w:pPr>
      <w:r>
        <w:rPr>
          <w:rFonts w:ascii="Times New Roman" w:hAnsi="Times New Roman"/>
          <w:sz w:val="20"/>
        </w:rPr>
        <w:t xml:space="preserve">In response to the business disruption caused by the </w:t>
      </w:r>
    </w:p>
    <w:p>
      <w:pPr>
        <w:pStyle w:val="TextBody"/>
        <w:spacing w:before="120" w:after="0"/>
        <w:jc w:val="left"/>
        <w:rPr>
          <w:rFonts w:ascii="Times New Roman" w:hAnsi="Times New Roman"/>
          <w:spacing w:val="0"/>
          <w:sz w:val="20"/>
        </w:rPr>
      </w:pPr>
      <w:r>
        <w:rPr>
          <w:rFonts w:ascii="Times New Roman" w:hAnsi="Times New Roman"/>
          <w:spacing w:val="0"/>
          <w:sz w:val="20"/>
        </w:rPr>
        <w:t>COVID-19</w:t>
      </w:r>
    </w:p>
    <w:p>
      <w:pPr>
        <w:pStyle w:val="TextBody"/>
        <w:spacing w:before="120" w:after="0"/>
        <w:jc w:val="left"/>
        <w:rPr>
          <w:rFonts w:ascii="Times New Roman" w:hAnsi="Times New Roman"/>
          <w:sz w:val="20"/>
        </w:rPr>
      </w:pPr>
      <w:r>
        <w:rPr>
          <w:rFonts w:ascii="Times New Roman" w:hAnsi="Times New Roman"/>
          <w:sz w:val="20"/>
        </w:rPr>
        <w:t xml:space="preserve">pandemic, the Company has taken the following actions to enable it to meet its obligations over the next twelve months: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During fiscal year 2020, we: </w:t>
      </w:r>
    </w:p>
    <w:p>
      <w:pPr>
        <w:pStyle w:val="TextBody"/>
        <w:spacing w:before="0" w:after="0"/>
        <w:jc w:val="left"/>
        <w:rPr>
          <w:spacing w:val="0"/>
        </w:rPr>
      </w:pPr>
      <w:r>
        <w:rPr>
          <w:spacing w:val="0"/>
        </w:rPr>
        <w:t> </w:t>
      </w:r>
    </w:p>
    <w:tbl>
      <w:tblPr>
        <w:tblW w:w="2485" w:type="dxa"/>
        <w:jc w:val="left"/>
        <w:tblInd w:w="0" w:type="dxa"/>
        <w:tblCellMar>
          <w:top w:w="0" w:type="dxa"/>
          <w:left w:w="0" w:type="dxa"/>
          <w:bottom w:w="0" w:type="dxa"/>
          <w:right w:w="0" w:type="dxa"/>
        </w:tblCellMar>
      </w:tblPr>
      <w:tblGrid>
        <w:gridCol w:w="75"/>
        <w:gridCol w:w="110"/>
        <w:gridCol w:w="60"/>
        <w:gridCol w:w="224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224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reduced expenses broadly; </w:t>
            </w:r>
          </w:p>
        </w:tc>
      </w:tr>
    </w:tbl>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canceled or delayed all </w:t>
            </w:r>
          </w:p>
          <w:p>
            <w:pPr>
              <w:pStyle w:val="TableContents"/>
              <w:spacing w:before="0" w:after="0"/>
              <w:jc w:val="left"/>
              <w:rPr>
                <w:rFonts w:ascii="Times New Roman" w:hAnsi="Times New Roman"/>
                <w:spacing w:val="0"/>
                <w:sz w:val="20"/>
              </w:rPr>
            </w:pPr>
            <w:r>
              <w:rPr>
                <w:rFonts w:ascii="Times New Roman" w:hAnsi="Times New Roman"/>
                <w:spacing w:val="0"/>
                <w:sz w:val="20"/>
              </w:rPr>
              <w:t>non-essential</w:t>
            </w:r>
          </w:p>
          <w:p>
            <w:pPr>
              <w:pStyle w:val="TableContents"/>
              <w:spacing w:before="0" w:after="0"/>
              <w:jc w:val="left"/>
              <w:rPr>
                <w:rFonts w:ascii="Times New Roman" w:hAnsi="Times New Roman"/>
                <w:sz w:val="20"/>
              </w:rPr>
            </w:pPr>
            <w:r>
              <w:rPr>
                <w:rFonts w:ascii="Times New Roman" w:hAnsi="Times New Roman"/>
                <w:sz w:val="20"/>
              </w:rPr>
              <w:t xml:space="preserve">planned capital spending for the remainder of fiscal 2020 and halted or delayed all planned store openings, except stores that commenced construction prior to the </w:t>
            </w:r>
          </w:p>
          <w:p>
            <w:pPr>
              <w:pStyle w:val="TableContents"/>
              <w:spacing w:before="0" w:after="0"/>
              <w:jc w:val="left"/>
              <w:rPr>
                <w:rFonts w:ascii="Times New Roman" w:hAnsi="Times New Roman"/>
                <w:spacing w:val="0"/>
                <w:sz w:val="20"/>
              </w:rPr>
            </w:pPr>
            <w:r>
              <w:rPr>
                <w:rFonts w:ascii="Times New Roman" w:hAnsi="Times New Roman"/>
                <w:spacing w:val="0"/>
                <w:sz w:val="20"/>
              </w:rPr>
              <w:t>COVID-19</w:t>
            </w:r>
          </w:p>
          <w:p>
            <w:pPr>
              <w:pStyle w:val="TableContents"/>
              <w:spacing w:before="0" w:after="0"/>
              <w:jc w:val="left"/>
              <w:rPr>
                <w:rFonts w:ascii="Times New Roman" w:hAnsi="Times New Roman"/>
                <w:sz w:val="20"/>
              </w:rPr>
            </w:pPr>
            <w:r>
              <w:rPr>
                <w:rFonts w:ascii="Times New Roman" w:hAnsi="Times New Roman"/>
                <w:sz w:val="20"/>
              </w:rPr>
              <w:t xml:space="preserve">pandemic; </w:t>
            </w:r>
          </w:p>
        </w:tc>
      </w:tr>
    </w:tbl>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indefinitely suspended our share repurchase program and cash dividends and drew down substantially all the remaining credit available under our $500,000 revolving credit facility during our first quarter of fiscal 2020; </w:t>
            </w:r>
          </w:p>
        </w:tc>
      </w:tr>
    </w:tbl>
    <w:p>
      <w:pPr>
        <w:pStyle w:val="TextBody"/>
        <w:spacing w:before="0" w:after="0"/>
        <w:jc w:val="left"/>
        <w:rPr>
          <w:spacing w:val="0"/>
        </w:rPr>
      </w:pPr>
      <w:r>
        <w:rPr>
          <w:spacing w:val="0"/>
        </w:rPr>
        <w:t> </w:t>
      </w:r>
    </w:p>
    <w:tbl>
      <w:tblPr>
        <w:tblW w:w="6250" w:type="dxa"/>
        <w:jc w:val="left"/>
        <w:tblInd w:w="0" w:type="dxa"/>
        <w:tblCellMar>
          <w:top w:w="0" w:type="dxa"/>
          <w:left w:w="0" w:type="dxa"/>
          <w:bottom w:w="0" w:type="dxa"/>
          <w:right w:w="0" w:type="dxa"/>
        </w:tblCellMar>
      </w:tblPr>
      <w:tblGrid>
        <w:gridCol w:w="75"/>
        <w:gridCol w:w="110"/>
        <w:gridCol w:w="60"/>
        <w:gridCol w:w="600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6005"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sold shares of our common stock, generating gross proceeds of $185,600; </w:t>
            </w:r>
          </w:p>
        </w:tc>
      </w:tr>
    </w:tbl>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negotiated two amendments with our lenders, resulting in an extension of the maturity date of our revolving credit facility to August 17, 2024 and relief from testing compliance with certain financial covenants until the last day of the fiscal quarter ending on May 1, 2022; </w:t>
            </w:r>
          </w:p>
        </w:tc>
      </w:tr>
    </w:tbl>
    <w:p>
      <w:pPr>
        <w:pStyle w:val="TextBody"/>
        <w:spacing w:before="0" w:after="0"/>
        <w:jc w:val="left"/>
        <w:rPr>
          <w:spacing w:val="0"/>
        </w:rPr>
      </w:pPr>
      <w:r>
        <w:rPr>
          <w:spacing w:val="0"/>
        </w:rPr>
        <w:t> </w:t>
      </w:r>
    </w:p>
    <w:tbl>
      <w:tblPr>
        <w:tblW w:w="5980" w:type="dxa"/>
        <w:jc w:val="left"/>
        <w:tblInd w:w="0" w:type="dxa"/>
        <w:tblCellMar>
          <w:top w:w="0" w:type="dxa"/>
          <w:left w:w="0" w:type="dxa"/>
          <w:bottom w:w="0" w:type="dxa"/>
          <w:right w:w="0" w:type="dxa"/>
        </w:tblCellMar>
      </w:tblPr>
      <w:tblGrid>
        <w:gridCol w:w="75"/>
        <w:gridCol w:w="110"/>
        <w:gridCol w:w="60"/>
        <w:gridCol w:w="5735"/>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5735"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issued $550,000 of senior secured notes, maturing November 1, 2025; </w:t>
            </w:r>
          </w:p>
        </w:tc>
      </w:tr>
    </w:tbl>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negotiated with our landlords, vendors, and other business partners to temporarily reduce our lease and contract payments and obtain other concessions. During fiscal 2020, a total of 126 rent relief agreements related to our operating locations and corporate headquarters were initially executed, which generally provide for full deferral for three months beginning April 2020, with partial deferral continuing for periods of up to six months, at approximately 50% of those locations. As the pandemic continued to impact our business into the fourth quarter, the Company renewed negotiations with the majority of these landlords in order to provide additional rent relief, generally seeking to push out or extend the terms of deferral pay back periods and/or provide rent relief beyond the periods in the initial agreements. As of the end of fiscal 2020, the Company had executed 17 of these additional rent relief agreements; and </w:t>
            </w:r>
          </w:p>
        </w:tc>
      </w:tr>
    </w:tbl>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submitted a proposal, approved by our shareholders, increasing the number of shares available for incentive awards, which enables management to maintain key talent while preserving the Company’s liquidity by minimizing cash outlays. </w:t>
            </w:r>
          </w:p>
        </w:tc>
      </w:tr>
    </w:tbl>
    <w:p>
      <w:pPr>
        <w:pStyle w:val="TextBody"/>
        <w:spacing w:before="240" w:after="0"/>
        <w:jc w:val="left"/>
        <w:rPr>
          <w:rFonts w:ascii="Times New Roman" w:hAnsi="Times New Roman"/>
          <w:sz w:val="20"/>
        </w:rPr>
      </w:pPr>
      <w:r>
        <w:rPr>
          <w:rFonts w:ascii="Times New Roman" w:hAnsi="Times New Roman"/>
          <w:sz w:val="20"/>
        </w:rPr>
        <w:t xml:space="preserve">Although uncertainty surrounds the timing of </w:t>
      </w:r>
    </w:p>
    <w:p>
      <w:pPr>
        <w:pStyle w:val="TextBody"/>
        <w:spacing w:before="240" w:after="0"/>
        <w:jc w:val="left"/>
        <w:rPr>
          <w:rFonts w:ascii="Times New Roman" w:hAnsi="Times New Roman"/>
          <w:spacing w:val="0"/>
          <w:sz w:val="20"/>
        </w:rPr>
      </w:pPr>
      <w:r>
        <w:rPr>
          <w:rFonts w:ascii="Times New Roman" w:hAnsi="Times New Roman"/>
          <w:spacing w:val="0"/>
          <w:sz w:val="20"/>
        </w:rPr>
        <w:t>re-opening</w:t>
      </w:r>
    </w:p>
    <w:p>
      <w:pPr>
        <w:pStyle w:val="TextBody"/>
        <w:spacing w:before="240" w:after="0"/>
        <w:jc w:val="left"/>
        <w:rPr>
          <w:rFonts w:ascii="Times New Roman" w:hAnsi="Times New Roman"/>
          <w:sz w:val="20"/>
        </w:rPr>
      </w:pPr>
      <w:r>
        <w:rPr>
          <w:rFonts w:ascii="Times New Roman" w:hAnsi="Times New Roman"/>
          <w:sz w:val="20"/>
        </w:rPr>
        <w:t xml:space="preserve">of our remaining stores and lifting of capacity restrictions and other requirements, as well as how quickly customers will return to our stores, due to continued concerns over safety and/or depressed consumer sentiment due to adverse economic conditions, including job losses, the Company has taken measures to provide sufficient liquidity to meet estimated cash flow needs and covenant compliance obligations for at least the next twelve months from the issuance of the financial statements.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47 </w:t>
      </w:r>
    </w:p>
    <w:p>
      <w:pPr>
        <w:pStyle w:val="HorizontalLine"/>
        <w:rPr/>
      </w:pPr>
      <w:r>
        <w:rPr/>
      </w:r>
    </w:p>
    <w:p>
      <w:pPr>
        <w:pStyle w:val="TextBody"/>
        <w:spacing w:before="0" w:after="0"/>
        <w:rPr/>
      </w:pPr>
      <w:hyperlink w:anchor="toc">
        <w:r>
          <w:rPr>
            <w:rStyle w:val="InternetLink"/>
            <w:b/>
            <w:sz w:val="20"/>
          </w:rPr>
          <w:t>Table of Contents</w:t>
        </w:r>
      </w:hyperlink>
    </w:p>
    <w:p>
      <w:pPr>
        <w:pStyle w:val="TextBody"/>
        <w:spacing w:before="0" w:after="0"/>
        <w:jc w:val="left"/>
        <w:rPr>
          <w:rFonts w:ascii="Times New Roman" w:hAnsi="Times New Roman"/>
          <w:b/>
          <w:spacing w:val="0"/>
          <w:sz w:val="20"/>
        </w:rPr>
      </w:pPr>
      <w:r>
        <w:rPr>
          <w:rFonts w:ascii="Times New Roman" w:hAnsi="Times New Roman"/>
          <w:b/>
          <w:spacing w:val="0"/>
          <w:sz w:val="20"/>
        </w:rPr>
        <w:t xml:space="preserve">Debt and Derivatives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Effective April 14, 2020, we amended our existing credit facility, which provided relief from compliance with financial covenants through the third quarter of fiscal 2020. The interest rate spread increased to 2.00% plus a LIBOR floor of 1.00%.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On October 27, 2020, the Company issued $550,000 aggregate principal amount of 7.625% senior secured notes (the “Notes”). Interest on the Notes accrues from October 27, 2020 and is payable in arrears on November 1 and May 1 of each year, commencing on May 1, 2021. The Notes mature on November 1, 2025, unless earlier redeemed, and are subject to the terms and conditions set forth in the related indenture. The Notes were issued by Dave &amp;Buster’s, Inc. and are unconditionally guaranteed by Dave &amp; Buster’s Holdings, Inc. and certain of Dave &amp;Buster’s, Inc. existing and future wholly owned material domestic subsidiaries, which is substantially the same as the guarantors of the Company’s existing credit facility.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Concurrent and subject to the issuance of the Notes, the Company entered into a second amendment to its existing credit facility, which included relief from testing compliance with certain financial covenants until the last day of the fiscal quarter ending on May 1, 2022. During the financial covenant suspension period the Company is required to maintain a minimum liquidity (primarily availability under the credit facility) of $150,000. The second amendment extended the maturity date of the $500,000 revolving portion of the facility from August 17, 2022 to August 17, 2024, increased the interest rate spread to 4.00% during the financial covenant suspension period, and instituted a 1.00% utilization fee during that same time period. The utilization fee is due at maturity. After the financial covenant suspension period, the interest rate spread ranges from 1.25% to 3.00%. The second amendment terminated the term loan portion of the credit facility, which triggered payment of $1,900 of lender debt costs associated with the first amendment.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The Company used the proceeds of the Notes offering, along with cash on hand, to repay the $255,000 principal balance of the term loan facility, $463,000 of borrowings under the revolving credit facility, and related accrued interest. The Company incurred debt issuance costs of $18,300, which are being amortized over the terms of the respective Notes and revolving credit facility. The Company also recorded a loss of $904 related to the unamortized debt costs associated with the term portion of the credit facility.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For fiscal 2020 and fiscal 2019, the Company’s weighted average interest rate on outstanding borrowings was 5.40% and 3.98%, respectively. We expect this rate to increase in future quarters as a result of the issuance of the Notes and the second amendment to the credit facility. As of January 31, 2021, we had letters of credit outstanding of $9,686 and an unused commitment balance of $430,314 under the revolving credit facility.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Our credit facility and Notes contain restrictive covenants that, among other things, place certain limitations on our ability to incur additional indebtedness, make loans or advances to subsidiaries and other entities, pay dividends, acquire other businesses or sell assets. </w:t>
      </w:r>
    </w:p>
    <w:p>
      <w:pPr>
        <w:pStyle w:val="TextBody"/>
        <w:spacing w:before="240" w:after="0"/>
        <w:jc w:val="left"/>
        <w:rPr>
          <w:rFonts w:ascii="Times New Roman" w:hAnsi="Times New Roman"/>
          <w:sz w:val="20"/>
        </w:rPr>
      </w:pPr>
      <w:r>
        <w:rPr>
          <w:rFonts w:ascii="Times New Roman" w:hAnsi="Times New Roman"/>
          <w:sz w:val="20"/>
        </w:rPr>
        <w:t xml:space="preserve">During fiscal 2019, we entered into interest rate swap agreements to manage our exposure to fluctuations in interest rates on our variable rate credit facility. Our swap agreements with our derivative counterparties contain a provision where if the Company defaults on any of its indebtedness and repayment of the indebtedness has been accelerated, the Company could also be declared in default on its derivative obligations. Refer to Note 1 of the Consolidated Financial Statements for further discussion of our swap agreements, which were </w:t>
      </w:r>
    </w:p>
    <w:p>
      <w:pPr>
        <w:pStyle w:val="TextBody"/>
        <w:spacing w:before="240" w:after="0"/>
        <w:jc w:val="left"/>
        <w:rPr>
          <w:rFonts w:ascii="Times New Roman" w:hAnsi="Times New Roman"/>
          <w:spacing w:val="0"/>
          <w:sz w:val="20"/>
        </w:rPr>
      </w:pPr>
      <w:r>
        <w:rPr>
          <w:rFonts w:ascii="Times New Roman" w:hAnsi="Times New Roman"/>
          <w:spacing w:val="0"/>
          <w:sz w:val="20"/>
        </w:rPr>
        <w:t>de-designated</w:t>
      </w:r>
    </w:p>
    <w:p>
      <w:pPr>
        <w:pStyle w:val="TextBody"/>
        <w:spacing w:before="240" w:after="0"/>
        <w:jc w:val="left"/>
        <w:rPr>
          <w:rFonts w:ascii="Times New Roman" w:hAnsi="Times New Roman"/>
          <w:sz w:val="20"/>
        </w:rPr>
      </w:pPr>
      <w:r>
        <w:rPr>
          <w:rFonts w:ascii="Times New Roman" w:hAnsi="Times New Roman"/>
          <w:sz w:val="20"/>
        </w:rPr>
        <w:t xml:space="preserve">as hedges effective April 14, 2020, the date of the first amendment to our credit facility. </w:t>
      </w:r>
    </w:p>
    <w:p>
      <w:pPr>
        <w:pStyle w:val="TextBody"/>
        <w:spacing w:before="360" w:after="0"/>
        <w:jc w:val="left"/>
        <w:rPr>
          <w:rFonts w:ascii="Times New Roman" w:hAnsi="Times New Roman"/>
          <w:b/>
          <w:spacing w:val="0"/>
          <w:sz w:val="20"/>
        </w:rPr>
      </w:pPr>
      <w:r>
        <w:rPr>
          <w:rFonts w:ascii="Times New Roman" w:hAnsi="Times New Roman"/>
          <w:b/>
          <w:spacing w:val="0"/>
          <w:sz w:val="20"/>
        </w:rPr>
        <w:t xml:space="preserve">Dividends and Share Repurchases </w:t>
      </w:r>
    </w:p>
    <w:p>
      <w:pPr>
        <w:pStyle w:val="TextBody"/>
        <w:spacing w:before="120" w:after="0"/>
        <w:jc w:val="left"/>
        <w:rPr>
          <w:rFonts w:ascii="Times New Roman" w:hAnsi="Times New Roman"/>
          <w:sz w:val="20"/>
        </w:rPr>
      </w:pPr>
      <w:r>
        <w:rPr>
          <w:rFonts w:ascii="Times New Roman" w:hAnsi="Times New Roman"/>
          <w:sz w:val="20"/>
        </w:rPr>
        <w:t xml:space="preserve">The Company had previously established a share repurchase program, under which the Company may repurchase shares on the open market, through privately negotiated transactions, and through trading plans designed to comply with Rule </w:t>
      </w:r>
    </w:p>
    <w:p>
      <w:pPr>
        <w:pStyle w:val="TextBody"/>
        <w:spacing w:before="120" w:after="0"/>
        <w:jc w:val="left"/>
        <w:rPr>
          <w:rFonts w:ascii="Times New Roman" w:hAnsi="Times New Roman"/>
          <w:spacing w:val="0"/>
          <w:sz w:val="20"/>
        </w:rPr>
      </w:pPr>
      <w:r>
        <w:rPr>
          <w:rFonts w:ascii="Times New Roman" w:hAnsi="Times New Roman"/>
          <w:spacing w:val="0"/>
          <w:sz w:val="20"/>
        </w:rPr>
        <w:t>10b5-1</w:t>
      </w:r>
    </w:p>
    <w:p>
      <w:pPr>
        <w:pStyle w:val="TextBody"/>
        <w:spacing w:before="120" w:after="0"/>
        <w:jc w:val="left"/>
        <w:rPr>
          <w:rFonts w:ascii="Times New Roman" w:hAnsi="Times New Roman"/>
          <w:sz w:val="20"/>
        </w:rPr>
      </w:pPr>
      <w:r>
        <w:rPr>
          <w:rFonts w:ascii="Times New Roman" w:hAnsi="Times New Roman"/>
          <w:sz w:val="20"/>
        </w:rPr>
        <w:t xml:space="preserve">of the Exchange Act. As a result of the impacts to our business arising from the COVID </w:t>
      </w:r>
    </w:p>
    <w:p>
      <w:pPr>
        <w:pStyle w:val="TextBody"/>
        <w:spacing w:before="120" w:after="0"/>
        <w:jc w:val="left"/>
        <w:rPr>
          <w:rFonts w:ascii="Times New Roman" w:hAnsi="Times New Roman"/>
          <w:spacing w:val="0"/>
          <w:sz w:val="20"/>
        </w:rPr>
      </w:pPr>
      <w:r>
        <w:rPr>
          <w:rFonts w:ascii="Times New Roman" w:hAnsi="Times New Roman"/>
          <w:spacing w:val="0"/>
          <w:sz w:val="20"/>
        </w:rPr>
        <w:t>-19</w:t>
      </w:r>
    </w:p>
    <w:p>
      <w:pPr>
        <w:pStyle w:val="TextBody"/>
        <w:spacing w:before="120" w:after="0"/>
        <w:jc w:val="left"/>
        <w:rPr>
          <w:rFonts w:ascii="Times New Roman" w:hAnsi="Times New Roman"/>
          <w:sz w:val="20"/>
        </w:rPr>
      </w:pPr>
      <w:r>
        <w:rPr>
          <w:rFonts w:ascii="Times New Roman" w:hAnsi="Times New Roman"/>
          <w:sz w:val="20"/>
        </w:rPr>
        <w:t xml:space="preserve">pandemic, share purchases and dividend payments have been indefinitely suspended, and the share repurchase program was allowed to expire at the end of fiscal 2020.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48 </w:t>
      </w:r>
    </w:p>
    <w:p>
      <w:pPr>
        <w:pStyle w:val="HorizontalLine"/>
        <w:rPr/>
      </w:pPr>
      <w:r>
        <w:rPr/>
      </w:r>
    </w:p>
    <w:p>
      <w:pPr>
        <w:pStyle w:val="TextBody"/>
        <w:spacing w:before="0" w:after="0"/>
        <w:rPr/>
      </w:pPr>
      <w:hyperlink w:anchor="toc">
        <w:r>
          <w:rPr>
            <w:rStyle w:val="InternetLink"/>
            <w:b/>
            <w:sz w:val="20"/>
          </w:rPr>
          <w:t>Table of Contents</w:t>
        </w:r>
      </w:hyperlink>
    </w:p>
    <w:p>
      <w:pPr>
        <w:pStyle w:val="TextBody"/>
        <w:spacing w:before="0" w:after="0"/>
        <w:jc w:val="left"/>
        <w:rPr>
          <w:rFonts w:ascii="Times New Roman" w:hAnsi="Times New Roman"/>
          <w:b/>
          <w:spacing w:val="0"/>
          <w:sz w:val="20"/>
        </w:rPr>
      </w:pPr>
      <w:r>
        <w:rPr>
          <w:rFonts w:ascii="Times New Roman" w:hAnsi="Times New Roman"/>
          <w:b/>
          <w:spacing w:val="0"/>
          <w:sz w:val="20"/>
        </w:rPr>
        <w:t xml:space="preserve">Cash Flow Summary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At January 31, 2021, we had cash and cash equivalents of $11,891. </w:t>
      </w:r>
    </w:p>
    <w:p>
      <w:pPr>
        <w:pStyle w:val="TextBody"/>
        <w:spacing w:before="24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Operating Activities</w:t>
      </w:r>
    </w:p>
    <w:p>
      <w:pPr>
        <w:pStyle w:val="TextBody"/>
        <w:spacing w:before="240" w:after="0"/>
        <w:jc w:val="left"/>
        <w:rPr/>
      </w:pPr>
      <w:r>
        <w:rPr/>
        <w:t xml:space="preserve">— </w:t>
      </w:r>
      <w:r>
        <w:rPr>
          <w:rFonts w:ascii="Times New Roman" w:hAnsi="Times New Roman"/>
          <w:sz w:val="20"/>
        </w:rPr>
        <w:t xml:space="preserve">Cash flow from operations typically provides us with a significant source of liquidity. Our operating cash flows result primarily from cash received from our customers, offset by cash payments we make for products and services, employee compensation, operations, and occupancy costs. Cash from operating activities is also subject to changes in working capital. Working capital at any specific point in time is subject to many variables, including seasonality, the timing of cash receipts and payments, and vendor payment terms. </w:t>
      </w:r>
    </w:p>
    <w:p>
      <w:pPr>
        <w:pStyle w:val="TextBody"/>
        <w:spacing w:before="240" w:after="0"/>
        <w:jc w:val="left"/>
        <w:rPr>
          <w:rFonts w:ascii="Times New Roman" w:hAnsi="Times New Roman"/>
          <w:sz w:val="20"/>
        </w:rPr>
      </w:pPr>
      <w:r>
        <w:rPr>
          <w:rFonts w:ascii="Times New Roman" w:hAnsi="Times New Roman"/>
          <w:sz w:val="20"/>
        </w:rPr>
        <w:t xml:space="preserve">Cash flow from operating activities decreased $338,170 in fiscal 2020 compared fiscal 2019 driven primarily by the closure of all of our 137 operating stores as of March 20, 2020. Operations ceased until April 30, 2020, when we </w:t>
      </w:r>
    </w:p>
    <w:p>
      <w:pPr>
        <w:pStyle w:val="TextBody"/>
        <w:spacing w:before="240" w:after="0"/>
        <w:jc w:val="left"/>
        <w:rPr>
          <w:rFonts w:ascii="Times New Roman" w:hAnsi="Times New Roman"/>
          <w:spacing w:val="0"/>
          <w:sz w:val="20"/>
        </w:rPr>
      </w:pPr>
      <w:r>
        <w:rPr>
          <w:rFonts w:ascii="Times New Roman" w:hAnsi="Times New Roman"/>
          <w:spacing w:val="0"/>
          <w:sz w:val="20"/>
        </w:rPr>
        <w:t>re-opened</w:t>
      </w:r>
    </w:p>
    <w:p>
      <w:pPr>
        <w:pStyle w:val="TextBody"/>
        <w:spacing w:before="240" w:after="0"/>
        <w:jc w:val="left"/>
        <w:rPr>
          <w:rFonts w:ascii="Times New Roman" w:hAnsi="Times New Roman"/>
          <w:sz w:val="20"/>
        </w:rPr>
      </w:pPr>
      <w:r>
        <w:rPr>
          <w:rFonts w:ascii="Times New Roman" w:hAnsi="Times New Roman"/>
          <w:sz w:val="20"/>
        </w:rPr>
        <w:t xml:space="preserve">our first store, followed by the progressive </w:t>
      </w:r>
    </w:p>
    <w:p>
      <w:pPr>
        <w:pStyle w:val="TextBody"/>
        <w:spacing w:before="240" w:after="0"/>
        <w:jc w:val="left"/>
        <w:rPr>
          <w:rFonts w:ascii="Times New Roman" w:hAnsi="Times New Roman"/>
          <w:spacing w:val="0"/>
          <w:sz w:val="20"/>
        </w:rPr>
      </w:pPr>
      <w:r>
        <w:rPr>
          <w:rFonts w:ascii="Times New Roman" w:hAnsi="Times New Roman"/>
          <w:spacing w:val="0"/>
          <w:sz w:val="20"/>
        </w:rPr>
        <w:t>re-opening</w:t>
      </w:r>
    </w:p>
    <w:p>
      <w:pPr>
        <w:pStyle w:val="TextBody"/>
        <w:spacing w:before="240" w:after="0"/>
        <w:jc w:val="left"/>
        <w:rPr>
          <w:rFonts w:ascii="Times New Roman" w:hAnsi="Times New Roman"/>
          <w:sz w:val="20"/>
        </w:rPr>
      </w:pPr>
      <w:r>
        <w:rPr>
          <w:rFonts w:ascii="Times New Roman" w:hAnsi="Times New Roman"/>
          <w:sz w:val="20"/>
        </w:rPr>
        <w:t xml:space="preserve">of 106 additional stores with limited operations through the end of the fiscal year, including five new stores that opened in the second half of fiscal 2020. The impact of approximately 2,847 fewer store weeks and limited operations was lessened somewhat by reduced income tax payments as well as our efforts to actively manage the Company’s daily cash flows, including deferrals and short payments of rent and other payments to landlords. </w:t>
      </w:r>
    </w:p>
    <w:p>
      <w:pPr>
        <w:pStyle w:val="TextBody"/>
        <w:spacing w:before="24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Investing Activities </w:t>
      </w:r>
    </w:p>
    <w:p>
      <w:pPr>
        <w:pStyle w:val="TextBody"/>
        <w:spacing w:before="240" w:after="0"/>
        <w:jc w:val="left"/>
        <w:rPr/>
      </w:pPr>
      <w:r>
        <w:rPr/>
        <w:t xml:space="preserve">— </w:t>
      </w:r>
      <w:r>
        <w:rPr>
          <w:rFonts w:ascii="Times New Roman" w:hAnsi="Times New Roman"/>
          <w:sz w:val="20"/>
        </w:rPr>
        <w:t xml:space="preserve">Cash flow from investing activities primarily reflects capital expenditures. </w:t>
      </w:r>
    </w:p>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In fiscal 2020, the Company spent approximately $64,000 ($51,000 net of payments from landlords) for new store construction and operating improvement initiatives, $10,000 for game refreshment and $9,000 for maintenance capital. </w:t>
            </w:r>
          </w:p>
        </w:tc>
      </w:tr>
    </w:tbl>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In fiscal 2019, the Company spent approximately $187,000 ($153,000 net of payments from landlords) for new store construction and operating improvement initiatives, $19,000 for game refreshment and $22,000 for maintenance capital. </w:t>
            </w:r>
          </w:p>
        </w:tc>
      </w:tr>
    </w:tbl>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In fiscal 2018, the Company spent approximately $164,500 ($112,500 net of payments from landlords) for new store construction and operating improvement initiatives, $29,000 for game refreshment, and $22,500 for maintenance capital. </w:t>
            </w:r>
          </w:p>
        </w:tc>
      </w:tr>
    </w:tbl>
    <w:p>
      <w:pPr>
        <w:pStyle w:val="TextBody"/>
        <w:spacing w:before="24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Financing Activities </w:t>
      </w:r>
    </w:p>
    <w:p>
      <w:pPr>
        <w:pStyle w:val="TextBody"/>
        <w:spacing w:before="240" w:after="0"/>
        <w:jc w:val="left"/>
        <w:rPr/>
      </w:pPr>
      <w:r>
        <w:rPr/>
        <w:t xml:space="preserve">— </w:t>
      </w:r>
      <w:r>
        <w:rPr>
          <w:rFonts w:ascii="Times New Roman" w:hAnsi="Times New Roman"/>
          <w:sz w:val="20"/>
        </w:rPr>
        <w:t xml:space="preserve">Cash flow from financing activities primarily reflected: </w:t>
      </w:r>
    </w:p>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In fiscal 2020, prior to the debt refinancing, the Company drew down substantially all the available credit under our revolving credit facility, or approximately $100,000, and the Company received net proceeds of approximately $182,200 from the issuance of shares of our common stock in April and May 2020. In October 2020, the Company issued $550,000 of senior secured notes in a private offering and amended the existing credit facility. The proceeds from the offering, along with cash on hand, were used to pay debt issuance costs, the $255,000 balance of the term portion of the credit facility, and $463,000 of outstanding borrowings under the revolving portion of the credit facility. Subsequent to the refinancing, the Company had net borrowings of $34,000 under the revolver. </w:t>
            </w:r>
          </w:p>
        </w:tc>
      </w:tr>
    </w:tbl>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In fiscal 2019, approximately $297,000 of share repurchases and approximately $16,000 of cash dividends paid, partially offset by $254,000 of net proceeds from borrowings of debt. </w:t>
            </w:r>
          </w:p>
        </w:tc>
      </w:tr>
    </w:tbl>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75"/>
        <w:gridCol w:w="110"/>
        <w:gridCol w:w="60"/>
        <w:gridCol w:w="9960"/>
      </w:tblGrid>
      <w:tr>
        <w:trPr/>
        <w:tc>
          <w:tcPr>
            <w:tcW w:w="75"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jc w:val="left"/>
              <w:rPr/>
            </w:pPr>
            <w:r>
              <w:rPr/>
              <w:t>•</w:t>
            </w:r>
          </w:p>
        </w:tc>
        <w:tc>
          <w:tcPr>
            <w:tcW w:w="6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In fiscal 2018, approximately $149,000 of share repurchases and approximately $11,500 of cash dividends paid, partially offset by $27,000 of net proceeds from borrowings. </w:t>
            </w:r>
          </w:p>
        </w:tc>
      </w:tr>
    </w:tbl>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49 </w:t>
      </w:r>
    </w:p>
    <w:p>
      <w:pPr>
        <w:pStyle w:val="HorizontalLine"/>
        <w:rPr/>
      </w:pPr>
      <w:r>
        <w:rPr/>
      </w:r>
    </w:p>
    <w:p>
      <w:pPr>
        <w:pStyle w:val="TextBody"/>
        <w:spacing w:before="0" w:after="0"/>
        <w:rPr/>
      </w:pPr>
      <w:hyperlink w:anchor="toc">
        <w:r>
          <w:rPr>
            <w:rStyle w:val="InternetLink"/>
            <w:b/>
            <w:sz w:val="20"/>
          </w:rPr>
          <w:t>Table of Contents</w:t>
        </w:r>
      </w:hyperlink>
    </w:p>
    <w:p>
      <w:pPr>
        <w:pStyle w:val="TextBody"/>
        <w:spacing w:before="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Contractual Obligations and Commercial Commitments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The following table sets forth contractual obligations as of January 31, 2021:      </w:t>
      </w:r>
    </w:p>
    <w:p>
      <w:pPr>
        <w:pStyle w:val="TextBody"/>
        <w:spacing w:before="0" w:after="0"/>
        <w:jc w:val="left"/>
        <w:rPr>
          <w:spacing w:val="0"/>
        </w:rPr>
      </w:pPr>
      <w:r>
        <w:rPr>
          <w:spacing w:val="0"/>
        </w:rPr>
        <w:t> </w:t>
      </w:r>
    </w:p>
    <w:tbl>
      <w:tblPr>
        <w:tblW w:w="7750" w:type="dxa"/>
        <w:jc w:val="left"/>
        <w:tblInd w:w="0" w:type="dxa"/>
        <w:tblCellMar>
          <w:top w:w="0" w:type="dxa"/>
          <w:left w:w="0" w:type="dxa"/>
          <w:bottom w:w="0" w:type="dxa"/>
          <w:right w:w="0" w:type="dxa"/>
        </w:tblCellMar>
      </w:tblPr>
      <w:tblGrid>
        <w:gridCol w:w="1775"/>
        <w:gridCol w:w="120"/>
        <w:gridCol w:w="140"/>
        <w:gridCol w:w="980"/>
        <w:gridCol w:w="60"/>
        <w:gridCol w:w="120"/>
        <w:gridCol w:w="140"/>
        <w:gridCol w:w="800"/>
        <w:gridCol w:w="60"/>
        <w:gridCol w:w="120"/>
        <w:gridCol w:w="140"/>
        <w:gridCol w:w="800"/>
        <w:gridCol w:w="60"/>
        <w:gridCol w:w="120"/>
        <w:gridCol w:w="140"/>
        <w:gridCol w:w="800"/>
        <w:gridCol w:w="60"/>
        <w:gridCol w:w="120"/>
        <w:gridCol w:w="140"/>
        <w:gridCol w:w="980"/>
        <w:gridCol w:w="75"/>
      </w:tblGrid>
      <w:tr>
        <w:trPr/>
        <w:tc>
          <w:tcPr>
            <w:tcW w:w="177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8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8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8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177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120" w:type="dxa"/>
            <w:gridSpan w:val="2"/>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940" w:type="dxa"/>
            <w:gridSpan w:val="2"/>
            <w:tcBorders/>
            <w:shd w:fill="auto" w:val="clear"/>
            <w:vAlign w:val="center"/>
          </w:tcPr>
          <w:p>
            <w:pPr>
              <w:pStyle w:val="TableContents"/>
              <w:spacing w:before="0" w:after="0"/>
              <w:jc w:val="center"/>
              <w:rPr>
                <w:b/>
                <w:spacing w:val="0"/>
              </w:rPr>
            </w:pPr>
            <w:r>
              <w:rPr>
                <w:b/>
                <w:spacing w:val="0"/>
              </w:rPr>
              <w:t>1 Year</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940" w:type="dxa"/>
            <w:gridSpan w:val="2"/>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940" w:type="dxa"/>
            <w:gridSpan w:val="2"/>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120" w:type="dxa"/>
            <w:gridSpan w:val="2"/>
            <w:tcBorders/>
            <w:shd w:fill="auto" w:val="clear"/>
            <w:vAlign w:val="center"/>
          </w:tcPr>
          <w:p>
            <w:pPr>
              <w:pStyle w:val="TableContents"/>
              <w:spacing w:before="0" w:after="0"/>
              <w:jc w:val="center"/>
              <w:rPr>
                <w:b/>
                <w:spacing w:val="0"/>
              </w:rPr>
            </w:pPr>
            <w:r>
              <w:rPr>
                <w:b/>
                <w:spacing w:val="0"/>
              </w:rPr>
              <w:t>After 5</w:t>
            </w:r>
          </w:p>
        </w:tc>
        <w:tc>
          <w:tcPr>
            <w:tcW w:w="75" w:type="dxa"/>
            <w:tcBorders/>
            <w:shd w:fill="auto" w:val="clear"/>
            <w:vAlign w:val="center"/>
          </w:tcPr>
          <w:p>
            <w:pPr>
              <w:pStyle w:val="TableContents"/>
              <w:spacing w:before="0" w:after="283"/>
              <w:rPr/>
            </w:pPr>
            <w:r>
              <w:rPr/>
              <w:t> </w:t>
            </w:r>
          </w:p>
        </w:tc>
      </w:tr>
      <w:tr>
        <w:trPr/>
        <w:tc>
          <w:tcPr>
            <w:tcW w:w="177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120" w:type="dxa"/>
            <w:gridSpan w:val="2"/>
            <w:tcBorders/>
            <w:shd w:fill="auto" w:val="clear"/>
            <w:vAlign w:val="center"/>
          </w:tcPr>
          <w:p>
            <w:pPr>
              <w:pStyle w:val="TableContents"/>
              <w:spacing w:before="0" w:after="0"/>
              <w:jc w:val="center"/>
              <w:rPr>
                <w:b/>
                <w:spacing w:val="0"/>
              </w:rPr>
            </w:pPr>
            <w:r>
              <w:rPr>
                <w:b/>
                <w:spacing w:val="0"/>
              </w:rPr>
              <w:t>Total</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940" w:type="dxa"/>
            <w:gridSpan w:val="2"/>
            <w:tcBorders/>
            <w:shd w:fill="auto" w:val="clear"/>
            <w:vAlign w:val="center"/>
          </w:tcPr>
          <w:p>
            <w:pPr>
              <w:pStyle w:val="TableContents"/>
              <w:spacing w:before="0" w:after="0"/>
              <w:jc w:val="center"/>
              <w:rPr>
                <w:b/>
                <w:spacing w:val="0"/>
              </w:rPr>
            </w:pPr>
            <w:r>
              <w:rPr>
                <w:b/>
                <w:spacing w:val="0"/>
              </w:rPr>
              <w:t>or Less</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940" w:type="dxa"/>
            <w:gridSpan w:val="2"/>
            <w:tcBorders/>
            <w:shd w:fill="auto" w:val="clear"/>
            <w:vAlign w:val="center"/>
          </w:tcPr>
          <w:p>
            <w:pPr>
              <w:pStyle w:val="TableContents"/>
              <w:spacing w:before="0" w:after="0"/>
              <w:jc w:val="center"/>
              <w:rPr>
                <w:b/>
                <w:spacing w:val="0"/>
              </w:rPr>
            </w:pPr>
            <w:r>
              <w:rPr>
                <w:b/>
                <w:spacing w:val="0"/>
              </w:rPr>
              <w:t>2-3</w:t>
            </w:r>
          </w:p>
          <w:p>
            <w:pPr>
              <w:pStyle w:val="TableContents"/>
              <w:spacing w:before="0" w:after="0"/>
              <w:jc w:val="center"/>
              <w:rPr>
                <w:b/>
                <w:spacing w:val="0"/>
              </w:rPr>
            </w:pPr>
            <w:r>
              <w:rPr>
                <w:b/>
                <w:spacing w:val="0"/>
              </w:rPr>
              <w:t>Years</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940" w:type="dxa"/>
            <w:gridSpan w:val="2"/>
            <w:tcBorders/>
            <w:shd w:fill="auto" w:val="clear"/>
            <w:vAlign w:val="center"/>
          </w:tcPr>
          <w:p>
            <w:pPr>
              <w:pStyle w:val="TableContents"/>
              <w:spacing w:before="0" w:after="0"/>
              <w:jc w:val="center"/>
              <w:rPr>
                <w:b/>
                <w:spacing w:val="0"/>
              </w:rPr>
            </w:pPr>
            <w:r>
              <w:rPr>
                <w:b/>
                <w:spacing w:val="0"/>
              </w:rPr>
              <w:t>4-5</w:t>
            </w:r>
          </w:p>
          <w:p>
            <w:pPr>
              <w:pStyle w:val="TableContents"/>
              <w:spacing w:before="0" w:after="0"/>
              <w:jc w:val="center"/>
              <w:rPr>
                <w:b/>
                <w:spacing w:val="0"/>
              </w:rPr>
            </w:pPr>
            <w:r>
              <w:rPr>
                <w:b/>
                <w:spacing w:val="0"/>
              </w:rPr>
              <w:t>Years</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120" w:type="dxa"/>
            <w:gridSpan w:val="2"/>
            <w:tcBorders/>
            <w:shd w:fill="auto" w:val="clear"/>
            <w:vAlign w:val="center"/>
          </w:tcPr>
          <w:p>
            <w:pPr>
              <w:pStyle w:val="TableContents"/>
              <w:spacing w:before="0" w:after="0"/>
              <w:jc w:val="center"/>
              <w:rPr>
                <w:b/>
                <w:spacing w:val="0"/>
              </w:rPr>
            </w:pPr>
            <w:r>
              <w:rPr>
                <w:b/>
                <w:spacing w:val="0"/>
              </w:rPr>
              <w:t>Years</w:t>
            </w:r>
          </w:p>
        </w:tc>
        <w:tc>
          <w:tcPr>
            <w:tcW w:w="75" w:type="dxa"/>
            <w:tcBorders/>
            <w:shd w:fill="auto" w:val="clear"/>
            <w:vAlign w:val="center"/>
          </w:tcPr>
          <w:p>
            <w:pPr>
              <w:pStyle w:val="TableContents"/>
              <w:spacing w:before="0" w:after="283"/>
              <w:rPr/>
            </w:pPr>
            <w:r>
              <w:rPr/>
              <w:t> </w:t>
            </w:r>
          </w:p>
        </w:tc>
      </w:tr>
      <w:tr>
        <w:trPr/>
        <w:tc>
          <w:tcPr>
            <w:tcW w:w="177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 xml:space="preserve">Debt </w:t>
            </w:r>
          </w:p>
          <w:p>
            <w:pPr>
              <w:pStyle w:val="TableContents"/>
              <w:spacing w:before="0" w:after="0"/>
              <w:rPr>
                <w:rFonts w:ascii="Times New Roman" w:hAnsi="Times New Roman"/>
                <w:spacing w:val="0"/>
                <w:sz w:val="14"/>
              </w:rPr>
            </w:pPr>
            <w:r>
              <w:rPr>
                <w:rFonts w:ascii="Times New Roman" w:hAnsi="Times New Roman"/>
                <w:spacing w:val="0"/>
                <w:sz w:val="14"/>
              </w:rPr>
              <w:t>(1)</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980" w:type="dxa"/>
            <w:tcBorders/>
            <w:shd w:fill="CCEEFF" w:val="clear"/>
            <w:vAlign w:val="center"/>
          </w:tcPr>
          <w:p>
            <w:pPr>
              <w:pStyle w:val="TableContents"/>
              <w:spacing w:before="0" w:after="283"/>
              <w:jc w:val="right"/>
              <w:rPr/>
            </w:pPr>
            <w:r>
              <w:rPr/>
              <w:t>610,000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80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80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800" w:type="dxa"/>
            <w:tcBorders/>
            <w:shd w:fill="CCEEFF" w:val="clear"/>
            <w:vAlign w:val="center"/>
          </w:tcPr>
          <w:p>
            <w:pPr>
              <w:pStyle w:val="TableContents"/>
              <w:spacing w:before="0" w:after="283"/>
              <w:jc w:val="right"/>
              <w:rPr/>
            </w:pPr>
            <w:r>
              <w:rPr/>
              <w:t>610,000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980" w:type="dxa"/>
            <w:tcBorders/>
            <w:shd w:fill="CCEEFF" w:val="clear"/>
            <w:vAlign w:val="center"/>
          </w:tcPr>
          <w:p>
            <w:pPr>
              <w:pStyle w:val="TableContents"/>
              <w:spacing w:before="0" w:after="283"/>
              <w:jc w:val="right"/>
              <w:rPr/>
            </w:pPr>
            <w:r>
              <w:rPr/>
              <w:t>—  </w:t>
            </w:r>
          </w:p>
        </w:tc>
        <w:tc>
          <w:tcPr>
            <w:tcW w:w="75" w:type="dxa"/>
            <w:tcBorders/>
            <w:shd w:fill="CCEEFF" w:val="clear"/>
            <w:vAlign w:val="center"/>
          </w:tcPr>
          <w:p>
            <w:pPr>
              <w:pStyle w:val="TableContents"/>
              <w:spacing w:before="0" w:after="283"/>
              <w:rPr/>
            </w:pPr>
            <w:r>
              <w:rPr/>
              <w:t> </w:t>
            </w:r>
          </w:p>
        </w:tc>
      </w:tr>
      <w:tr>
        <w:trPr/>
        <w:tc>
          <w:tcPr>
            <w:tcW w:w="177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 xml:space="preserve">Interest requirements </w:t>
            </w:r>
          </w:p>
          <w:p>
            <w:pPr>
              <w:pStyle w:val="TableContents"/>
              <w:spacing w:before="0" w:after="0"/>
              <w:rPr>
                <w:rFonts w:ascii="Times New Roman" w:hAnsi="Times New Roman"/>
                <w:spacing w:val="0"/>
                <w:sz w:val="14"/>
              </w:rPr>
            </w:pPr>
            <w:r>
              <w:rPr>
                <w:rFonts w:ascii="Times New Roman" w:hAnsi="Times New Roman"/>
                <w:spacing w:val="0"/>
                <w:sz w:val="14"/>
              </w:rPr>
              <w:t>(2)</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216,067</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47,753</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93,041</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75,273</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  </w:t>
            </w:r>
          </w:p>
        </w:tc>
        <w:tc>
          <w:tcPr>
            <w:tcW w:w="75" w:type="dxa"/>
            <w:tcBorders/>
            <w:shd w:fill="auto" w:val="clear"/>
            <w:vAlign w:val="center"/>
          </w:tcPr>
          <w:p>
            <w:pPr>
              <w:pStyle w:val="TableContents"/>
              <w:spacing w:before="0" w:after="283"/>
              <w:rPr/>
            </w:pPr>
            <w:r>
              <w:rPr/>
              <w:t> </w:t>
            </w:r>
          </w:p>
        </w:tc>
      </w:tr>
      <w:tr>
        <w:trPr/>
        <w:tc>
          <w:tcPr>
            <w:tcW w:w="177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 xml:space="preserve">Operating leases </w:t>
            </w:r>
          </w:p>
          <w:p>
            <w:pPr>
              <w:pStyle w:val="TableContents"/>
              <w:spacing w:before="0" w:after="0"/>
              <w:rPr>
                <w:rFonts w:ascii="Times New Roman" w:hAnsi="Times New Roman"/>
                <w:spacing w:val="0"/>
                <w:sz w:val="14"/>
              </w:rPr>
            </w:pPr>
            <w:r>
              <w:rPr>
                <w:rFonts w:ascii="Times New Roman" w:hAnsi="Times New Roman"/>
                <w:spacing w:val="0"/>
                <w:sz w:val="14"/>
              </w:rPr>
              <w:t>(3)</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2,049,535</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800" w:type="dxa"/>
            <w:tcBorders/>
            <w:shd w:fill="CCEEFF" w:val="clear"/>
            <w:vAlign w:val="center"/>
          </w:tcPr>
          <w:p>
            <w:pPr>
              <w:pStyle w:val="TableContents"/>
              <w:spacing w:before="0" w:after="283"/>
              <w:jc w:val="right"/>
              <w:rPr/>
            </w:pPr>
            <w:r>
              <w:rPr/>
              <w:t>132,037</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800" w:type="dxa"/>
            <w:tcBorders/>
            <w:shd w:fill="CCEEFF" w:val="clear"/>
            <w:vAlign w:val="center"/>
          </w:tcPr>
          <w:p>
            <w:pPr>
              <w:pStyle w:val="TableContents"/>
              <w:spacing w:before="0" w:after="283"/>
              <w:jc w:val="right"/>
              <w:rPr/>
            </w:pPr>
            <w:r>
              <w:rPr/>
              <w:t>273,801</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800" w:type="dxa"/>
            <w:tcBorders/>
            <w:shd w:fill="CCEEFF" w:val="clear"/>
            <w:vAlign w:val="center"/>
          </w:tcPr>
          <w:p>
            <w:pPr>
              <w:pStyle w:val="TableContents"/>
              <w:spacing w:before="0" w:after="283"/>
              <w:jc w:val="right"/>
              <w:rPr/>
            </w:pPr>
            <w:r>
              <w:rPr/>
              <w:t>269,403</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1,374,294</w:t>
            </w:r>
          </w:p>
        </w:tc>
        <w:tc>
          <w:tcPr>
            <w:tcW w:w="75" w:type="dxa"/>
            <w:tcBorders/>
            <w:shd w:fill="CCEEFF" w:val="clear"/>
            <w:vAlign w:val="center"/>
          </w:tcPr>
          <w:p>
            <w:pPr>
              <w:pStyle w:val="TableContents"/>
              <w:spacing w:before="0" w:after="283"/>
              <w:rPr/>
            </w:pPr>
            <w:r>
              <w:rPr/>
              <w:t> </w:t>
            </w:r>
          </w:p>
        </w:tc>
      </w:tr>
      <w:tr>
        <w:trPr/>
        <w:tc>
          <w:tcPr>
            <w:tcW w:w="177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single" w:sz="2" w:space="1" w:color="000000"/>
              </w:rPr>
            </w:pPr>
            <w:r>
              <w:rPr>
                <w:bdr w:val="single" w:sz="2" w:space="1" w:color="000000"/>
              </w:rPr>
              <w:t> </w:t>
            </w:r>
          </w:p>
        </w:tc>
        <w:tc>
          <w:tcPr>
            <w:tcW w:w="980" w:type="dxa"/>
            <w:tcBorders/>
            <w:shd w:fill="auto" w:val="clear"/>
            <w:vAlign w:val="center"/>
          </w:tcPr>
          <w:p>
            <w:pPr>
              <w:pStyle w:val="TableContents"/>
              <w:spacing w:before="0" w:after="0"/>
              <w:rPr>
                <w:bdr w:val="single" w:sz="2" w:space="1" w:color="000000"/>
              </w:rPr>
            </w:pPr>
            <w:r>
              <w:rPr>
                <w:bdr w:val="single" w:sz="2"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single" w:sz="2" w:space="1" w:color="000000"/>
              </w:rPr>
            </w:pPr>
            <w:r>
              <w:rPr>
                <w:bdr w:val="single" w:sz="2" w:space="1" w:color="000000"/>
              </w:rPr>
              <w:t> </w:t>
            </w:r>
          </w:p>
        </w:tc>
        <w:tc>
          <w:tcPr>
            <w:tcW w:w="800" w:type="dxa"/>
            <w:tcBorders/>
            <w:shd w:fill="auto" w:val="clear"/>
            <w:vAlign w:val="center"/>
          </w:tcPr>
          <w:p>
            <w:pPr>
              <w:pStyle w:val="TableContents"/>
              <w:spacing w:before="0" w:after="0"/>
              <w:rPr>
                <w:bdr w:val="single" w:sz="2" w:space="1" w:color="000000"/>
              </w:rPr>
            </w:pPr>
            <w:r>
              <w:rPr>
                <w:bdr w:val="single" w:sz="2"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single" w:sz="2" w:space="1" w:color="000000"/>
              </w:rPr>
            </w:pPr>
            <w:r>
              <w:rPr>
                <w:bdr w:val="single" w:sz="2" w:space="1" w:color="000000"/>
              </w:rPr>
              <w:t> </w:t>
            </w:r>
          </w:p>
        </w:tc>
        <w:tc>
          <w:tcPr>
            <w:tcW w:w="800" w:type="dxa"/>
            <w:tcBorders/>
            <w:shd w:fill="auto" w:val="clear"/>
            <w:vAlign w:val="center"/>
          </w:tcPr>
          <w:p>
            <w:pPr>
              <w:pStyle w:val="TableContents"/>
              <w:spacing w:before="0" w:after="0"/>
              <w:rPr>
                <w:bdr w:val="single" w:sz="2" w:space="1" w:color="000000"/>
              </w:rPr>
            </w:pPr>
            <w:r>
              <w:rPr>
                <w:bdr w:val="single" w:sz="2"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single" w:sz="2" w:space="1" w:color="000000"/>
              </w:rPr>
            </w:pPr>
            <w:r>
              <w:rPr>
                <w:bdr w:val="single" w:sz="2" w:space="1" w:color="000000"/>
              </w:rPr>
              <w:t> </w:t>
            </w:r>
          </w:p>
        </w:tc>
        <w:tc>
          <w:tcPr>
            <w:tcW w:w="800" w:type="dxa"/>
            <w:tcBorders/>
            <w:shd w:fill="auto" w:val="clear"/>
            <w:vAlign w:val="center"/>
          </w:tcPr>
          <w:p>
            <w:pPr>
              <w:pStyle w:val="TableContents"/>
              <w:spacing w:before="0" w:after="0"/>
              <w:rPr>
                <w:bdr w:val="single" w:sz="2" w:space="1" w:color="000000"/>
              </w:rPr>
            </w:pPr>
            <w:r>
              <w:rPr>
                <w:bdr w:val="single" w:sz="2"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single" w:sz="2" w:space="1" w:color="000000"/>
              </w:rPr>
            </w:pPr>
            <w:r>
              <w:rPr>
                <w:bdr w:val="single" w:sz="2" w:space="1" w:color="000000"/>
              </w:rPr>
              <w:t> </w:t>
            </w:r>
          </w:p>
        </w:tc>
        <w:tc>
          <w:tcPr>
            <w:tcW w:w="980" w:type="dxa"/>
            <w:tcBorders/>
            <w:shd w:fill="auto" w:val="clear"/>
            <w:vAlign w:val="center"/>
          </w:tcPr>
          <w:p>
            <w:pPr>
              <w:pStyle w:val="TableContents"/>
              <w:spacing w:before="0" w:after="0"/>
              <w:rPr>
                <w:bdr w:val="single" w:sz="2" w:space="1" w:color="000000"/>
              </w:rPr>
            </w:pPr>
            <w:r>
              <w:rPr>
                <w:bdr w:val="single" w:sz="2" w:space="1" w:color="000000"/>
              </w:rPr>
              <w:t> </w:t>
            </w:r>
          </w:p>
        </w:tc>
        <w:tc>
          <w:tcPr>
            <w:tcW w:w="75" w:type="dxa"/>
            <w:tcBorders/>
            <w:shd w:fill="auto" w:val="clear"/>
            <w:vAlign w:val="center"/>
          </w:tcPr>
          <w:p>
            <w:pPr>
              <w:pStyle w:val="TableContents"/>
              <w:spacing w:before="0" w:after="283"/>
              <w:rPr/>
            </w:pPr>
            <w:r>
              <w:rPr/>
              <w:t> </w:t>
            </w:r>
          </w:p>
        </w:tc>
      </w:tr>
      <w:tr>
        <w:trPr/>
        <w:tc>
          <w:tcPr>
            <w:tcW w:w="177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Total</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980" w:type="dxa"/>
            <w:tcBorders/>
            <w:shd w:fill="auto" w:val="clear"/>
            <w:vAlign w:val="center"/>
          </w:tcPr>
          <w:p>
            <w:pPr>
              <w:pStyle w:val="TableContents"/>
              <w:spacing w:before="0" w:after="283"/>
              <w:jc w:val="right"/>
              <w:rPr/>
            </w:pPr>
            <w:r>
              <w:rPr/>
              <w:t>2,875,602</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800" w:type="dxa"/>
            <w:tcBorders/>
            <w:shd w:fill="auto" w:val="clear"/>
            <w:vAlign w:val="center"/>
          </w:tcPr>
          <w:p>
            <w:pPr>
              <w:pStyle w:val="TableContents"/>
              <w:spacing w:before="0" w:after="283"/>
              <w:jc w:val="right"/>
              <w:rPr/>
            </w:pPr>
            <w:r>
              <w:rPr/>
              <w:t>179,790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800" w:type="dxa"/>
            <w:tcBorders/>
            <w:shd w:fill="auto" w:val="clear"/>
            <w:vAlign w:val="center"/>
          </w:tcPr>
          <w:p>
            <w:pPr>
              <w:pStyle w:val="TableContents"/>
              <w:spacing w:before="0" w:after="283"/>
              <w:jc w:val="right"/>
              <w:rPr/>
            </w:pPr>
            <w:r>
              <w:rPr/>
              <w:t>366,842</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800" w:type="dxa"/>
            <w:tcBorders/>
            <w:shd w:fill="auto" w:val="clear"/>
            <w:vAlign w:val="center"/>
          </w:tcPr>
          <w:p>
            <w:pPr>
              <w:pStyle w:val="TableContents"/>
              <w:spacing w:before="0" w:after="283"/>
              <w:jc w:val="right"/>
              <w:rPr/>
            </w:pPr>
            <w:r>
              <w:rPr/>
              <w:t>954,676</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980" w:type="dxa"/>
            <w:tcBorders/>
            <w:shd w:fill="auto" w:val="clear"/>
            <w:vAlign w:val="center"/>
          </w:tcPr>
          <w:p>
            <w:pPr>
              <w:pStyle w:val="TableContents"/>
              <w:spacing w:before="0" w:after="283"/>
              <w:jc w:val="right"/>
              <w:rPr/>
            </w:pPr>
            <w:r>
              <w:rPr/>
              <w:t>1,374,294</w:t>
            </w:r>
          </w:p>
        </w:tc>
        <w:tc>
          <w:tcPr>
            <w:tcW w:w="75" w:type="dxa"/>
            <w:tcBorders/>
            <w:shd w:fill="auto" w:val="clear"/>
            <w:vAlign w:val="center"/>
          </w:tcPr>
          <w:p>
            <w:pPr>
              <w:pStyle w:val="TableContents"/>
              <w:spacing w:before="0" w:after="283"/>
              <w:rPr/>
            </w:pPr>
            <w:r>
              <w:rPr/>
              <w:t> </w:t>
            </w:r>
          </w:p>
        </w:tc>
      </w:tr>
      <w:tr>
        <w:trPr/>
        <w:tc>
          <w:tcPr>
            <w:tcW w:w="177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double" w:sz="6" w:space="1" w:color="000000"/>
              </w:rPr>
            </w:pPr>
            <w:r>
              <w:rPr>
                <w:bdr w:val="double" w:sz="6" w:space="1" w:color="000000"/>
              </w:rPr>
              <w:t> </w:t>
            </w:r>
          </w:p>
        </w:tc>
        <w:tc>
          <w:tcPr>
            <w:tcW w:w="980" w:type="dxa"/>
            <w:tcBorders/>
            <w:shd w:fill="auto" w:val="clear"/>
            <w:vAlign w:val="center"/>
          </w:tcPr>
          <w:p>
            <w:pPr>
              <w:pStyle w:val="TableContents"/>
              <w:spacing w:before="0" w:after="0"/>
              <w:rPr>
                <w:bdr w:val="double" w:sz="6" w:space="1" w:color="000000"/>
              </w:rPr>
            </w:pPr>
            <w:r>
              <w:rPr>
                <w:bdr w:val="double" w:sz="6"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double" w:sz="6" w:space="1" w:color="000000"/>
              </w:rPr>
            </w:pPr>
            <w:r>
              <w:rPr>
                <w:bdr w:val="double" w:sz="6" w:space="1" w:color="000000"/>
              </w:rPr>
              <w:t> </w:t>
            </w:r>
          </w:p>
        </w:tc>
        <w:tc>
          <w:tcPr>
            <w:tcW w:w="800" w:type="dxa"/>
            <w:tcBorders/>
            <w:shd w:fill="auto" w:val="clear"/>
            <w:vAlign w:val="center"/>
          </w:tcPr>
          <w:p>
            <w:pPr>
              <w:pStyle w:val="TableContents"/>
              <w:spacing w:before="0" w:after="0"/>
              <w:rPr>
                <w:bdr w:val="double" w:sz="6" w:space="1" w:color="000000"/>
              </w:rPr>
            </w:pPr>
            <w:r>
              <w:rPr>
                <w:bdr w:val="double" w:sz="6"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double" w:sz="6" w:space="1" w:color="000000"/>
              </w:rPr>
            </w:pPr>
            <w:r>
              <w:rPr>
                <w:bdr w:val="double" w:sz="6" w:space="1" w:color="000000"/>
              </w:rPr>
              <w:t> </w:t>
            </w:r>
          </w:p>
        </w:tc>
        <w:tc>
          <w:tcPr>
            <w:tcW w:w="800" w:type="dxa"/>
            <w:tcBorders/>
            <w:shd w:fill="auto" w:val="clear"/>
            <w:vAlign w:val="center"/>
          </w:tcPr>
          <w:p>
            <w:pPr>
              <w:pStyle w:val="TableContents"/>
              <w:spacing w:before="0" w:after="0"/>
              <w:rPr>
                <w:bdr w:val="double" w:sz="6" w:space="1" w:color="000000"/>
              </w:rPr>
            </w:pPr>
            <w:r>
              <w:rPr>
                <w:bdr w:val="double" w:sz="6"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double" w:sz="6" w:space="1" w:color="000000"/>
              </w:rPr>
            </w:pPr>
            <w:r>
              <w:rPr>
                <w:bdr w:val="double" w:sz="6" w:space="1" w:color="000000"/>
              </w:rPr>
              <w:t> </w:t>
            </w:r>
          </w:p>
        </w:tc>
        <w:tc>
          <w:tcPr>
            <w:tcW w:w="800" w:type="dxa"/>
            <w:tcBorders/>
            <w:shd w:fill="auto" w:val="clear"/>
            <w:vAlign w:val="center"/>
          </w:tcPr>
          <w:p>
            <w:pPr>
              <w:pStyle w:val="TableContents"/>
              <w:spacing w:before="0" w:after="0"/>
              <w:rPr>
                <w:bdr w:val="double" w:sz="6" w:space="1" w:color="000000"/>
              </w:rPr>
            </w:pPr>
            <w:r>
              <w:rPr>
                <w:bdr w:val="double" w:sz="6"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double" w:sz="6" w:space="1" w:color="000000"/>
              </w:rPr>
            </w:pPr>
            <w:r>
              <w:rPr>
                <w:bdr w:val="double" w:sz="6" w:space="1" w:color="000000"/>
              </w:rPr>
              <w:t> </w:t>
            </w:r>
          </w:p>
        </w:tc>
        <w:tc>
          <w:tcPr>
            <w:tcW w:w="980" w:type="dxa"/>
            <w:tcBorders/>
            <w:shd w:fill="auto" w:val="clear"/>
            <w:vAlign w:val="center"/>
          </w:tcPr>
          <w:p>
            <w:pPr>
              <w:pStyle w:val="TableContents"/>
              <w:spacing w:before="0" w:after="0"/>
              <w:rPr>
                <w:bdr w:val="double" w:sz="6" w:space="1" w:color="000000"/>
              </w:rPr>
            </w:pPr>
            <w:r>
              <w:rPr>
                <w:bdr w:val="double" w:sz="6" w:space="1" w:color="000000"/>
              </w:rPr>
              <w:t> </w:t>
            </w:r>
          </w:p>
        </w:tc>
        <w:tc>
          <w:tcPr>
            <w:tcW w:w="75" w:type="dxa"/>
            <w:tcBorders/>
            <w:shd w:fill="auto" w:val="clear"/>
            <w:vAlign w:val="center"/>
          </w:tcPr>
          <w:p>
            <w:pPr>
              <w:pStyle w:val="TableContents"/>
              <w:spacing w:before="0" w:after="283"/>
              <w:rPr/>
            </w:pPr>
            <w:r>
              <w:rPr/>
              <w:t> </w:t>
            </w:r>
          </w:p>
        </w:tc>
      </w:tr>
    </w:tbl>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194"/>
        <w:gridCol w:w="10011"/>
      </w:tblGrid>
      <w:tr>
        <w:trPr/>
        <w:tc>
          <w:tcPr>
            <w:tcW w:w="194" w:type="dxa"/>
            <w:tcBorders/>
            <w:shd w:fill="auto" w:val="clear"/>
            <w:vAlign w:val="center"/>
          </w:tcPr>
          <w:p>
            <w:pPr>
              <w:pStyle w:val="TableContents"/>
              <w:spacing w:before="0" w:after="0"/>
              <w:jc w:val="left"/>
              <w:rPr>
                <w:sz w:val="14"/>
              </w:rPr>
            </w:pPr>
            <w:r>
              <w:rPr>
                <w:sz w:val="14"/>
              </w:rPr>
              <w:t>(1)</w:t>
            </w:r>
          </w:p>
          <w:p>
            <w:pPr>
              <w:pStyle w:val="TableContents"/>
              <w:spacing w:before="0" w:after="0"/>
              <w:jc w:val="left"/>
              <w:rPr/>
            </w:pPr>
            <w:r>
              <w:rPr/>
              <w:t> </w:t>
            </w:r>
          </w:p>
        </w:tc>
        <w:tc>
          <w:tcPr>
            <w:tcW w:w="10011"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Available commitments under the revolving credit facility were $430,314 as of January 31, 2021, subject to a $150,000 liquidity covenant. </w:t>
            </w:r>
          </w:p>
        </w:tc>
      </w:tr>
    </w:tbl>
    <w:tbl>
      <w:tblPr>
        <w:tblW w:w="10205" w:type="dxa"/>
        <w:jc w:val="left"/>
        <w:tblInd w:w="0" w:type="dxa"/>
        <w:tblCellMar>
          <w:top w:w="0" w:type="dxa"/>
          <w:left w:w="0" w:type="dxa"/>
          <w:bottom w:w="0" w:type="dxa"/>
          <w:right w:w="0" w:type="dxa"/>
        </w:tblCellMar>
      </w:tblPr>
      <w:tblGrid>
        <w:gridCol w:w="166"/>
        <w:gridCol w:w="10039"/>
      </w:tblGrid>
      <w:tr>
        <w:trPr/>
        <w:tc>
          <w:tcPr>
            <w:tcW w:w="166" w:type="dxa"/>
            <w:tcBorders/>
            <w:shd w:fill="auto" w:val="clear"/>
            <w:vAlign w:val="center"/>
          </w:tcPr>
          <w:p>
            <w:pPr>
              <w:pStyle w:val="TableContents"/>
              <w:spacing w:before="0" w:after="0"/>
              <w:jc w:val="left"/>
              <w:rPr>
                <w:sz w:val="14"/>
              </w:rPr>
            </w:pPr>
            <w:r>
              <w:rPr>
                <w:sz w:val="14"/>
              </w:rPr>
              <w:t>(2)</w:t>
            </w:r>
          </w:p>
          <w:p>
            <w:pPr>
              <w:pStyle w:val="TableContents"/>
              <w:spacing w:before="0" w:after="0"/>
              <w:jc w:val="left"/>
              <w:rPr/>
            </w:pPr>
            <w:r>
              <w:rPr/>
              <w:t> </w:t>
            </w:r>
          </w:p>
        </w:tc>
        <w:tc>
          <w:tcPr>
            <w:tcW w:w="10039"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The cash obligations for the variable interest requirements on the outstanding balance of the revolving credit facility and the unused commitment are based on an interest rate of 6.00% and 0.50%, respectively, through the end of the first quarter of fiscal year 2022, reduced to 4.00% and 0.40%, respectively, for the remainder of the term of the credit facility. The interest requirement on the senior secured notes is based on a fixed rate of 7.625%. </w:t>
            </w:r>
          </w:p>
        </w:tc>
      </w:tr>
    </w:tbl>
    <w:tbl>
      <w:tblPr>
        <w:tblW w:w="10205" w:type="dxa"/>
        <w:jc w:val="left"/>
        <w:tblInd w:w="0" w:type="dxa"/>
        <w:tblCellMar>
          <w:top w:w="0" w:type="dxa"/>
          <w:left w:w="0" w:type="dxa"/>
          <w:bottom w:w="0" w:type="dxa"/>
          <w:right w:w="0" w:type="dxa"/>
        </w:tblCellMar>
      </w:tblPr>
      <w:tblGrid>
        <w:gridCol w:w="168"/>
        <w:gridCol w:w="10037"/>
      </w:tblGrid>
      <w:tr>
        <w:trPr/>
        <w:tc>
          <w:tcPr>
            <w:tcW w:w="168" w:type="dxa"/>
            <w:tcBorders/>
            <w:shd w:fill="auto" w:val="clear"/>
            <w:vAlign w:val="center"/>
          </w:tcPr>
          <w:p>
            <w:pPr>
              <w:pStyle w:val="TableContents"/>
              <w:spacing w:before="0" w:after="0"/>
              <w:jc w:val="left"/>
              <w:rPr>
                <w:sz w:val="14"/>
              </w:rPr>
            </w:pPr>
            <w:r>
              <w:rPr>
                <w:sz w:val="14"/>
              </w:rPr>
              <w:t>(3)</w:t>
            </w:r>
          </w:p>
          <w:p>
            <w:pPr>
              <w:pStyle w:val="TableContents"/>
              <w:spacing w:before="0" w:after="0"/>
              <w:jc w:val="left"/>
              <w:rPr/>
            </w:pPr>
            <w:r>
              <w:rPr/>
              <w:t> </w:t>
            </w:r>
          </w:p>
        </w:tc>
        <w:tc>
          <w:tcPr>
            <w:tcW w:w="10037"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Our operating leases generally provide for one or more renewal options. These renewal options allow us to extend the term of the lease for a specified time at an established annual lease payment. Future obligations related to lease renewal options that have been exercised or were reasonably certain to be exercised as of the lease origination date, have been included in the table above. </w:t>
            </w:r>
          </w:p>
        </w:tc>
      </w:tr>
    </w:tbl>
    <w:p>
      <w:pPr>
        <w:pStyle w:val="TextBody"/>
        <w:spacing w:before="360" w:after="0"/>
        <w:jc w:val="left"/>
        <w:rPr>
          <w:rFonts w:ascii="Times New Roman" w:hAnsi="Times New Roman"/>
          <w:b/>
          <w:spacing w:val="0"/>
          <w:sz w:val="20"/>
        </w:rPr>
      </w:pPr>
      <w:r>
        <w:rPr>
          <w:rFonts w:ascii="Times New Roman" w:hAnsi="Times New Roman"/>
          <w:b/>
          <w:spacing w:val="0"/>
          <w:sz w:val="20"/>
        </w:rPr>
        <w:t>Off-Balance</w:t>
      </w:r>
    </w:p>
    <w:p>
      <w:pPr>
        <w:pStyle w:val="TextBody"/>
        <w:spacing w:before="360" w:after="0"/>
        <w:jc w:val="left"/>
        <w:rPr>
          <w:rFonts w:ascii="Times New Roman" w:hAnsi="Times New Roman"/>
          <w:b/>
          <w:sz w:val="20"/>
        </w:rPr>
      </w:pPr>
      <w:r>
        <w:rPr>
          <w:rFonts w:ascii="Times New Roman" w:hAnsi="Times New Roman"/>
          <w:b/>
          <w:sz w:val="20"/>
        </w:rPr>
        <w:t xml:space="preserve">Sheet Arrangements </w:t>
      </w:r>
    </w:p>
    <w:p>
      <w:pPr>
        <w:pStyle w:val="TextBody"/>
        <w:spacing w:before="120" w:after="0"/>
        <w:jc w:val="left"/>
        <w:rPr>
          <w:rFonts w:ascii="Times New Roman" w:hAnsi="Times New Roman"/>
          <w:sz w:val="20"/>
        </w:rPr>
      </w:pPr>
      <w:r>
        <w:rPr>
          <w:rFonts w:ascii="Times New Roman" w:hAnsi="Times New Roman"/>
          <w:sz w:val="20"/>
        </w:rPr>
        <w:t xml:space="preserve">We have no material </w:t>
      </w:r>
    </w:p>
    <w:p>
      <w:pPr>
        <w:pStyle w:val="TextBody"/>
        <w:spacing w:before="120" w:after="0"/>
        <w:jc w:val="left"/>
        <w:rPr>
          <w:rFonts w:ascii="Times New Roman" w:hAnsi="Times New Roman"/>
          <w:spacing w:val="0"/>
          <w:sz w:val="20"/>
        </w:rPr>
      </w:pPr>
      <w:r>
        <w:rPr>
          <w:rFonts w:ascii="Times New Roman" w:hAnsi="Times New Roman"/>
          <w:spacing w:val="0"/>
          <w:sz w:val="20"/>
        </w:rPr>
        <w:t>off-balance</w:t>
      </w:r>
    </w:p>
    <w:p>
      <w:pPr>
        <w:pStyle w:val="TextBody"/>
        <w:spacing w:before="120" w:after="0"/>
        <w:jc w:val="left"/>
        <w:rPr>
          <w:rFonts w:ascii="Times New Roman" w:hAnsi="Times New Roman"/>
          <w:sz w:val="20"/>
        </w:rPr>
      </w:pPr>
      <w:r>
        <w:rPr>
          <w:rFonts w:ascii="Times New Roman" w:hAnsi="Times New Roman"/>
          <w:sz w:val="20"/>
        </w:rPr>
        <w:t xml:space="preserve">sheet arrangements. </w:t>
      </w:r>
    </w:p>
    <w:p>
      <w:pPr>
        <w:pStyle w:val="TextBody"/>
        <w:spacing w:before="360" w:after="0"/>
        <w:jc w:val="left"/>
        <w:rPr>
          <w:rFonts w:ascii="Times New Roman" w:hAnsi="Times New Roman"/>
          <w:b/>
          <w:spacing w:val="0"/>
          <w:sz w:val="20"/>
        </w:rPr>
      </w:pPr>
      <w:r>
        <w:rPr>
          <w:rFonts w:ascii="Times New Roman" w:hAnsi="Times New Roman"/>
          <w:b/>
          <w:spacing w:val="0"/>
          <w:sz w:val="20"/>
        </w:rPr>
        <w:t xml:space="preserve">Critical accounting policies and estimates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The above discussion and analysis of our financial condition and results of operations is based upon our consolidated financial statements. The preparation of financial statements in conformity with GAAP requires us to make estimates and judgments that affect the reported amounts of assets, liabilities, revenue and expenses, and disclosures of contingent assets and liabilities. Our significant accounting policies are described in Note 1 of Notes to Consolidated Financial Statements. Critical accounting policies are those that we believe are most important to portraying our financial condition and results of operations and require the greatest amount of judgment by management. Judgment or uncertainties regarding the application of these policies may result in materially different amounts being reported under different conditions or using different assumptions. We consider the following policies to be the most critical in understanding the judgment that is involved in preparing the consolidated financial statements. </w:t>
      </w:r>
    </w:p>
    <w:p>
      <w:pPr>
        <w:pStyle w:val="TextBody"/>
        <w:spacing w:before="24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Accounting for amusement operations</w:t>
      </w:r>
    </w:p>
    <w:p>
      <w:pPr>
        <w:pStyle w:val="TextBody"/>
        <w:spacing w:before="240" w:after="0"/>
        <w:jc w:val="left"/>
        <w:rPr>
          <w:rFonts w:ascii="Times New Roman" w:hAnsi="Times New Roman"/>
          <w:b/>
          <w:spacing w:val="0"/>
          <w:sz w:val="20"/>
        </w:rPr>
      </w:pPr>
      <w:r>
        <w:rPr>
          <w:rFonts w:ascii="Times New Roman" w:hAnsi="Times New Roman"/>
          <w:b/>
          <w:spacing w:val="0"/>
          <w:sz w:val="20"/>
        </w:rPr>
        <w:t>.</w:t>
      </w:r>
    </w:p>
    <w:p>
      <w:pPr>
        <w:pStyle w:val="TextBody"/>
        <w:spacing w:before="240" w:after="0"/>
        <w:jc w:val="left"/>
        <w:rPr>
          <w:rFonts w:ascii="Times New Roman" w:hAnsi="Times New Roman"/>
          <w:sz w:val="20"/>
        </w:rPr>
      </w:pPr>
      <w:r>
        <w:rPr>
          <w:rFonts w:ascii="Times New Roman" w:hAnsi="Times New Roman"/>
          <w:sz w:val="20"/>
        </w:rPr>
        <w:t xml:space="preserve">Amusement revenues are primarily recognized upon utilization of game play credits on Power Cards purchased and used by customers to activate video and redemption games. Redemption games allow customers to earn tickets, which may be redeemed for prizes in our WIN! area. We have deferred a portion of amusement revenues for the estimated unfulfilled performance obligations based on an estimated rate of future use by customers of unused game play credits and the material right provided to customers to redeem tickets in the future for prizes. We estimate the amount of deferred revenue based upon credits and tickets remaining on Power Cards, historic game play credit and ticket utilization patterns and estimates of the standalone selling prices of game play credits and the customer material right. The standalone selling price of the customer material right is estimated using an equivalent chip cost plus margin approach. For purposes of recognizing revenue, the total amount collected from each customer is then allocated between the two performance obligations based on the relative standalone selling price of each obligation.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50 </w:t>
      </w:r>
    </w:p>
    <w:p>
      <w:pPr>
        <w:pStyle w:val="HorizontalLine"/>
        <w:rPr/>
      </w:pPr>
      <w:r>
        <w:rPr/>
      </w:r>
    </w:p>
    <w:p>
      <w:pPr>
        <w:pStyle w:val="TextBody"/>
        <w:spacing w:before="0" w:after="0"/>
        <w:rPr/>
      </w:pPr>
      <w:hyperlink w:anchor="toc">
        <w:r>
          <w:rPr>
            <w:rStyle w:val="InternetLink"/>
            <w:b/>
            <w:sz w:val="20"/>
          </w:rPr>
          <w:t>Table of Contents</w:t>
        </w:r>
      </w:hyperlink>
    </w:p>
    <w:p>
      <w:pPr>
        <w:pStyle w:val="TextBody"/>
        <w:spacing w:before="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Accounting for impairment of long-lived assets.</w:t>
      </w:r>
    </w:p>
    <w:p>
      <w:pPr>
        <w:pStyle w:val="TextBody"/>
        <w:spacing w:before="0" w:after="0"/>
        <w:jc w:val="left"/>
        <w:rPr>
          <w:rFonts w:ascii="Times New Roman" w:hAnsi="Times New Roman"/>
          <w:sz w:val="20"/>
        </w:rPr>
      </w:pPr>
      <w:r>
        <w:rPr>
          <w:rFonts w:ascii="Times New Roman" w:hAnsi="Times New Roman"/>
          <w:sz w:val="20"/>
        </w:rPr>
        <w:t xml:space="preserve">Annually or more frequently if an event occurs or circumstances change that would indicate that the carrying values of these assets may not be recoverable, we evaluate long-lived assets related to each store to be held and used in business, including property and equipment and </w:t>
      </w:r>
    </w:p>
    <w:p>
      <w:pPr>
        <w:pStyle w:val="TextBody"/>
        <w:spacing w:before="0" w:after="0"/>
        <w:jc w:val="left"/>
        <w:rPr>
          <w:rFonts w:ascii="Times New Roman" w:hAnsi="Times New Roman"/>
          <w:spacing w:val="0"/>
          <w:sz w:val="20"/>
        </w:rPr>
      </w:pPr>
      <w:r>
        <w:rPr>
          <w:rFonts w:ascii="Times New Roman" w:hAnsi="Times New Roman"/>
          <w:spacing w:val="0"/>
          <w:sz w:val="20"/>
        </w:rPr>
        <w:t>right-of-use</w:t>
      </w:r>
    </w:p>
    <w:p>
      <w:pPr>
        <w:pStyle w:val="TextBody"/>
        <w:spacing w:before="0" w:after="0"/>
        <w:jc w:val="left"/>
        <w:rPr>
          <w:rFonts w:ascii="Times New Roman" w:hAnsi="Times New Roman"/>
          <w:sz w:val="20"/>
        </w:rPr>
      </w:pPr>
      <w:r>
        <w:rPr>
          <w:rFonts w:ascii="Times New Roman" w:hAnsi="Times New Roman"/>
          <w:sz w:val="20"/>
        </w:rPr>
        <w:t xml:space="preserve">(“ROU”) assets. In determining the recoverability of the asset value, an analysis is performed at the individual store level, since this is the lowest level of identifiable cash flows and primarily includes an assessment of historical cash flows and other relevant factors and circumstances, including the maturity of the store, changes in the economic environment, unfavorable changes in legal factors or business climate and future operating plans. The more significant inputs used in determining our estimate of the projected undiscounted cash flows included future revenue growth and projected margins as well as the estimate of the remaining useful life of the assets. If the carrying amount is not recoverable, we record an impairment charge, if any, for the excess of the carrying amount over the fair value, which is estimated based on discounted projected future operating cash flows of the store over the remaining service life using a risk adjusted discount rate that is commensurate with the inherent risk. </w:t>
      </w:r>
    </w:p>
    <w:p>
      <w:pPr>
        <w:pStyle w:val="TextBody"/>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Recent accounting pronouncements.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Refer to Note 1 of Consolidated Financial Statements for information regarding new accounting pronouncements. </w:t>
      </w:r>
    </w:p>
    <w:p>
      <w:pPr>
        <w:pStyle w:val="TextBody"/>
        <w:spacing w:before="0" w:after="0"/>
        <w:jc w:val="left"/>
        <w:rPr>
          <w:spacing w:val="0"/>
        </w:rPr>
      </w:pPr>
      <w:r>
        <w:rPr>
          <w:spacing w:val="0"/>
        </w:rPr>
        <w:t> </w:t>
      </w:r>
    </w:p>
    <w:tbl>
      <w:tblPr>
        <w:tblW w:w="6235" w:type="dxa"/>
        <w:jc w:val="left"/>
        <w:tblInd w:w="0" w:type="dxa"/>
        <w:tblCellMar>
          <w:top w:w="0" w:type="dxa"/>
          <w:left w:w="0" w:type="dxa"/>
          <w:bottom w:w="0" w:type="dxa"/>
          <w:right w:w="0" w:type="dxa"/>
        </w:tblCellMar>
      </w:tblPr>
      <w:tblGrid>
        <w:gridCol w:w="1100"/>
        <w:gridCol w:w="5135"/>
      </w:tblGrid>
      <w:tr>
        <w:trPr/>
        <w:tc>
          <w:tcPr>
            <w:tcW w:w="1100" w:type="dxa"/>
            <w:tcBorders/>
            <w:shd w:fill="auto" w:val="clear"/>
            <w:vAlign w:val="center"/>
          </w:tcPr>
          <w:p>
            <w:pPr>
              <w:pStyle w:val="TableContents"/>
              <w:spacing w:before="0" w:after="0"/>
              <w:jc w:val="left"/>
              <w:rPr>
                <w:b/>
                <w:spacing w:val="0"/>
              </w:rPr>
            </w:pPr>
            <w:bookmarkStart w:id="11" w:name="tx120247_10"/>
            <w:bookmarkEnd w:id="11"/>
            <w:r>
              <w:rPr>
                <w:b/>
                <w:spacing w:val="0"/>
              </w:rPr>
              <w:t>ITEM 7A.</w:t>
            </w:r>
          </w:p>
        </w:tc>
        <w:tc>
          <w:tcPr>
            <w:tcW w:w="5135" w:type="dxa"/>
            <w:tcBorders/>
            <w:shd w:fill="auto" w:val="clear"/>
            <w:vAlign w:val="center"/>
          </w:tcPr>
          <w:p>
            <w:pPr>
              <w:pStyle w:val="TableContents"/>
              <w:spacing w:before="0" w:after="0"/>
              <w:jc w:val="left"/>
              <w:rPr>
                <w:rFonts w:ascii="Times New Roman" w:hAnsi="Times New Roman"/>
                <w:b/>
                <w:spacing w:val="0"/>
                <w:sz w:val="20"/>
              </w:rPr>
            </w:pPr>
            <w:r>
              <w:rPr>
                <w:rFonts w:ascii="Times New Roman" w:hAnsi="Times New Roman"/>
                <w:b/>
                <w:spacing w:val="0"/>
                <w:sz w:val="20"/>
              </w:rPr>
              <w:t xml:space="preserve">Quantitative and Qualitative Disclosures about Market Risk </w:t>
            </w:r>
          </w:p>
        </w:tc>
      </w:tr>
    </w:tbl>
    <w:p>
      <w:pPr>
        <w:pStyle w:val="TextBody"/>
        <w:spacing w:before="120" w:after="0"/>
        <w:jc w:val="left"/>
        <w:rPr>
          <w:rFonts w:ascii="Times New Roman" w:hAnsi="Times New Roman"/>
          <w:b/>
          <w:spacing w:val="0"/>
          <w:sz w:val="20"/>
        </w:rPr>
      </w:pPr>
      <w:r>
        <w:rPr>
          <w:rFonts w:ascii="Times New Roman" w:hAnsi="Times New Roman"/>
          <w:b/>
          <w:spacing w:val="0"/>
          <w:sz w:val="20"/>
        </w:rPr>
        <w:t xml:space="preserve">Commodity Price Risk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We are exposed to market price fluctuation in food and beverage product prices. Given the historical volatility of certain of our food product prices, including proteins, seafood, produce, dairy products, and cooking oil, these fluctuations can materially impact our food costs. While our purchasing commitments partially mitigate the risk of such fluctuations, there is no assurance that supply and demand factors such as disease or inclement weather will not cause the prices of the commodities used in our restaurant operations to fluctuate. Additionally, the cost of purchased materials may be influenced by tariffs and other trade regulations which are outside of our control. To the extent that we do not pass along cost increases to our customers, our results of operations may be adversely affected. Currently, we do not use financial instruments to hedge our commodity risk. </w:t>
      </w:r>
    </w:p>
    <w:p>
      <w:pPr>
        <w:pStyle w:val="TextBody"/>
        <w:spacing w:before="360" w:after="0"/>
        <w:jc w:val="left"/>
        <w:rPr>
          <w:rFonts w:ascii="Times New Roman" w:hAnsi="Times New Roman"/>
          <w:b/>
          <w:spacing w:val="0"/>
          <w:sz w:val="20"/>
        </w:rPr>
      </w:pPr>
      <w:r>
        <w:rPr>
          <w:rFonts w:ascii="Times New Roman" w:hAnsi="Times New Roman"/>
          <w:b/>
          <w:spacing w:val="0"/>
          <w:sz w:val="20"/>
        </w:rPr>
        <w:t xml:space="preserve">Interest Rate Risk </w:t>
      </w:r>
    </w:p>
    <w:p>
      <w:pPr>
        <w:pStyle w:val="TextBody"/>
        <w:spacing w:before="120" w:after="0"/>
        <w:jc w:val="left"/>
        <w:rPr>
          <w:rFonts w:ascii="Times New Roman" w:hAnsi="Times New Roman"/>
          <w:sz w:val="20"/>
        </w:rPr>
      </w:pPr>
      <w:r>
        <w:rPr>
          <w:rFonts w:ascii="Times New Roman" w:hAnsi="Times New Roman"/>
          <w:sz w:val="20"/>
        </w:rPr>
        <w:t xml:space="preserve">Our variable rate indebtedness under our $500,000 revolving credit facility is based on </w:t>
      </w:r>
    </w:p>
    <w:p>
      <w:pPr>
        <w:pStyle w:val="TextBody"/>
        <w:spacing w:before="120" w:after="0"/>
        <w:jc w:val="left"/>
        <w:rPr>
          <w:rFonts w:ascii="Times New Roman" w:hAnsi="Times New Roman"/>
          <w:spacing w:val="0"/>
          <w:sz w:val="20"/>
        </w:rPr>
      </w:pPr>
      <w:r>
        <w:rPr>
          <w:rFonts w:ascii="Times New Roman" w:hAnsi="Times New Roman"/>
          <w:spacing w:val="0"/>
          <w:sz w:val="20"/>
        </w:rPr>
        <w:t>one-month</w:t>
      </w:r>
    </w:p>
    <w:p>
      <w:pPr>
        <w:pStyle w:val="TextBody"/>
        <w:spacing w:before="120" w:after="0"/>
        <w:jc w:val="left"/>
        <w:rPr>
          <w:rFonts w:ascii="Times New Roman" w:hAnsi="Times New Roman"/>
          <w:sz w:val="20"/>
        </w:rPr>
      </w:pPr>
      <w:r>
        <w:rPr>
          <w:rFonts w:ascii="Times New Roman" w:hAnsi="Times New Roman"/>
          <w:sz w:val="20"/>
        </w:rPr>
        <w:t xml:space="preserve">LIBOR, with a LIBOR floor of 1.00%. Our interest rate swap agreements, with a combined notional amount of $350,000, convert the floating portion of the interest rate to a fixed interest rate of approximately 2.47% through August 17, 2022. As of January 31, 2021, </w:t>
      </w:r>
    </w:p>
    <w:p>
      <w:pPr>
        <w:pStyle w:val="TextBody"/>
        <w:spacing w:before="120" w:after="0"/>
        <w:jc w:val="left"/>
        <w:rPr>
          <w:rFonts w:ascii="Times New Roman" w:hAnsi="Times New Roman"/>
          <w:spacing w:val="0"/>
          <w:sz w:val="20"/>
        </w:rPr>
      </w:pPr>
      <w:r>
        <w:rPr>
          <w:rFonts w:ascii="Times New Roman" w:hAnsi="Times New Roman"/>
          <w:spacing w:val="0"/>
          <w:sz w:val="20"/>
        </w:rPr>
        <w:t>one-month</w:t>
      </w:r>
    </w:p>
    <w:p>
      <w:pPr>
        <w:pStyle w:val="TextBody"/>
        <w:spacing w:before="120" w:after="0"/>
        <w:jc w:val="left"/>
        <w:rPr>
          <w:rFonts w:ascii="Times New Roman" w:hAnsi="Times New Roman"/>
          <w:sz w:val="20"/>
        </w:rPr>
      </w:pPr>
      <w:r>
        <w:rPr>
          <w:rFonts w:ascii="Times New Roman" w:hAnsi="Times New Roman"/>
          <w:sz w:val="20"/>
        </w:rPr>
        <w:t xml:space="preserve">LIBOR is below 1.00%. </w:t>
      </w:r>
    </w:p>
    <w:p>
      <w:pPr>
        <w:pStyle w:val="TextBody"/>
        <w:spacing w:before="360" w:after="0"/>
        <w:jc w:val="left"/>
        <w:rPr>
          <w:rFonts w:ascii="Times New Roman" w:hAnsi="Times New Roman"/>
          <w:b/>
          <w:spacing w:val="0"/>
          <w:sz w:val="20"/>
        </w:rPr>
      </w:pPr>
      <w:r>
        <w:rPr>
          <w:rFonts w:ascii="Times New Roman" w:hAnsi="Times New Roman"/>
          <w:b/>
          <w:spacing w:val="0"/>
          <w:sz w:val="20"/>
        </w:rPr>
        <w:t xml:space="preserve">Inflation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The primary inflationary factors affecting our operations are food, labor costs, and energy costs. Many of our leases require us to pay taxes, maintenance, repairs, insurance and utilities, all of which are generally subject to inflationary increases. Also, the cost of new store construction is subject to inflationary increases in the costs of labor and material.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A large portion of our hourly team members are paid wage rates at or based on the applicable federal, state or city minimum wage and increases in the minimum wage will increase our labor costs. Several states and local jurisdictions in which we operate have enacted legislation to increase the minimum wage and/or minimum tipped wage rates by varying amounts, with more planned increases in the future.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In general, we have been able to partially offset cost increases resulting from inflation by increasing menu or game prices, improving productivity, or other operating changes. We may or may not be able to offset cost increases in the future.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51 </w:t>
      </w:r>
    </w:p>
    <w:p>
      <w:pPr>
        <w:pStyle w:val="HorizontalLine"/>
        <w:rPr/>
      </w:pPr>
      <w:r>
        <w:rPr/>
      </w:r>
    </w:p>
    <w:p>
      <w:pPr>
        <w:pStyle w:val="TextBody"/>
        <w:spacing w:before="0" w:after="0"/>
        <w:rPr/>
      </w:pPr>
      <w:hyperlink w:anchor="toc">
        <w:r>
          <w:rPr>
            <w:rStyle w:val="InternetLink"/>
            <w:b/>
            <w:sz w:val="20"/>
          </w:rPr>
          <w:t>Table of Contents</w:t>
        </w:r>
      </w:hyperlink>
    </w:p>
    <w:tbl>
      <w:tblPr>
        <w:tblW w:w="4915" w:type="dxa"/>
        <w:jc w:val="left"/>
        <w:tblInd w:w="0" w:type="dxa"/>
        <w:tblCellMar>
          <w:top w:w="0" w:type="dxa"/>
          <w:left w:w="0" w:type="dxa"/>
          <w:bottom w:w="0" w:type="dxa"/>
          <w:right w:w="0" w:type="dxa"/>
        </w:tblCellMar>
      </w:tblPr>
      <w:tblGrid>
        <w:gridCol w:w="920"/>
        <w:gridCol w:w="3995"/>
      </w:tblGrid>
      <w:tr>
        <w:trPr/>
        <w:tc>
          <w:tcPr>
            <w:tcW w:w="920" w:type="dxa"/>
            <w:tcBorders/>
            <w:shd w:fill="auto" w:val="clear"/>
            <w:vAlign w:val="center"/>
          </w:tcPr>
          <w:p>
            <w:pPr>
              <w:pStyle w:val="TableContents"/>
              <w:spacing w:before="0" w:after="0"/>
              <w:jc w:val="left"/>
              <w:rPr>
                <w:b/>
                <w:spacing w:val="0"/>
              </w:rPr>
            </w:pPr>
            <w:bookmarkStart w:id="12" w:name="tx120247_11"/>
            <w:bookmarkEnd w:id="12"/>
            <w:r>
              <w:rPr>
                <w:b/>
                <w:spacing w:val="0"/>
              </w:rPr>
              <w:t>ITEM 8.</w:t>
            </w:r>
          </w:p>
        </w:tc>
        <w:tc>
          <w:tcPr>
            <w:tcW w:w="3995" w:type="dxa"/>
            <w:tcBorders/>
            <w:shd w:fill="auto" w:val="clear"/>
            <w:vAlign w:val="center"/>
          </w:tcPr>
          <w:p>
            <w:pPr>
              <w:pStyle w:val="TableContents"/>
              <w:spacing w:before="0" w:after="0"/>
              <w:jc w:val="left"/>
              <w:rPr>
                <w:rFonts w:ascii="Times New Roman" w:hAnsi="Times New Roman"/>
                <w:b/>
                <w:spacing w:val="0"/>
                <w:sz w:val="20"/>
              </w:rPr>
            </w:pPr>
            <w:r>
              <w:rPr>
                <w:rFonts w:ascii="Times New Roman" w:hAnsi="Times New Roman"/>
                <w:b/>
                <w:spacing w:val="0"/>
                <w:sz w:val="20"/>
              </w:rPr>
              <w:t xml:space="preserve">Financial Statements and Supplementary Data </w:t>
            </w:r>
          </w:p>
        </w:tc>
      </w:tr>
    </w:tbl>
    <w:p>
      <w:pPr>
        <w:pStyle w:val="TextBody"/>
        <w:spacing w:before="120" w:after="0"/>
        <w:jc w:val="left"/>
        <w:rPr>
          <w:rFonts w:ascii="Times New Roman" w:hAnsi="Times New Roman"/>
          <w:sz w:val="20"/>
        </w:rPr>
      </w:pPr>
      <w:r>
        <w:rPr>
          <w:rFonts w:ascii="Times New Roman" w:hAnsi="Times New Roman"/>
          <w:sz w:val="20"/>
        </w:rPr>
        <w:t xml:space="preserve">The consolidated financial statements of the Company and supplementary data are included as pages </w:t>
      </w:r>
    </w:p>
    <w:p>
      <w:pPr>
        <w:pStyle w:val="TextBody"/>
        <w:spacing w:before="120" w:after="0"/>
        <w:jc w:val="left"/>
        <w:rPr>
          <w:rFonts w:ascii="Times New Roman" w:hAnsi="Times New Roman"/>
          <w:spacing w:val="0"/>
          <w:sz w:val="20"/>
        </w:rPr>
      </w:pPr>
      <w:r>
        <w:rPr>
          <w:rFonts w:ascii="Times New Roman" w:hAnsi="Times New Roman"/>
          <w:spacing w:val="0"/>
          <w:sz w:val="20"/>
        </w:rPr>
        <w:t>F-1</w:t>
      </w:r>
    </w:p>
    <w:p>
      <w:pPr>
        <w:pStyle w:val="TextBody"/>
        <w:spacing w:before="120" w:after="0"/>
        <w:jc w:val="left"/>
        <w:rPr>
          <w:rFonts w:ascii="Times New Roman" w:hAnsi="Times New Roman"/>
          <w:sz w:val="20"/>
        </w:rPr>
      </w:pPr>
      <w:r>
        <w:rPr>
          <w:rFonts w:ascii="Times New Roman" w:hAnsi="Times New Roman"/>
          <w:sz w:val="20"/>
        </w:rPr>
        <w:t xml:space="preserve">through </w:t>
      </w:r>
    </w:p>
    <w:p>
      <w:pPr>
        <w:pStyle w:val="TextBody"/>
        <w:spacing w:before="120" w:after="0"/>
        <w:jc w:val="left"/>
        <w:rPr>
          <w:rFonts w:ascii="Times New Roman" w:hAnsi="Times New Roman"/>
          <w:spacing w:val="0"/>
          <w:sz w:val="20"/>
        </w:rPr>
      </w:pPr>
      <w:r>
        <w:rPr>
          <w:rFonts w:ascii="Times New Roman" w:hAnsi="Times New Roman"/>
          <w:spacing w:val="0"/>
          <w:sz w:val="20"/>
        </w:rPr>
        <w:t>F-27</w:t>
      </w:r>
    </w:p>
    <w:p>
      <w:pPr>
        <w:pStyle w:val="TextBody"/>
        <w:spacing w:before="120" w:after="0"/>
        <w:jc w:val="left"/>
        <w:rPr>
          <w:rFonts w:ascii="Times New Roman" w:hAnsi="Times New Roman"/>
          <w:sz w:val="20"/>
        </w:rPr>
      </w:pPr>
      <w:r>
        <w:rPr>
          <w:rFonts w:ascii="Times New Roman" w:hAnsi="Times New Roman"/>
          <w:sz w:val="20"/>
        </w:rPr>
        <w:t xml:space="preserve">in this report. </w:t>
      </w:r>
    </w:p>
    <w:p>
      <w:pPr>
        <w:pStyle w:val="TextBody"/>
        <w:spacing w:before="0" w:after="0"/>
        <w:jc w:val="left"/>
        <w:rPr>
          <w:spacing w:val="0"/>
        </w:rPr>
      </w:pPr>
      <w:r>
        <w:rPr>
          <w:spacing w:val="0"/>
        </w:rPr>
        <w:t> </w:t>
      </w:r>
    </w:p>
    <w:tbl>
      <w:tblPr>
        <w:tblW w:w="8470" w:type="dxa"/>
        <w:jc w:val="left"/>
        <w:tblInd w:w="0" w:type="dxa"/>
        <w:tblCellMar>
          <w:top w:w="0" w:type="dxa"/>
          <w:left w:w="0" w:type="dxa"/>
          <w:bottom w:w="0" w:type="dxa"/>
          <w:right w:w="0" w:type="dxa"/>
        </w:tblCellMar>
      </w:tblPr>
      <w:tblGrid>
        <w:gridCol w:w="920"/>
        <w:gridCol w:w="7550"/>
      </w:tblGrid>
      <w:tr>
        <w:trPr/>
        <w:tc>
          <w:tcPr>
            <w:tcW w:w="920" w:type="dxa"/>
            <w:tcBorders/>
            <w:shd w:fill="auto" w:val="clear"/>
            <w:vAlign w:val="center"/>
          </w:tcPr>
          <w:p>
            <w:pPr>
              <w:pStyle w:val="TableContents"/>
              <w:spacing w:before="0" w:after="0"/>
              <w:jc w:val="left"/>
              <w:rPr>
                <w:b/>
                <w:spacing w:val="0"/>
              </w:rPr>
            </w:pPr>
            <w:bookmarkStart w:id="13" w:name="tx120247_12"/>
            <w:bookmarkEnd w:id="13"/>
            <w:r>
              <w:rPr>
                <w:b/>
                <w:spacing w:val="0"/>
              </w:rPr>
              <w:t>ITEM 9.</w:t>
            </w:r>
          </w:p>
        </w:tc>
        <w:tc>
          <w:tcPr>
            <w:tcW w:w="7550" w:type="dxa"/>
            <w:tcBorders/>
            <w:shd w:fill="auto" w:val="clear"/>
            <w:vAlign w:val="center"/>
          </w:tcPr>
          <w:p>
            <w:pPr>
              <w:pStyle w:val="TableContents"/>
              <w:spacing w:before="0" w:after="0"/>
              <w:jc w:val="left"/>
              <w:rPr>
                <w:rFonts w:ascii="Times New Roman" w:hAnsi="Times New Roman"/>
                <w:b/>
                <w:spacing w:val="0"/>
                <w:sz w:val="20"/>
              </w:rPr>
            </w:pPr>
            <w:r>
              <w:rPr>
                <w:rFonts w:ascii="Times New Roman" w:hAnsi="Times New Roman"/>
                <w:b/>
                <w:spacing w:val="0"/>
                <w:sz w:val="20"/>
              </w:rPr>
              <w:t xml:space="preserve">Changes in and Disagreements with Accountants on Accounting and Financial Disclosure </w:t>
            </w:r>
          </w:p>
        </w:tc>
      </w:tr>
    </w:tbl>
    <w:p>
      <w:pPr>
        <w:pStyle w:val="TextBody"/>
        <w:spacing w:before="120" w:after="0"/>
        <w:jc w:val="left"/>
        <w:rPr>
          <w:rFonts w:ascii="Times New Roman" w:hAnsi="Times New Roman"/>
          <w:spacing w:val="0"/>
          <w:sz w:val="20"/>
        </w:rPr>
      </w:pPr>
      <w:r>
        <w:rPr>
          <w:rFonts w:ascii="Times New Roman" w:hAnsi="Times New Roman"/>
          <w:spacing w:val="0"/>
          <w:sz w:val="20"/>
        </w:rPr>
        <w:t xml:space="preserve">None. </w:t>
      </w:r>
    </w:p>
    <w:p>
      <w:pPr>
        <w:pStyle w:val="TextBody"/>
        <w:spacing w:before="0" w:after="0"/>
        <w:jc w:val="left"/>
        <w:rPr>
          <w:spacing w:val="0"/>
        </w:rPr>
      </w:pPr>
      <w:r>
        <w:rPr>
          <w:spacing w:val="0"/>
        </w:rPr>
        <w:t> </w:t>
      </w:r>
    </w:p>
    <w:tbl>
      <w:tblPr>
        <w:tblW w:w="3280" w:type="dxa"/>
        <w:jc w:val="left"/>
        <w:tblInd w:w="0" w:type="dxa"/>
        <w:tblCellMar>
          <w:top w:w="0" w:type="dxa"/>
          <w:left w:w="0" w:type="dxa"/>
          <w:bottom w:w="0" w:type="dxa"/>
          <w:right w:w="0" w:type="dxa"/>
        </w:tblCellMar>
      </w:tblPr>
      <w:tblGrid>
        <w:gridCol w:w="1100"/>
        <w:gridCol w:w="2180"/>
      </w:tblGrid>
      <w:tr>
        <w:trPr/>
        <w:tc>
          <w:tcPr>
            <w:tcW w:w="1100" w:type="dxa"/>
            <w:tcBorders/>
            <w:shd w:fill="auto" w:val="clear"/>
            <w:vAlign w:val="center"/>
          </w:tcPr>
          <w:p>
            <w:pPr>
              <w:pStyle w:val="TableContents"/>
              <w:spacing w:before="0" w:after="0"/>
              <w:jc w:val="left"/>
              <w:rPr>
                <w:b/>
                <w:spacing w:val="0"/>
              </w:rPr>
            </w:pPr>
            <w:bookmarkStart w:id="14" w:name="tx120247_13"/>
            <w:bookmarkEnd w:id="14"/>
            <w:r>
              <w:rPr>
                <w:b/>
                <w:spacing w:val="0"/>
              </w:rPr>
              <w:t>ITEM 9A.</w:t>
            </w:r>
          </w:p>
        </w:tc>
        <w:tc>
          <w:tcPr>
            <w:tcW w:w="2180" w:type="dxa"/>
            <w:tcBorders/>
            <w:shd w:fill="auto" w:val="clear"/>
            <w:vAlign w:val="center"/>
          </w:tcPr>
          <w:p>
            <w:pPr>
              <w:pStyle w:val="TableContents"/>
              <w:spacing w:before="0" w:after="0"/>
              <w:jc w:val="left"/>
              <w:rPr>
                <w:rFonts w:ascii="Times New Roman" w:hAnsi="Times New Roman"/>
                <w:b/>
                <w:spacing w:val="0"/>
                <w:sz w:val="20"/>
              </w:rPr>
            </w:pPr>
            <w:r>
              <w:rPr>
                <w:rFonts w:ascii="Times New Roman" w:hAnsi="Times New Roman"/>
                <w:b/>
                <w:spacing w:val="0"/>
                <w:sz w:val="20"/>
              </w:rPr>
              <w:t xml:space="preserve">Controls and Procedures </w:t>
            </w:r>
          </w:p>
        </w:tc>
      </w:tr>
    </w:tbl>
    <w:p>
      <w:pPr>
        <w:pStyle w:val="TextBody"/>
        <w:spacing w:before="120" w:after="0"/>
        <w:jc w:val="left"/>
        <w:rPr>
          <w:rFonts w:ascii="Times New Roman" w:hAnsi="Times New Roman"/>
          <w:b/>
          <w:spacing w:val="0"/>
          <w:sz w:val="20"/>
        </w:rPr>
      </w:pPr>
      <w:r>
        <w:rPr>
          <w:rFonts w:ascii="Times New Roman" w:hAnsi="Times New Roman"/>
          <w:b/>
          <w:spacing w:val="0"/>
          <w:sz w:val="20"/>
        </w:rPr>
        <w:t xml:space="preserve">Disclosure Controls and Procedures </w:t>
      </w:r>
    </w:p>
    <w:p>
      <w:pPr>
        <w:pStyle w:val="TextBody"/>
        <w:spacing w:before="120" w:after="0"/>
        <w:jc w:val="left"/>
        <w:rPr>
          <w:rFonts w:ascii="Times New Roman" w:hAnsi="Times New Roman"/>
          <w:sz w:val="20"/>
        </w:rPr>
      </w:pPr>
      <w:r>
        <w:rPr>
          <w:rFonts w:ascii="Times New Roman" w:hAnsi="Times New Roman"/>
          <w:sz w:val="20"/>
        </w:rPr>
        <w:t xml:space="preserve">We maintain disclosure controls and procedures (as defined in Rule </w:t>
      </w:r>
    </w:p>
    <w:p>
      <w:pPr>
        <w:pStyle w:val="TextBody"/>
        <w:spacing w:before="120" w:after="0"/>
        <w:jc w:val="left"/>
        <w:rPr>
          <w:rFonts w:ascii="Times New Roman" w:hAnsi="Times New Roman"/>
          <w:spacing w:val="0"/>
          <w:sz w:val="20"/>
        </w:rPr>
      </w:pPr>
      <w:r>
        <w:rPr>
          <w:rFonts w:ascii="Times New Roman" w:hAnsi="Times New Roman"/>
          <w:spacing w:val="0"/>
          <w:sz w:val="20"/>
        </w:rPr>
        <w:t>13a-15(e)</w:t>
      </w:r>
    </w:p>
    <w:p>
      <w:pPr>
        <w:pStyle w:val="TextBody"/>
        <w:spacing w:before="120" w:after="0"/>
        <w:jc w:val="left"/>
        <w:rPr>
          <w:rFonts w:ascii="Times New Roman" w:hAnsi="Times New Roman"/>
          <w:sz w:val="20"/>
        </w:rPr>
      </w:pPr>
      <w:r>
        <w:rPr>
          <w:rFonts w:ascii="Times New Roman" w:hAnsi="Times New Roman"/>
          <w:sz w:val="20"/>
        </w:rPr>
        <w:t xml:space="preserve">and </w:t>
      </w:r>
    </w:p>
    <w:p>
      <w:pPr>
        <w:pStyle w:val="TextBody"/>
        <w:spacing w:before="120" w:after="0"/>
        <w:jc w:val="left"/>
        <w:rPr>
          <w:rFonts w:ascii="Times New Roman" w:hAnsi="Times New Roman"/>
          <w:spacing w:val="0"/>
          <w:sz w:val="20"/>
        </w:rPr>
      </w:pPr>
      <w:r>
        <w:rPr>
          <w:rFonts w:ascii="Times New Roman" w:hAnsi="Times New Roman"/>
          <w:spacing w:val="0"/>
          <w:sz w:val="20"/>
        </w:rPr>
        <w:t>15d-15(e)</w:t>
      </w:r>
    </w:p>
    <w:p>
      <w:pPr>
        <w:pStyle w:val="TextBody"/>
        <w:spacing w:before="120" w:after="0"/>
        <w:jc w:val="left"/>
        <w:rPr>
          <w:rFonts w:ascii="Times New Roman" w:hAnsi="Times New Roman"/>
          <w:sz w:val="20"/>
        </w:rPr>
      </w:pPr>
      <w:r>
        <w:rPr>
          <w:rFonts w:ascii="Times New Roman" w:hAnsi="Times New Roman"/>
          <w:sz w:val="20"/>
        </w:rPr>
        <w:t xml:space="preserve">under the Exchange Act) that are designed to ensure that information required to be disclosed in our Exchange Act reports is recorded, processed, summarized and reported within the time periods specified in the SEC’s rules and forms, and that such information is accumulated and communicated to management, including the Chief Executive Officer (CEO) and Chief Financial Officer (CFO), as appropriate, to allow timely decisions regarding required disclosure.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Our management, with the participation of our CEO and CFO, has evaluated the effectiveness of the design and operation of our disclosure controls and procedures as of January 31, 2021. Based upon that evaluation, our CEO and CFO concluded that, as of January 31, 2021, such disclosure controls and procedures were effective. </w:t>
      </w:r>
    </w:p>
    <w:p>
      <w:pPr>
        <w:pStyle w:val="TextBody"/>
        <w:spacing w:before="360" w:after="0"/>
        <w:jc w:val="left"/>
        <w:rPr>
          <w:rFonts w:ascii="Times New Roman" w:hAnsi="Times New Roman"/>
          <w:b/>
          <w:spacing w:val="0"/>
          <w:sz w:val="20"/>
        </w:rPr>
      </w:pPr>
      <w:r>
        <w:rPr>
          <w:rFonts w:ascii="Times New Roman" w:hAnsi="Times New Roman"/>
          <w:b/>
          <w:spacing w:val="0"/>
          <w:sz w:val="20"/>
        </w:rPr>
        <w:t xml:space="preserve">Management’s Report on Internal Control over Financial Reporting </w:t>
      </w:r>
    </w:p>
    <w:p>
      <w:pPr>
        <w:pStyle w:val="TextBody"/>
        <w:spacing w:before="120" w:after="0"/>
        <w:jc w:val="left"/>
        <w:rPr>
          <w:rFonts w:ascii="Times New Roman" w:hAnsi="Times New Roman"/>
          <w:sz w:val="20"/>
        </w:rPr>
      </w:pPr>
      <w:r>
        <w:rPr>
          <w:rFonts w:ascii="Times New Roman" w:hAnsi="Times New Roman"/>
          <w:sz w:val="20"/>
        </w:rPr>
        <w:t xml:space="preserve">Our management, including our CEO and CFO, is responsible for establishing and maintaining adequate internal control over financial reporting as defined in Rule </w:t>
      </w:r>
    </w:p>
    <w:p>
      <w:pPr>
        <w:pStyle w:val="TextBody"/>
        <w:spacing w:before="120" w:after="0"/>
        <w:jc w:val="left"/>
        <w:rPr>
          <w:rFonts w:ascii="Times New Roman" w:hAnsi="Times New Roman"/>
          <w:spacing w:val="0"/>
          <w:sz w:val="20"/>
        </w:rPr>
      </w:pPr>
      <w:r>
        <w:rPr>
          <w:rFonts w:ascii="Times New Roman" w:hAnsi="Times New Roman"/>
          <w:spacing w:val="0"/>
          <w:sz w:val="20"/>
        </w:rPr>
        <w:t>13a-15(f)</w:t>
      </w:r>
    </w:p>
    <w:p>
      <w:pPr>
        <w:pStyle w:val="TextBody"/>
        <w:spacing w:before="120" w:after="0"/>
        <w:jc w:val="left"/>
        <w:rPr>
          <w:rFonts w:ascii="Times New Roman" w:hAnsi="Times New Roman"/>
          <w:sz w:val="20"/>
        </w:rPr>
      </w:pPr>
      <w:r>
        <w:rPr>
          <w:rFonts w:ascii="Times New Roman" w:hAnsi="Times New Roman"/>
          <w:sz w:val="20"/>
        </w:rPr>
        <w:t xml:space="preserve">under the Exchange Act. Our system of internal control over financial reporting was designed to provide reasonable assurance regarding the preparation and fair presentation of published financial statements in accordance with GAAP. All internal control systems, no matter how well designed, have inherent limitations. Therefore, even those systems determined to be effective can provide only reasonable assurance and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 </w:t>
      </w:r>
    </w:p>
    <w:p>
      <w:pPr>
        <w:pStyle w:val="TextBody"/>
        <w:spacing w:before="240" w:after="0"/>
        <w:jc w:val="left"/>
        <w:rPr>
          <w:rFonts w:ascii="Times New Roman" w:hAnsi="Times New Roman"/>
          <w:sz w:val="20"/>
        </w:rPr>
      </w:pPr>
      <w:r>
        <w:rPr>
          <w:rFonts w:ascii="Times New Roman" w:hAnsi="Times New Roman"/>
          <w:sz w:val="20"/>
        </w:rPr>
        <w:t xml:space="preserve">Our management conducted an evaluation of the effectiveness of our internal control over financial reporting as of January 31, 2021 based on the framework in </w:t>
      </w:r>
    </w:p>
    <w:p>
      <w:pPr>
        <w:pStyle w:val="TextBody"/>
        <w:spacing w:before="24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Internal Control</w:t>
      </w:r>
    </w:p>
    <w:p>
      <w:pPr>
        <w:pStyle w:val="TextBody"/>
        <w:spacing w:before="240" w:after="0"/>
        <w:jc w:val="left"/>
        <w:rPr>
          <w:caps w:val="false"/>
          <w:smallCaps w:val="false"/>
          <w:spacing w:val="0"/>
        </w:rPr>
      </w:pPr>
      <w:r>
        <w:rPr>
          <w:caps w:val="false"/>
          <w:smallCaps w:val="false"/>
          <w:spacing w:val="0"/>
        </w:rPr>
        <w:t xml:space="preserve"> — </w:t>
      </w:r>
      <w:r>
        <w:rPr>
          <w:rFonts w:ascii="Times New Roman" w:hAnsi="Times New Roman"/>
          <w:i/>
          <w:caps w:val="false"/>
          <w:smallCaps w:val="false"/>
          <w:spacing w:val="0"/>
          <w:sz w:val="20"/>
        </w:rPr>
        <w:t>Integrated Framework (2013)</w:t>
      </w:r>
    </w:p>
    <w:p>
      <w:pPr>
        <w:pStyle w:val="TextBody"/>
        <w:spacing w:before="240" w:after="0"/>
        <w:jc w:val="left"/>
        <w:rPr>
          <w:rFonts w:ascii="Times New Roman" w:hAnsi="Times New Roman"/>
          <w:sz w:val="20"/>
        </w:rPr>
      </w:pPr>
      <w:r>
        <w:rPr>
          <w:rFonts w:ascii="Times New Roman" w:hAnsi="Times New Roman"/>
          <w:sz w:val="20"/>
        </w:rPr>
        <w:t xml:space="preserve">, issued by the Committee of Sponsoring Organizations of the Treadway Commission. This evaluation included documenting, evaluating, and testing the design and operating effectiveness of our internal control over financial reporting. Based on this evaluation, management concluded that our internal control over financial reporting was effective as of January 31, 2021.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Our independent registered public accounting firm, KPMG LLP, audited the effectiveness of our internal control over financial reporting as of January 31, 2021, as stated in their report which is included herein. </w:t>
      </w:r>
    </w:p>
    <w:p>
      <w:pPr>
        <w:pStyle w:val="TextBody"/>
        <w:spacing w:before="360" w:after="0"/>
        <w:jc w:val="left"/>
        <w:rPr>
          <w:rFonts w:ascii="Times New Roman" w:hAnsi="Times New Roman"/>
          <w:b/>
          <w:spacing w:val="0"/>
          <w:sz w:val="20"/>
        </w:rPr>
      </w:pPr>
      <w:r>
        <w:rPr>
          <w:rFonts w:ascii="Times New Roman" w:hAnsi="Times New Roman"/>
          <w:b/>
          <w:spacing w:val="0"/>
          <w:sz w:val="20"/>
        </w:rPr>
        <w:t xml:space="preserve">Changes in Internal Control over Financial Reporting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There have been no changes in our internal control over financial reporting that occurred during our fourth fiscal quarter that have materially affected, or are reasonably likely to materially affect, our internal control over financial reporting. </w:t>
      </w:r>
    </w:p>
    <w:p>
      <w:pPr>
        <w:pStyle w:val="TextBody"/>
        <w:spacing w:before="0" w:after="0"/>
        <w:jc w:val="left"/>
        <w:rPr>
          <w:spacing w:val="0"/>
        </w:rPr>
      </w:pPr>
      <w:r>
        <w:rPr>
          <w:spacing w:val="0"/>
        </w:rPr>
        <w:t> </w:t>
      </w:r>
    </w:p>
    <w:tbl>
      <w:tblPr>
        <w:tblW w:w="2740" w:type="dxa"/>
        <w:jc w:val="left"/>
        <w:tblInd w:w="0" w:type="dxa"/>
        <w:tblCellMar>
          <w:top w:w="0" w:type="dxa"/>
          <w:left w:w="0" w:type="dxa"/>
          <w:bottom w:w="0" w:type="dxa"/>
          <w:right w:w="0" w:type="dxa"/>
        </w:tblCellMar>
      </w:tblPr>
      <w:tblGrid>
        <w:gridCol w:w="1085"/>
        <w:gridCol w:w="1655"/>
      </w:tblGrid>
      <w:tr>
        <w:trPr/>
        <w:tc>
          <w:tcPr>
            <w:tcW w:w="1085" w:type="dxa"/>
            <w:tcBorders/>
            <w:shd w:fill="auto" w:val="clear"/>
            <w:vAlign w:val="center"/>
          </w:tcPr>
          <w:p>
            <w:pPr>
              <w:pStyle w:val="TableContents"/>
              <w:spacing w:before="0" w:after="0"/>
              <w:jc w:val="left"/>
              <w:rPr>
                <w:b/>
                <w:spacing w:val="0"/>
              </w:rPr>
            </w:pPr>
            <w:bookmarkStart w:id="15" w:name="tx120247_14"/>
            <w:bookmarkEnd w:id="15"/>
            <w:r>
              <w:rPr>
                <w:b/>
                <w:spacing w:val="0"/>
              </w:rPr>
              <w:t>ITEM 9B.</w:t>
            </w:r>
          </w:p>
        </w:tc>
        <w:tc>
          <w:tcPr>
            <w:tcW w:w="1655" w:type="dxa"/>
            <w:tcBorders/>
            <w:shd w:fill="auto" w:val="clear"/>
            <w:vAlign w:val="center"/>
          </w:tcPr>
          <w:p>
            <w:pPr>
              <w:pStyle w:val="TableContents"/>
              <w:spacing w:before="0" w:after="0"/>
              <w:jc w:val="left"/>
              <w:rPr>
                <w:rFonts w:ascii="Times New Roman" w:hAnsi="Times New Roman"/>
                <w:b/>
                <w:spacing w:val="0"/>
                <w:sz w:val="20"/>
              </w:rPr>
            </w:pPr>
            <w:r>
              <w:rPr>
                <w:rFonts w:ascii="Times New Roman" w:hAnsi="Times New Roman"/>
                <w:b/>
                <w:spacing w:val="0"/>
                <w:sz w:val="20"/>
              </w:rPr>
              <w:t xml:space="preserve">Other Information </w:t>
            </w:r>
          </w:p>
        </w:tc>
      </w:tr>
    </w:tbl>
    <w:p>
      <w:pPr>
        <w:pStyle w:val="TextBody"/>
        <w:spacing w:before="240" w:after="0"/>
        <w:jc w:val="left"/>
        <w:rPr>
          <w:rFonts w:ascii="Times New Roman" w:hAnsi="Times New Roman"/>
          <w:spacing w:val="0"/>
          <w:sz w:val="20"/>
        </w:rPr>
      </w:pPr>
      <w:r>
        <w:rPr>
          <w:rFonts w:ascii="Times New Roman" w:hAnsi="Times New Roman"/>
          <w:spacing w:val="0"/>
          <w:sz w:val="20"/>
        </w:rPr>
        <w:t xml:space="preserve">None.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52 </w:t>
      </w:r>
    </w:p>
    <w:p>
      <w:pPr>
        <w:pStyle w:val="HorizontalLine"/>
        <w:rPr/>
      </w:pPr>
      <w:r>
        <w:rPr/>
      </w:r>
    </w:p>
    <w:p>
      <w:pPr>
        <w:pStyle w:val="TextBody"/>
        <w:spacing w:before="0" w:after="0"/>
        <w:rPr/>
      </w:pPr>
      <w:hyperlink w:anchor="toc">
        <w:r>
          <w:rPr>
            <w:rStyle w:val="InternetLink"/>
            <w:b/>
            <w:sz w:val="20"/>
          </w:rPr>
          <w:t>Table of Contents</w:t>
        </w:r>
      </w:hyperlink>
    </w:p>
    <w:p>
      <w:pPr>
        <w:pStyle w:val="TextBody"/>
        <w:spacing w:before="0" w:after="0"/>
        <w:jc w:val="center"/>
        <w:rPr>
          <w:rFonts w:ascii="Times New Roman" w:hAnsi="Times New Roman"/>
          <w:b/>
          <w:spacing w:val="0"/>
          <w:sz w:val="20"/>
        </w:rPr>
      </w:pPr>
      <w:r>
        <w:rPr>
          <w:rFonts w:ascii="Times New Roman" w:hAnsi="Times New Roman"/>
          <w:b/>
          <w:spacing w:val="0"/>
          <w:sz w:val="20"/>
        </w:rPr>
        <w:t xml:space="preserve">PART III </w:t>
      </w:r>
    </w:p>
    <w:p>
      <w:pPr>
        <w:pStyle w:val="TextBody"/>
        <w:spacing w:before="0" w:after="0"/>
        <w:jc w:val="left"/>
        <w:rPr>
          <w:spacing w:val="0"/>
        </w:rPr>
      </w:pPr>
      <w:r>
        <w:rPr>
          <w:spacing w:val="0"/>
        </w:rPr>
        <w:t> </w:t>
      </w:r>
    </w:p>
    <w:tbl>
      <w:tblPr>
        <w:tblW w:w="5935" w:type="dxa"/>
        <w:jc w:val="left"/>
        <w:tblInd w:w="0" w:type="dxa"/>
        <w:tblCellMar>
          <w:top w:w="0" w:type="dxa"/>
          <w:left w:w="0" w:type="dxa"/>
          <w:bottom w:w="0" w:type="dxa"/>
          <w:right w:w="0" w:type="dxa"/>
        </w:tblCellMar>
      </w:tblPr>
      <w:tblGrid>
        <w:gridCol w:w="1040"/>
        <w:gridCol w:w="4895"/>
      </w:tblGrid>
      <w:tr>
        <w:trPr/>
        <w:tc>
          <w:tcPr>
            <w:tcW w:w="1040" w:type="dxa"/>
            <w:tcBorders/>
            <w:shd w:fill="auto" w:val="clear"/>
            <w:vAlign w:val="center"/>
          </w:tcPr>
          <w:p>
            <w:pPr>
              <w:pStyle w:val="TableContents"/>
              <w:spacing w:before="0" w:after="0"/>
              <w:jc w:val="left"/>
              <w:rPr>
                <w:b/>
                <w:spacing w:val="0"/>
              </w:rPr>
            </w:pPr>
            <w:bookmarkStart w:id="16" w:name="tx120247_15"/>
            <w:bookmarkEnd w:id="16"/>
            <w:r>
              <w:rPr>
                <w:b/>
                <w:spacing w:val="0"/>
              </w:rPr>
              <w:t>ITEM 10.</w:t>
            </w:r>
          </w:p>
        </w:tc>
        <w:tc>
          <w:tcPr>
            <w:tcW w:w="4895" w:type="dxa"/>
            <w:tcBorders/>
            <w:shd w:fill="auto" w:val="clear"/>
            <w:vAlign w:val="center"/>
          </w:tcPr>
          <w:p>
            <w:pPr>
              <w:pStyle w:val="TableContents"/>
              <w:spacing w:before="0" w:after="0"/>
              <w:jc w:val="left"/>
              <w:rPr>
                <w:rFonts w:ascii="Times New Roman" w:hAnsi="Times New Roman"/>
                <w:b/>
                <w:spacing w:val="0"/>
                <w:sz w:val="20"/>
              </w:rPr>
            </w:pPr>
            <w:r>
              <w:rPr>
                <w:rFonts w:ascii="Times New Roman" w:hAnsi="Times New Roman"/>
                <w:b/>
                <w:spacing w:val="0"/>
                <w:sz w:val="20"/>
              </w:rPr>
              <w:t xml:space="preserve">Directors, Executive Officers and Corporate Governance </w:t>
            </w:r>
          </w:p>
        </w:tc>
      </w:tr>
    </w:tbl>
    <w:p>
      <w:pPr>
        <w:pStyle w:val="TextBody"/>
        <w:spacing w:before="120" w:after="0"/>
        <w:jc w:val="left"/>
        <w:rPr>
          <w:rFonts w:ascii="Times New Roman" w:hAnsi="Times New Roman"/>
          <w:spacing w:val="0"/>
          <w:sz w:val="20"/>
        </w:rPr>
      </w:pPr>
      <w:r>
        <w:rPr>
          <w:rFonts w:ascii="Times New Roman" w:hAnsi="Times New Roman"/>
          <w:spacing w:val="0"/>
          <w:sz w:val="20"/>
        </w:rPr>
        <w:t xml:space="preserve">The information required by Item 10 is incorporated herein by reference to the sections entitled “Proposal No. 1—Election of Directors”, “Directors and Corporate Governance”, “Executive Officers” and “Executive Compensation” in the Proxy Statement. </w:t>
      </w:r>
    </w:p>
    <w:p>
      <w:pPr>
        <w:pStyle w:val="TextBody"/>
        <w:spacing w:before="0" w:after="0"/>
        <w:jc w:val="left"/>
        <w:rPr>
          <w:spacing w:val="0"/>
        </w:rPr>
      </w:pPr>
      <w:r>
        <w:rPr>
          <w:spacing w:val="0"/>
        </w:rPr>
        <w:t> </w:t>
      </w:r>
    </w:p>
    <w:tbl>
      <w:tblPr>
        <w:tblW w:w="3220" w:type="dxa"/>
        <w:jc w:val="left"/>
        <w:tblInd w:w="0" w:type="dxa"/>
        <w:tblCellMar>
          <w:top w:w="0" w:type="dxa"/>
          <w:left w:w="0" w:type="dxa"/>
          <w:bottom w:w="0" w:type="dxa"/>
          <w:right w:w="0" w:type="dxa"/>
        </w:tblCellMar>
      </w:tblPr>
      <w:tblGrid>
        <w:gridCol w:w="1040"/>
        <w:gridCol w:w="2180"/>
      </w:tblGrid>
      <w:tr>
        <w:trPr/>
        <w:tc>
          <w:tcPr>
            <w:tcW w:w="1040" w:type="dxa"/>
            <w:tcBorders/>
            <w:shd w:fill="auto" w:val="clear"/>
            <w:vAlign w:val="center"/>
          </w:tcPr>
          <w:p>
            <w:pPr>
              <w:pStyle w:val="TableContents"/>
              <w:spacing w:before="0" w:after="0"/>
              <w:jc w:val="left"/>
              <w:rPr>
                <w:b/>
                <w:spacing w:val="0"/>
              </w:rPr>
            </w:pPr>
            <w:bookmarkStart w:id="17" w:name="tx120247_16"/>
            <w:bookmarkEnd w:id="17"/>
            <w:r>
              <w:rPr>
                <w:b/>
                <w:spacing w:val="0"/>
              </w:rPr>
              <w:t>ITEM 11.</w:t>
            </w:r>
          </w:p>
        </w:tc>
        <w:tc>
          <w:tcPr>
            <w:tcW w:w="2180" w:type="dxa"/>
            <w:tcBorders/>
            <w:shd w:fill="auto" w:val="clear"/>
            <w:vAlign w:val="center"/>
          </w:tcPr>
          <w:p>
            <w:pPr>
              <w:pStyle w:val="TableContents"/>
              <w:spacing w:before="0" w:after="0"/>
              <w:jc w:val="left"/>
              <w:rPr>
                <w:rFonts w:ascii="Times New Roman" w:hAnsi="Times New Roman"/>
                <w:b/>
                <w:spacing w:val="0"/>
                <w:sz w:val="20"/>
              </w:rPr>
            </w:pPr>
            <w:r>
              <w:rPr>
                <w:rFonts w:ascii="Times New Roman" w:hAnsi="Times New Roman"/>
                <w:b/>
                <w:spacing w:val="0"/>
                <w:sz w:val="20"/>
              </w:rPr>
              <w:t xml:space="preserve">Executive Compensation </w:t>
            </w:r>
          </w:p>
        </w:tc>
      </w:tr>
    </w:tbl>
    <w:p>
      <w:pPr>
        <w:pStyle w:val="TextBody"/>
        <w:spacing w:before="120" w:after="0"/>
        <w:jc w:val="left"/>
        <w:rPr>
          <w:rFonts w:ascii="Times New Roman" w:hAnsi="Times New Roman"/>
          <w:spacing w:val="0"/>
          <w:sz w:val="20"/>
        </w:rPr>
      </w:pPr>
      <w:r>
        <w:rPr>
          <w:rFonts w:ascii="Times New Roman" w:hAnsi="Times New Roman"/>
          <w:spacing w:val="0"/>
          <w:sz w:val="20"/>
        </w:rPr>
        <w:t xml:space="preserve">The information required by Item 11 is incorporated herein by reference to the sections entitled “Proposal No. 1—Election of Directors”, “Directors and Corporate Governance” and “Executive Compensation” in the Proxy Statement. </w:t>
      </w:r>
    </w:p>
    <w:p>
      <w:pPr>
        <w:pStyle w:val="TextBody"/>
        <w:spacing w:before="0" w:after="0"/>
        <w:jc w:val="left"/>
        <w:rPr>
          <w:spacing w:val="0"/>
        </w:rPr>
      </w:pPr>
      <w:r>
        <w:rPr>
          <w:spacing w:val="0"/>
        </w:rPr>
        <w:t> </w:t>
      </w:r>
    </w:p>
    <w:tbl>
      <w:tblPr>
        <w:tblW w:w="9610" w:type="dxa"/>
        <w:jc w:val="left"/>
        <w:tblInd w:w="0" w:type="dxa"/>
        <w:tblCellMar>
          <w:top w:w="0" w:type="dxa"/>
          <w:left w:w="0" w:type="dxa"/>
          <w:bottom w:w="0" w:type="dxa"/>
          <w:right w:w="0" w:type="dxa"/>
        </w:tblCellMar>
      </w:tblPr>
      <w:tblGrid>
        <w:gridCol w:w="1040"/>
        <w:gridCol w:w="8570"/>
      </w:tblGrid>
      <w:tr>
        <w:trPr/>
        <w:tc>
          <w:tcPr>
            <w:tcW w:w="1040" w:type="dxa"/>
            <w:tcBorders/>
            <w:shd w:fill="auto" w:val="clear"/>
            <w:vAlign w:val="center"/>
          </w:tcPr>
          <w:p>
            <w:pPr>
              <w:pStyle w:val="TableContents"/>
              <w:spacing w:before="0" w:after="0"/>
              <w:jc w:val="left"/>
              <w:rPr>
                <w:b/>
                <w:spacing w:val="0"/>
              </w:rPr>
            </w:pPr>
            <w:bookmarkStart w:id="18" w:name="tx120247_17"/>
            <w:bookmarkEnd w:id="18"/>
            <w:r>
              <w:rPr>
                <w:b/>
                <w:spacing w:val="0"/>
              </w:rPr>
              <w:t>ITEM 12.</w:t>
            </w:r>
          </w:p>
        </w:tc>
        <w:tc>
          <w:tcPr>
            <w:tcW w:w="8570" w:type="dxa"/>
            <w:tcBorders/>
            <w:shd w:fill="auto" w:val="clear"/>
            <w:vAlign w:val="center"/>
          </w:tcPr>
          <w:p>
            <w:pPr>
              <w:pStyle w:val="TableContents"/>
              <w:spacing w:before="0" w:after="0"/>
              <w:jc w:val="left"/>
              <w:rPr>
                <w:rFonts w:ascii="Times New Roman" w:hAnsi="Times New Roman"/>
                <w:b/>
                <w:spacing w:val="0"/>
                <w:sz w:val="20"/>
              </w:rPr>
            </w:pPr>
            <w:r>
              <w:rPr>
                <w:rFonts w:ascii="Times New Roman" w:hAnsi="Times New Roman"/>
                <w:b/>
                <w:spacing w:val="0"/>
                <w:sz w:val="20"/>
              </w:rPr>
              <w:t xml:space="preserve">Security Ownership of Certain Beneficial Owners and Management and Related Stockholder Matters </w:t>
            </w:r>
          </w:p>
        </w:tc>
      </w:tr>
    </w:tbl>
    <w:p>
      <w:pPr>
        <w:pStyle w:val="TextBody"/>
        <w:spacing w:before="120" w:after="0"/>
        <w:jc w:val="left"/>
        <w:rPr>
          <w:rFonts w:ascii="Times New Roman" w:hAnsi="Times New Roman"/>
          <w:spacing w:val="0"/>
          <w:sz w:val="20"/>
        </w:rPr>
      </w:pPr>
      <w:r>
        <w:rPr>
          <w:rFonts w:ascii="Times New Roman" w:hAnsi="Times New Roman"/>
          <w:spacing w:val="0"/>
          <w:sz w:val="20"/>
        </w:rPr>
        <w:t xml:space="preserve">The information required by Item 12 is incorporated herein by reference to the sections entitled “Executive Compensation” and “Security Ownership of Certain Beneficial Owners and Management” in the Proxy Statement. </w:t>
      </w:r>
    </w:p>
    <w:p>
      <w:pPr>
        <w:pStyle w:val="TextBody"/>
        <w:spacing w:before="0" w:after="0"/>
        <w:jc w:val="left"/>
        <w:rPr>
          <w:spacing w:val="0"/>
        </w:rPr>
      </w:pPr>
      <w:r>
        <w:rPr>
          <w:spacing w:val="0"/>
        </w:rPr>
        <w:t> </w:t>
      </w:r>
    </w:p>
    <w:tbl>
      <w:tblPr>
        <w:tblW w:w="7525" w:type="dxa"/>
        <w:jc w:val="left"/>
        <w:tblInd w:w="0" w:type="dxa"/>
        <w:tblCellMar>
          <w:top w:w="0" w:type="dxa"/>
          <w:left w:w="0" w:type="dxa"/>
          <w:bottom w:w="0" w:type="dxa"/>
          <w:right w:w="0" w:type="dxa"/>
        </w:tblCellMar>
      </w:tblPr>
      <w:tblGrid>
        <w:gridCol w:w="1040"/>
        <w:gridCol w:w="6485"/>
      </w:tblGrid>
      <w:tr>
        <w:trPr/>
        <w:tc>
          <w:tcPr>
            <w:tcW w:w="1040" w:type="dxa"/>
            <w:tcBorders/>
            <w:shd w:fill="auto" w:val="clear"/>
            <w:vAlign w:val="center"/>
          </w:tcPr>
          <w:p>
            <w:pPr>
              <w:pStyle w:val="TableContents"/>
              <w:spacing w:before="0" w:after="0"/>
              <w:jc w:val="left"/>
              <w:rPr>
                <w:b/>
                <w:spacing w:val="0"/>
              </w:rPr>
            </w:pPr>
            <w:bookmarkStart w:id="19" w:name="tx120247_18"/>
            <w:bookmarkEnd w:id="19"/>
            <w:r>
              <w:rPr>
                <w:b/>
                <w:spacing w:val="0"/>
              </w:rPr>
              <w:t>ITEM 13.</w:t>
            </w:r>
          </w:p>
        </w:tc>
        <w:tc>
          <w:tcPr>
            <w:tcW w:w="6485" w:type="dxa"/>
            <w:tcBorders/>
            <w:shd w:fill="auto" w:val="clear"/>
            <w:vAlign w:val="center"/>
          </w:tcPr>
          <w:p>
            <w:pPr>
              <w:pStyle w:val="TableContents"/>
              <w:spacing w:before="0" w:after="0"/>
              <w:jc w:val="left"/>
              <w:rPr>
                <w:rFonts w:ascii="Times New Roman" w:hAnsi="Times New Roman"/>
                <w:b/>
                <w:spacing w:val="0"/>
                <w:sz w:val="20"/>
              </w:rPr>
            </w:pPr>
            <w:r>
              <w:rPr>
                <w:rFonts w:ascii="Times New Roman" w:hAnsi="Times New Roman"/>
                <w:b/>
                <w:spacing w:val="0"/>
                <w:sz w:val="20"/>
              </w:rPr>
              <w:t xml:space="preserve">Certain Relationships and Related Transactions, and Director Independence </w:t>
            </w:r>
          </w:p>
        </w:tc>
      </w:tr>
    </w:tbl>
    <w:p>
      <w:pPr>
        <w:pStyle w:val="TextBody"/>
        <w:spacing w:before="120" w:after="0"/>
        <w:jc w:val="left"/>
        <w:rPr>
          <w:rFonts w:ascii="Times New Roman" w:hAnsi="Times New Roman"/>
          <w:spacing w:val="0"/>
          <w:sz w:val="20"/>
        </w:rPr>
      </w:pPr>
      <w:r>
        <w:rPr>
          <w:rFonts w:ascii="Times New Roman" w:hAnsi="Times New Roman"/>
          <w:spacing w:val="0"/>
          <w:sz w:val="20"/>
        </w:rPr>
        <w:t xml:space="preserve">The information required by Item 13 is incorporated herein by reference to the sections entitled “Directors and Corporate Governance” and “Transactions with Related Persons” in the Proxy Statement. </w:t>
      </w:r>
    </w:p>
    <w:p>
      <w:pPr>
        <w:pStyle w:val="TextBody"/>
        <w:spacing w:before="0" w:after="0"/>
        <w:jc w:val="left"/>
        <w:rPr>
          <w:spacing w:val="0"/>
        </w:rPr>
      </w:pPr>
      <w:r>
        <w:rPr>
          <w:spacing w:val="0"/>
        </w:rPr>
        <w:t> </w:t>
      </w:r>
    </w:p>
    <w:tbl>
      <w:tblPr>
        <w:tblW w:w="4450" w:type="dxa"/>
        <w:jc w:val="left"/>
        <w:tblInd w:w="0" w:type="dxa"/>
        <w:tblCellMar>
          <w:top w:w="0" w:type="dxa"/>
          <w:left w:w="0" w:type="dxa"/>
          <w:bottom w:w="0" w:type="dxa"/>
          <w:right w:w="0" w:type="dxa"/>
        </w:tblCellMar>
      </w:tblPr>
      <w:tblGrid>
        <w:gridCol w:w="1040"/>
        <w:gridCol w:w="3410"/>
      </w:tblGrid>
      <w:tr>
        <w:trPr/>
        <w:tc>
          <w:tcPr>
            <w:tcW w:w="1040" w:type="dxa"/>
            <w:tcBorders/>
            <w:shd w:fill="auto" w:val="clear"/>
            <w:vAlign w:val="center"/>
          </w:tcPr>
          <w:p>
            <w:pPr>
              <w:pStyle w:val="TableContents"/>
              <w:spacing w:before="0" w:after="0"/>
              <w:jc w:val="left"/>
              <w:rPr>
                <w:b/>
                <w:spacing w:val="0"/>
              </w:rPr>
            </w:pPr>
            <w:bookmarkStart w:id="20" w:name="tx120247_19"/>
            <w:bookmarkEnd w:id="20"/>
            <w:r>
              <w:rPr>
                <w:b/>
                <w:spacing w:val="0"/>
              </w:rPr>
              <w:t>ITEM 14.</w:t>
            </w:r>
          </w:p>
        </w:tc>
        <w:tc>
          <w:tcPr>
            <w:tcW w:w="3410" w:type="dxa"/>
            <w:tcBorders/>
            <w:shd w:fill="auto" w:val="clear"/>
            <w:vAlign w:val="center"/>
          </w:tcPr>
          <w:p>
            <w:pPr>
              <w:pStyle w:val="TableContents"/>
              <w:spacing w:before="0" w:after="0"/>
              <w:jc w:val="left"/>
              <w:rPr>
                <w:rFonts w:ascii="Times New Roman" w:hAnsi="Times New Roman"/>
                <w:b/>
                <w:spacing w:val="0"/>
                <w:sz w:val="20"/>
              </w:rPr>
            </w:pPr>
            <w:r>
              <w:rPr>
                <w:rFonts w:ascii="Times New Roman" w:hAnsi="Times New Roman"/>
                <w:b/>
                <w:spacing w:val="0"/>
                <w:sz w:val="20"/>
              </w:rPr>
              <w:t xml:space="preserve">Principal Accountant Fees and Services </w:t>
            </w:r>
          </w:p>
        </w:tc>
      </w:tr>
    </w:tbl>
    <w:p>
      <w:pPr>
        <w:pStyle w:val="TextBody"/>
        <w:spacing w:before="120" w:after="0"/>
        <w:jc w:val="left"/>
        <w:rPr>
          <w:rFonts w:ascii="Times New Roman" w:hAnsi="Times New Roman"/>
          <w:spacing w:val="0"/>
          <w:sz w:val="20"/>
        </w:rPr>
      </w:pPr>
      <w:r>
        <w:rPr>
          <w:rFonts w:ascii="Times New Roman" w:hAnsi="Times New Roman"/>
          <w:spacing w:val="0"/>
          <w:sz w:val="20"/>
        </w:rPr>
        <w:t xml:space="preserve">The information required by Item 14 is incorporated herein by reference to the section entitled “Proposal No. 2 – Ratification of Appointment of Independent Registered Public Accounting Firm” in the Proxy Statement.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53 </w:t>
      </w:r>
    </w:p>
    <w:p>
      <w:pPr>
        <w:pStyle w:val="HorizontalLine"/>
        <w:rPr/>
      </w:pPr>
      <w:r>
        <w:rPr/>
      </w:r>
    </w:p>
    <w:p>
      <w:pPr>
        <w:pStyle w:val="TextBody"/>
        <w:spacing w:before="0" w:after="0"/>
        <w:rPr/>
      </w:pPr>
      <w:hyperlink w:anchor="toc">
        <w:r>
          <w:rPr>
            <w:rStyle w:val="InternetLink"/>
            <w:b/>
            <w:sz w:val="20"/>
          </w:rPr>
          <w:t>Table of Contents</w:t>
        </w:r>
      </w:hyperlink>
    </w:p>
    <w:p>
      <w:pPr>
        <w:pStyle w:val="TextBody"/>
        <w:spacing w:before="0" w:after="0"/>
        <w:jc w:val="center"/>
        <w:rPr>
          <w:rFonts w:ascii="Times New Roman" w:hAnsi="Times New Roman"/>
          <w:b/>
          <w:spacing w:val="0"/>
          <w:sz w:val="20"/>
        </w:rPr>
      </w:pPr>
      <w:r>
        <w:rPr>
          <w:rFonts w:ascii="Times New Roman" w:hAnsi="Times New Roman"/>
          <w:b/>
          <w:spacing w:val="0"/>
          <w:sz w:val="20"/>
        </w:rPr>
        <w:t xml:space="preserve">PART IV </w:t>
      </w:r>
    </w:p>
    <w:p>
      <w:pPr>
        <w:pStyle w:val="TextBody"/>
        <w:spacing w:before="0" w:after="0"/>
        <w:jc w:val="left"/>
        <w:rPr>
          <w:spacing w:val="0"/>
        </w:rPr>
      </w:pPr>
      <w:r>
        <w:rPr>
          <w:spacing w:val="0"/>
        </w:rPr>
        <w:t> </w:t>
      </w:r>
    </w:p>
    <w:tbl>
      <w:tblPr>
        <w:tblW w:w="4795" w:type="dxa"/>
        <w:jc w:val="left"/>
        <w:tblInd w:w="0" w:type="dxa"/>
        <w:tblCellMar>
          <w:top w:w="0" w:type="dxa"/>
          <w:left w:w="0" w:type="dxa"/>
          <w:bottom w:w="0" w:type="dxa"/>
          <w:right w:w="0" w:type="dxa"/>
        </w:tblCellMar>
      </w:tblPr>
      <w:tblGrid>
        <w:gridCol w:w="1040"/>
        <w:gridCol w:w="3755"/>
      </w:tblGrid>
      <w:tr>
        <w:trPr/>
        <w:tc>
          <w:tcPr>
            <w:tcW w:w="1040" w:type="dxa"/>
            <w:tcBorders/>
            <w:shd w:fill="auto" w:val="clear"/>
            <w:vAlign w:val="center"/>
          </w:tcPr>
          <w:p>
            <w:pPr>
              <w:pStyle w:val="TableContents"/>
              <w:spacing w:before="0" w:after="0"/>
              <w:jc w:val="left"/>
              <w:rPr>
                <w:b/>
                <w:spacing w:val="0"/>
              </w:rPr>
            </w:pPr>
            <w:bookmarkStart w:id="21" w:name="tx120247_20"/>
            <w:bookmarkEnd w:id="21"/>
            <w:r>
              <w:rPr>
                <w:b/>
                <w:spacing w:val="0"/>
              </w:rPr>
              <w:t>ITEM 15.</w:t>
            </w:r>
          </w:p>
        </w:tc>
        <w:tc>
          <w:tcPr>
            <w:tcW w:w="3755" w:type="dxa"/>
            <w:tcBorders/>
            <w:shd w:fill="auto" w:val="clear"/>
            <w:vAlign w:val="center"/>
          </w:tcPr>
          <w:p>
            <w:pPr>
              <w:pStyle w:val="TableContents"/>
              <w:spacing w:before="0" w:after="0"/>
              <w:jc w:val="left"/>
              <w:rPr>
                <w:rFonts w:ascii="Times New Roman" w:hAnsi="Times New Roman"/>
                <w:b/>
                <w:spacing w:val="0"/>
                <w:sz w:val="20"/>
              </w:rPr>
            </w:pPr>
            <w:r>
              <w:rPr>
                <w:rFonts w:ascii="Times New Roman" w:hAnsi="Times New Roman"/>
                <w:b/>
                <w:spacing w:val="0"/>
                <w:sz w:val="20"/>
              </w:rPr>
              <w:t xml:space="preserve">Exhibits and Financial Statement Schedules </w:t>
            </w:r>
          </w:p>
        </w:tc>
      </w:tr>
    </w:tbl>
    <w:p>
      <w:pPr>
        <w:pStyle w:val="TextBody"/>
        <w:spacing w:before="0" w:after="0"/>
        <w:jc w:val="left"/>
        <w:rPr>
          <w:spacing w:val="0"/>
        </w:rPr>
      </w:pPr>
      <w:r>
        <w:rPr>
          <w:spacing w:val="0"/>
        </w:rPr>
        <w:t> </w:t>
      </w:r>
    </w:p>
    <w:tbl>
      <w:tblPr>
        <w:tblW w:w="2140" w:type="dxa"/>
        <w:jc w:val="left"/>
        <w:tblInd w:w="0" w:type="dxa"/>
        <w:tblCellMar>
          <w:top w:w="0" w:type="dxa"/>
          <w:left w:w="0" w:type="dxa"/>
          <w:bottom w:w="0" w:type="dxa"/>
          <w:right w:w="0" w:type="dxa"/>
        </w:tblCellMar>
      </w:tblPr>
      <w:tblGrid>
        <w:gridCol w:w="75"/>
        <w:gridCol w:w="290"/>
        <w:gridCol w:w="1775"/>
      </w:tblGrid>
      <w:tr>
        <w:trPr/>
        <w:tc>
          <w:tcPr>
            <w:tcW w:w="75" w:type="dxa"/>
            <w:tcBorders/>
            <w:shd w:fill="auto" w:val="clear"/>
            <w:vAlign w:val="center"/>
          </w:tcPr>
          <w:p>
            <w:pPr>
              <w:pStyle w:val="TableContents"/>
              <w:spacing w:before="0" w:after="283"/>
              <w:rPr/>
            </w:pPr>
            <w:r>
              <w:rPr/>
              <w:t> </w:t>
            </w:r>
          </w:p>
        </w:tc>
        <w:tc>
          <w:tcPr>
            <w:tcW w:w="290" w:type="dxa"/>
            <w:tcBorders/>
            <w:shd w:fill="auto" w:val="clear"/>
            <w:vAlign w:val="center"/>
          </w:tcPr>
          <w:p>
            <w:pPr>
              <w:pStyle w:val="TableContents"/>
              <w:spacing w:before="0" w:after="283"/>
              <w:jc w:val="left"/>
              <w:rPr/>
            </w:pPr>
            <w:r>
              <w:rPr/>
              <w:t>(1)</w:t>
            </w:r>
          </w:p>
        </w:tc>
        <w:tc>
          <w:tcPr>
            <w:tcW w:w="1775"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Financial Statements </w:t>
            </w:r>
          </w:p>
        </w:tc>
      </w:tr>
    </w:tbl>
    <w:p>
      <w:pPr>
        <w:pStyle w:val="TextBody"/>
        <w:spacing w:before="120" w:after="0"/>
        <w:jc w:val="left"/>
        <w:rPr>
          <w:rFonts w:ascii="Times New Roman" w:hAnsi="Times New Roman"/>
          <w:sz w:val="20"/>
        </w:rPr>
      </w:pPr>
      <w:r>
        <w:rPr>
          <w:rFonts w:ascii="Times New Roman" w:hAnsi="Times New Roman"/>
          <w:sz w:val="20"/>
        </w:rPr>
        <w:t xml:space="preserve">See Pages </w:t>
      </w:r>
    </w:p>
    <w:p>
      <w:pPr>
        <w:pStyle w:val="TextBody"/>
        <w:spacing w:before="120" w:after="0"/>
        <w:jc w:val="left"/>
        <w:rPr>
          <w:rFonts w:ascii="Times New Roman" w:hAnsi="Times New Roman"/>
          <w:spacing w:val="0"/>
          <w:sz w:val="20"/>
        </w:rPr>
      </w:pPr>
      <w:r>
        <w:rPr>
          <w:rFonts w:ascii="Times New Roman" w:hAnsi="Times New Roman"/>
          <w:spacing w:val="0"/>
          <w:sz w:val="20"/>
        </w:rPr>
        <w:t>F-1</w:t>
      </w:r>
    </w:p>
    <w:p>
      <w:pPr>
        <w:pStyle w:val="TextBody"/>
        <w:spacing w:before="120" w:after="0"/>
        <w:jc w:val="left"/>
        <w:rPr>
          <w:rFonts w:ascii="Times New Roman" w:hAnsi="Times New Roman"/>
          <w:sz w:val="20"/>
        </w:rPr>
      </w:pPr>
      <w:r>
        <w:rPr>
          <w:rFonts w:ascii="Times New Roman" w:hAnsi="Times New Roman"/>
          <w:sz w:val="20"/>
        </w:rPr>
        <w:t xml:space="preserve">to </w:t>
      </w:r>
    </w:p>
    <w:p>
      <w:pPr>
        <w:pStyle w:val="TextBody"/>
        <w:spacing w:before="120" w:after="0"/>
        <w:jc w:val="left"/>
        <w:rPr>
          <w:rFonts w:ascii="Times New Roman" w:hAnsi="Times New Roman"/>
          <w:spacing w:val="0"/>
          <w:sz w:val="20"/>
        </w:rPr>
      </w:pPr>
      <w:r>
        <w:rPr>
          <w:rFonts w:ascii="Times New Roman" w:hAnsi="Times New Roman"/>
          <w:spacing w:val="0"/>
          <w:sz w:val="20"/>
        </w:rPr>
        <w:t>F-27</w:t>
      </w:r>
    </w:p>
    <w:p>
      <w:pPr>
        <w:pStyle w:val="TextBody"/>
        <w:spacing w:before="120" w:after="0"/>
        <w:jc w:val="left"/>
        <w:rPr>
          <w:rFonts w:ascii="Times New Roman" w:hAnsi="Times New Roman"/>
          <w:sz w:val="20"/>
        </w:rPr>
      </w:pPr>
      <w:r>
        <w:rPr>
          <w:rFonts w:ascii="Times New Roman" w:hAnsi="Times New Roman"/>
          <w:sz w:val="20"/>
        </w:rPr>
        <w:t xml:space="preserve">of this report. </w:t>
      </w:r>
    </w:p>
    <w:p>
      <w:pPr>
        <w:pStyle w:val="TextBody"/>
        <w:spacing w:before="0" w:after="0"/>
        <w:jc w:val="left"/>
        <w:rPr>
          <w:spacing w:val="0"/>
        </w:rPr>
      </w:pPr>
      <w:r>
        <w:rPr>
          <w:spacing w:val="0"/>
        </w:rPr>
        <w:t> </w:t>
      </w:r>
    </w:p>
    <w:tbl>
      <w:tblPr>
        <w:tblW w:w="2935" w:type="dxa"/>
        <w:jc w:val="left"/>
        <w:tblInd w:w="0" w:type="dxa"/>
        <w:tblCellMar>
          <w:top w:w="0" w:type="dxa"/>
          <w:left w:w="0" w:type="dxa"/>
          <w:bottom w:w="0" w:type="dxa"/>
          <w:right w:w="0" w:type="dxa"/>
        </w:tblCellMar>
      </w:tblPr>
      <w:tblGrid>
        <w:gridCol w:w="75"/>
        <w:gridCol w:w="290"/>
        <w:gridCol w:w="2570"/>
      </w:tblGrid>
      <w:tr>
        <w:trPr/>
        <w:tc>
          <w:tcPr>
            <w:tcW w:w="75" w:type="dxa"/>
            <w:tcBorders/>
            <w:shd w:fill="auto" w:val="clear"/>
            <w:vAlign w:val="center"/>
          </w:tcPr>
          <w:p>
            <w:pPr>
              <w:pStyle w:val="TableContents"/>
              <w:spacing w:before="0" w:after="283"/>
              <w:rPr/>
            </w:pPr>
            <w:r>
              <w:rPr/>
              <w:t> </w:t>
            </w:r>
          </w:p>
        </w:tc>
        <w:tc>
          <w:tcPr>
            <w:tcW w:w="290" w:type="dxa"/>
            <w:tcBorders/>
            <w:shd w:fill="auto" w:val="clear"/>
            <w:vAlign w:val="center"/>
          </w:tcPr>
          <w:p>
            <w:pPr>
              <w:pStyle w:val="TableContents"/>
              <w:spacing w:before="0" w:after="283"/>
              <w:jc w:val="left"/>
              <w:rPr/>
            </w:pPr>
            <w:r>
              <w:rPr/>
              <w:t>(2)</w:t>
            </w:r>
          </w:p>
        </w:tc>
        <w:tc>
          <w:tcPr>
            <w:tcW w:w="257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Financial Statement Schedules </w:t>
            </w:r>
          </w:p>
        </w:tc>
      </w:tr>
    </w:tbl>
    <w:p>
      <w:pPr>
        <w:pStyle w:val="TextBody"/>
        <w:spacing w:before="120" w:after="0"/>
        <w:jc w:val="left"/>
        <w:rPr>
          <w:rFonts w:ascii="Times New Roman" w:hAnsi="Times New Roman"/>
          <w:spacing w:val="0"/>
          <w:sz w:val="20"/>
        </w:rPr>
      </w:pPr>
      <w:r>
        <w:rPr>
          <w:rFonts w:ascii="Times New Roman" w:hAnsi="Times New Roman"/>
          <w:spacing w:val="0"/>
          <w:sz w:val="20"/>
        </w:rPr>
        <w:t xml:space="preserve">None.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54 </w:t>
      </w:r>
    </w:p>
    <w:p>
      <w:pPr>
        <w:pStyle w:val="HorizontalLine"/>
        <w:rPr/>
      </w:pPr>
      <w:r>
        <w:rPr/>
      </w:r>
    </w:p>
    <w:p>
      <w:pPr>
        <w:pStyle w:val="TextBody"/>
        <w:spacing w:before="0" w:after="0"/>
        <w:rPr/>
      </w:pPr>
      <w:hyperlink w:anchor="toc">
        <w:r>
          <w:rPr>
            <w:rStyle w:val="InternetLink"/>
            <w:b/>
            <w:sz w:val="20"/>
          </w:rPr>
          <w:t>Table of Contents</w:t>
        </w:r>
      </w:hyperlink>
    </w:p>
    <w:p>
      <w:pPr>
        <w:pStyle w:val="TextBody"/>
        <w:spacing w:before="0" w:after="0"/>
        <w:jc w:val="center"/>
        <w:rPr>
          <w:rFonts w:ascii="Times New Roman" w:hAnsi="Times New Roman"/>
          <w:b/>
          <w:spacing w:val="0"/>
          <w:sz w:val="20"/>
        </w:rPr>
      </w:pPr>
      <w:r>
        <w:rPr>
          <w:rFonts w:ascii="Times New Roman" w:hAnsi="Times New Roman"/>
          <w:b/>
          <w:spacing w:val="0"/>
          <w:sz w:val="20"/>
        </w:rPr>
        <w:t xml:space="preserve">INDEX OF EXHIBITS </w:t>
      </w:r>
    </w:p>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637"/>
        <w:gridCol w:w="120"/>
        <w:gridCol w:w="9448"/>
      </w:tblGrid>
      <w:tr>
        <w:trPr/>
        <w:tc>
          <w:tcPr>
            <w:tcW w:w="637"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9448" w:type="dxa"/>
            <w:tcBorders/>
            <w:shd w:fill="auto" w:val="clear"/>
            <w:vAlign w:val="center"/>
          </w:tcPr>
          <w:p>
            <w:pPr>
              <w:pStyle w:val="TableContents"/>
              <w:spacing w:before="0" w:after="283"/>
              <w:rPr>
                <w:sz w:val="4"/>
                <w:szCs w:val="4"/>
              </w:rPr>
            </w:pPr>
            <w:r>
              <w:rPr>
                <w:sz w:val="4"/>
                <w:szCs w:val="4"/>
              </w:rPr>
            </w:r>
          </w:p>
        </w:tc>
      </w:tr>
      <w:tr>
        <w:trPr/>
        <w:tc>
          <w:tcPr>
            <w:tcW w:w="637" w:type="dxa"/>
            <w:tcBorders/>
            <w:shd w:fill="auto" w:val="clear"/>
            <w:vAlign w:val="center"/>
          </w:tcPr>
          <w:p>
            <w:pPr>
              <w:pStyle w:val="TableContents"/>
              <w:spacing w:before="0" w:after="0"/>
              <w:jc w:val="center"/>
              <w:rPr>
                <w:rFonts w:ascii="Times New Roman" w:hAnsi="Times New Roman"/>
                <w:b/>
                <w:spacing w:val="0"/>
                <w:sz w:val="16"/>
              </w:rPr>
            </w:pPr>
            <w:r>
              <w:rPr>
                <w:rFonts w:ascii="Times New Roman" w:hAnsi="Times New Roman"/>
                <w:b/>
                <w:spacing w:val="0"/>
                <w:sz w:val="16"/>
              </w:rPr>
              <w:t>Exhibit</w:t>
            </w:r>
          </w:p>
          <w:p>
            <w:pPr>
              <w:pStyle w:val="TableContents"/>
              <w:spacing w:before="0" w:after="20"/>
              <w:jc w:val="center"/>
              <w:rPr>
                <w:rFonts w:ascii="Times New Roman" w:hAnsi="Times New Roman"/>
                <w:b/>
                <w:spacing w:val="0"/>
                <w:sz w:val="16"/>
                <w:bdr w:val="single" w:sz="8" w:space="1" w:color="000000"/>
              </w:rPr>
            </w:pPr>
            <w:r>
              <w:rPr>
                <w:rFonts w:ascii="Times New Roman" w:hAnsi="Times New Roman"/>
                <w:b/>
                <w:spacing w:val="0"/>
                <w:sz w:val="16"/>
                <w:bdr w:val="single" w:sz="8" w:space="1" w:color="000000"/>
              </w:rPr>
              <w:t>Number</w:t>
            </w:r>
          </w:p>
        </w:tc>
        <w:tc>
          <w:tcPr>
            <w:tcW w:w="120" w:type="dxa"/>
            <w:tcBorders/>
            <w:shd w:fill="auto" w:val="clear"/>
            <w:vAlign w:val="center"/>
          </w:tcPr>
          <w:p>
            <w:pPr>
              <w:pStyle w:val="TableContents"/>
              <w:spacing w:before="0" w:after="283"/>
              <w:rPr/>
            </w:pPr>
            <w:r>
              <w:rPr/>
              <w:t>  </w:t>
            </w:r>
          </w:p>
        </w:tc>
        <w:tc>
          <w:tcPr>
            <w:tcW w:w="9448" w:type="dxa"/>
            <w:tcBorders/>
            <w:shd w:fill="auto" w:val="clear"/>
            <w:vAlign w:val="center"/>
          </w:tcPr>
          <w:p>
            <w:pPr>
              <w:pStyle w:val="TableContents"/>
              <w:spacing w:before="0" w:after="0"/>
              <w:jc w:val="center"/>
              <w:rPr>
                <w:rFonts w:ascii="Times New Roman" w:hAnsi="Times New Roman"/>
                <w:b/>
                <w:spacing w:val="0"/>
                <w:sz w:val="16"/>
                <w:bdr w:val="single" w:sz="8" w:space="1" w:color="000000"/>
              </w:rPr>
            </w:pPr>
            <w:r>
              <w:rPr>
                <w:rFonts w:ascii="Times New Roman" w:hAnsi="Times New Roman"/>
                <w:b/>
                <w:spacing w:val="0"/>
                <w:sz w:val="16"/>
                <w:bdr w:val="single" w:sz="8" w:space="1" w:color="000000"/>
              </w:rPr>
              <w:t>Description</w:t>
            </w:r>
          </w:p>
        </w:tc>
      </w:tr>
      <w:tr>
        <w:trPr/>
        <w:tc>
          <w:tcPr>
            <w:tcW w:w="637" w:type="dxa"/>
            <w:tcBorders/>
            <w:shd w:fill="auto" w:val="clear"/>
            <w:vAlign w:val="center"/>
          </w:tcPr>
          <w:p>
            <w:pPr>
              <w:pStyle w:val="TableContents"/>
              <w:spacing w:before="0" w:after="283"/>
              <w:rPr/>
            </w:pPr>
            <w:r>
              <w:rPr/>
              <w:t> </w:t>
            </w:r>
          </w:p>
        </w:tc>
        <w:tc>
          <w:tcPr>
            <w:tcW w:w="9568" w:type="dxa"/>
            <w:gridSpan w:val="2"/>
            <w:tcBorders/>
            <w:shd w:fill="auto" w:val="clear"/>
            <w:vAlign w:val="center"/>
          </w:tcPr>
          <w:p>
            <w:pPr>
              <w:pStyle w:val="TableContents"/>
              <w:spacing w:before="0" w:after="283"/>
              <w:rPr/>
            </w:pPr>
            <w:r>
              <w:rPr/>
              <w:t> </w:t>
            </w:r>
          </w:p>
        </w:tc>
      </w:tr>
      <w:tr>
        <w:trPr/>
        <w:tc>
          <w:tcPr>
            <w:tcW w:w="637" w:type="dxa"/>
            <w:tcBorders/>
            <w:shd w:fill="auto" w:val="clear"/>
            <w:vAlign w:val="center"/>
          </w:tcPr>
          <w:p>
            <w:pPr>
              <w:pStyle w:val="TableContents"/>
              <w:spacing w:before="0" w:after="283"/>
              <w:rPr/>
            </w:pPr>
            <w:r>
              <w:rPr/>
              <w:t>    </w:t>
            </w:r>
            <w:r>
              <w:rPr/>
              <w:t>3.1</w:t>
            </w:r>
          </w:p>
        </w:tc>
        <w:tc>
          <w:tcPr>
            <w:tcW w:w="120" w:type="dxa"/>
            <w:tcBorders/>
            <w:shd w:fill="auto" w:val="clear"/>
            <w:vAlign w:val="center"/>
          </w:tcPr>
          <w:p>
            <w:pPr>
              <w:pStyle w:val="TableContents"/>
              <w:spacing w:before="0" w:after="283"/>
              <w:rPr/>
            </w:pPr>
            <w:r>
              <w:rPr/>
              <w:t>  </w:t>
            </w:r>
          </w:p>
        </w:tc>
        <w:tc>
          <w:tcPr>
            <w:tcW w:w="9448" w:type="dxa"/>
            <w:tcBorders/>
            <w:shd w:fill="auto" w:val="clear"/>
            <w:vAlign w:val="center"/>
          </w:tcPr>
          <w:p>
            <w:pPr>
              <w:pStyle w:val="TableContents"/>
              <w:spacing w:before="0" w:after="283"/>
              <w:rPr/>
            </w:pPr>
            <w:hyperlink r:id="rId3">
              <w:r>
                <w:rPr>
                  <w:rStyle w:val="InternetLink"/>
                </w:rPr>
                <w:t xml:space="preserve">Fourth Amended and Restated Certificate of Incorporation of the Registrant (incorporated by reference to Exhibit 3.1 to the Current Report filed on Form </w:t>
              </w:r>
            </w:hyperlink>
            <w:hyperlink r:id="rId4">
              <w:r>
                <w:rPr>
                  <w:rStyle w:val="InternetLink"/>
                  <w:spacing w:val="0"/>
                </w:rPr>
                <w:t>8-K</w:t>
              </w:r>
            </w:hyperlink>
            <w:hyperlink r:id="rId5">
              <w:r>
                <w:rPr>
                  <w:rStyle w:val="InternetLink"/>
                </w:rPr>
                <w:t xml:space="preserve"> by Dave &amp; Buster’s Entertainment, Inc. on June 12, 2017 (No. </w:t>
              </w:r>
            </w:hyperlink>
            <w:hyperlink r:id="rId6">
              <w:r>
                <w:rPr>
                  <w:rStyle w:val="InternetLink"/>
                  <w:spacing w:val="0"/>
                </w:rPr>
                <w:t>001-35664))</w:t>
              </w:r>
            </w:hyperlink>
            <w:hyperlink r:id="rId7">
              <w:r>
                <w:rPr>
                  <w:rStyle w:val="InternetLink"/>
                </w:rPr>
                <w:t xml:space="preserve"> </w:t>
              </w:r>
            </w:hyperlink>
          </w:p>
        </w:tc>
      </w:tr>
      <w:tr>
        <w:trPr/>
        <w:tc>
          <w:tcPr>
            <w:tcW w:w="637" w:type="dxa"/>
            <w:tcBorders/>
            <w:shd w:fill="auto" w:val="clear"/>
            <w:vAlign w:val="center"/>
          </w:tcPr>
          <w:p>
            <w:pPr>
              <w:pStyle w:val="TableContents"/>
              <w:spacing w:before="0" w:after="283"/>
              <w:rPr/>
            </w:pPr>
            <w:r>
              <w:rPr/>
              <w:t> </w:t>
            </w:r>
          </w:p>
        </w:tc>
        <w:tc>
          <w:tcPr>
            <w:tcW w:w="9568" w:type="dxa"/>
            <w:gridSpan w:val="2"/>
            <w:tcBorders/>
            <w:shd w:fill="auto" w:val="clear"/>
            <w:vAlign w:val="center"/>
          </w:tcPr>
          <w:p>
            <w:pPr>
              <w:pStyle w:val="TableContents"/>
              <w:spacing w:before="0" w:after="283"/>
              <w:rPr/>
            </w:pPr>
            <w:r>
              <w:rPr/>
              <w:t> </w:t>
            </w:r>
          </w:p>
        </w:tc>
      </w:tr>
      <w:tr>
        <w:trPr/>
        <w:tc>
          <w:tcPr>
            <w:tcW w:w="637" w:type="dxa"/>
            <w:tcBorders/>
            <w:shd w:fill="auto" w:val="clear"/>
            <w:vAlign w:val="center"/>
          </w:tcPr>
          <w:p>
            <w:pPr>
              <w:pStyle w:val="TableContents"/>
              <w:spacing w:before="0" w:after="283"/>
              <w:rPr/>
            </w:pPr>
            <w:r>
              <w:rPr/>
              <w:t>    </w:t>
            </w:r>
            <w:r>
              <w:rPr/>
              <w:t>3.2</w:t>
            </w:r>
          </w:p>
        </w:tc>
        <w:tc>
          <w:tcPr>
            <w:tcW w:w="120" w:type="dxa"/>
            <w:tcBorders/>
            <w:shd w:fill="auto" w:val="clear"/>
            <w:vAlign w:val="center"/>
          </w:tcPr>
          <w:p>
            <w:pPr>
              <w:pStyle w:val="TableContents"/>
              <w:spacing w:before="0" w:after="283"/>
              <w:rPr/>
            </w:pPr>
            <w:r>
              <w:rPr/>
              <w:t>  </w:t>
            </w:r>
          </w:p>
        </w:tc>
        <w:tc>
          <w:tcPr>
            <w:tcW w:w="9448" w:type="dxa"/>
            <w:tcBorders/>
            <w:shd w:fill="auto" w:val="clear"/>
            <w:vAlign w:val="center"/>
          </w:tcPr>
          <w:p>
            <w:pPr>
              <w:pStyle w:val="TableContents"/>
              <w:spacing w:before="0" w:after="283"/>
              <w:rPr/>
            </w:pPr>
            <w:hyperlink r:id="rId8">
              <w:r>
                <w:rPr>
                  <w:rStyle w:val="InternetLink"/>
                </w:rPr>
                <w:t xml:space="preserve">Third Amended and Restated Bylaws of the Registrant (incorporated by reference to Exhibit 3.2 to the Current Report filed on Form </w:t>
              </w:r>
            </w:hyperlink>
            <w:hyperlink r:id="rId9">
              <w:r>
                <w:rPr>
                  <w:rStyle w:val="InternetLink"/>
                  <w:spacing w:val="0"/>
                </w:rPr>
                <w:t>8-K</w:t>
              </w:r>
            </w:hyperlink>
            <w:hyperlink r:id="rId10">
              <w:r>
                <w:rPr>
                  <w:rStyle w:val="InternetLink"/>
                </w:rPr>
                <w:t xml:space="preserve"> by Dave &amp; Buster’s Entertainment, Inc. on June 12, 2017 (No. </w:t>
              </w:r>
            </w:hyperlink>
            <w:hyperlink r:id="rId11">
              <w:r>
                <w:rPr>
                  <w:rStyle w:val="InternetLink"/>
                  <w:spacing w:val="0"/>
                </w:rPr>
                <w:t>001-35664))</w:t>
              </w:r>
            </w:hyperlink>
            <w:hyperlink r:id="rId12">
              <w:r>
                <w:rPr>
                  <w:rStyle w:val="InternetLink"/>
                </w:rPr>
                <w:t xml:space="preserve"> </w:t>
              </w:r>
            </w:hyperlink>
          </w:p>
        </w:tc>
      </w:tr>
      <w:tr>
        <w:trPr/>
        <w:tc>
          <w:tcPr>
            <w:tcW w:w="637" w:type="dxa"/>
            <w:tcBorders/>
            <w:shd w:fill="auto" w:val="clear"/>
            <w:vAlign w:val="center"/>
          </w:tcPr>
          <w:p>
            <w:pPr>
              <w:pStyle w:val="TableContents"/>
              <w:spacing w:before="0" w:after="283"/>
              <w:rPr/>
            </w:pPr>
            <w:r>
              <w:rPr/>
              <w:t> </w:t>
            </w:r>
          </w:p>
        </w:tc>
        <w:tc>
          <w:tcPr>
            <w:tcW w:w="9568" w:type="dxa"/>
            <w:gridSpan w:val="2"/>
            <w:tcBorders/>
            <w:shd w:fill="auto" w:val="clear"/>
            <w:vAlign w:val="center"/>
          </w:tcPr>
          <w:p>
            <w:pPr>
              <w:pStyle w:val="TableContents"/>
              <w:spacing w:before="0" w:after="283"/>
              <w:rPr/>
            </w:pPr>
            <w:r>
              <w:rPr/>
              <w:t> </w:t>
            </w:r>
          </w:p>
        </w:tc>
      </w:tr>
      <w:tr>
        <w:trPr/>
        <w:tc>
          <w:tcPr>
            <w:tcW w:w="637" w:type="dxa"/>
            <w:tcBorders/>
            <w:shd w:fill="auto" w:val="clear"/>
            <w:vAlign w:val="center"/>
          </w:tcPr>
          <w:p>
            <w:pPr>
              <w:pStyle w:val="TableContents"/>
              <w:spacing w:before="0" w:after="283"/>
              <w:rPr/>
            </w:pPr>
            <w:r>
              <w:rPr/>
              <w:t>    </w:t>
            </w:r>
            <w:r>
              <w:rPr/>
              <w:t>3.3</w:t>
            </w:r>
          </w:p>
        </w:tc>
        <w:tc>
          <w:tcPr>
            <w:tcW w:w="120" w:type="dxa"/>
            <w:tcBorders/>
            <w:shd w:fill="auto" w:val="clear"/>
            <w:vAlign w:val="center"/>
          </w:tcPr>
          <w:p>
            <w:pPr>
              <w:pStyle w:val="TableContents"/>
              <w:spacing w:before="0" w:after="283"/>
              <w:rPr/>
            </w:pPr>
            <w:r>
              <w:rPr/>
              <w:t>  </w:t>
            </w:r>
          </w:p>
        </w:tc>
        <w:tc>
          <w:tcPr>
            <w:tcW w:w="9448" w:type="dxa"/>
            <w:tcBorders/>
            <w:shd w:fill="auto" w:val="clear"/>
            <w:vAlign w:val="center"/>
          </w:tcPr>
          <w:p>
            <w:pPr>
              <w:pStyle w:val="TableContents"/>
              <w:spacing w:before="0" w:after="283"/>
              <w:rPr/>
            </w:pPr>
            <w:hyperlink r:id="rId13">
              <w:r>
                <w:rPr>
                  <w:rStyle w:val="InternetLink"/>
                </w:rPr>
                <w:t xml:space="preserve">Certificate of Designation of Series A Junior Participating Preferred Stock of Registrant (incorporated by reference to Exhibit 3.1 to the Current Report filed on Form </w:t>
              </w:r>
            </w:hyperlink>
            <w:hyperlink r:id="rId14">
              <w:r>
                <w:rPr>
                  <w:rStyle w:val="InternetLink"/>
                  <w:spacing w:val="0"/>
                </w:rPr>
                <w:t>8-K</w:t>
              </w:r>
            </w:hyperlink>
            <w:hyperlink r:id="rId15">
              <w:r>
                <w:rPr>
                  <w:rStyle w:val="InternetLink"/>
                </w:rPr>
                <w:t xml:space="preserve"> by Dave &amp; Buster’s Entertainment, Inc. on March 19, 2020 (No. </w:t>
              </w:r>
            </w:hyperlink>
            <w:hyperlink r:id="rId16">
              <w:r>
                <w:rPr>
                  <w:rStyle w:val="InternetLink"/>
                  <w:spacing w:val="0"/>
                </w:rPr>
                <w:t>001-35664))</w:t>
              </w:r>
            </w:hyperlink>
            <w:hyperlink r:id="rId17">
              <w:r>
                <w:rPr>
                  <w:rStyle w:val="InternetLink"/>
                </w:rPr>
                <w:t xml:space="preserve"> </w:t>
              </w:r>
            </w:hyperlink>
          </w:p>
        </w:tc>
      </w:tr>
      <w:tr>
        <w:trPr/>
        <w:tc>
          <w:tcPr>
            <w:tcW w:w="637" w:type="dxa"/>
            <w:tcBorders/>
            <w:shd w:fill="auto" w:val="clear"/>
            <w:vAlign w:val="center"/>
          </w:tcPr>
          <w:p>
            <w:pPr>
              <w:pStyle w:val="TableContents"/>
              <w:spacing w:before="0" w:after="283"/>
              <w:rPr/>
            </w:pPr>
            <w:r>
              <w:rPr/>
              <w:t> </w:t>
            </w:r>
          </w:p>
        </w:tc>
        <w:tc>
          <w:tcPr>
            <w:tcW w:w="9568" w:type="dxa"/>
            <w:gridSpan w:val="2"/>
            <w:tcBorders/>
            <w:shd w:fill="auto" w:val="clear"/>
            <w:vAlign w:val="center"/>
          </w:tcPr>
          <w:p>
            <w:pPr>
              <w:pStyle w:val="TableContents"/>
              <w:spacing w:before="0" w:after="283"/>
              <w:rPr/>
            </w:pPr>
            <w:r>
              <w:rPr/>
              <w:t> </w:t>
            </w:r>
          </w:p>
        </w:tc>
      </w:tr>
      <w:tr>
        <w:trPr/>
        <w:tc>
          <w:tcPr>
            <w:tcW w:w="637" w:type="dxa"/>
            <w:tcBorders/>
            <w:shd w:fill="auto" w:val="clear"/>
            <w:vAlign w:val="center"/>
          </w:tcPr>
          <w:p>
            <w:pPr>
              <w:pStyle w:val="TableContents"/>
              <w:spacing w:before="0" w:after="283"/>
              <w:rPr/>
            </w:pPr>
            <w:r>
              <w:rPr/>
              <w:t>    </w:t>
            </w:r>
            <w:r>
              <w:rPr/>
              <w:t>4.1</w:t>
            </w:r>
          </w:p>
        </w:tc>
        <w:tc>
          <w:tcPr>
            <w:tcW w:w="120" w:type="dxa"/>
            <w:tcBorders/>
            <w:shd w:fill="auto" w:val="clear"/>
            <w:vAlign w:val="center"/>
          </w:tcPr>
          <w:p>
            <w:pPr>
              <w:pStyle w:val="TableContents"/>
              <w:spacing w:before="0" w:after="283"/>
              <w:rPr/>
            </w:pPr>
            <w:r>
              <w:rPr/>
              <w:t>  </w:t>
            </w:r>
          </w:p>
        </w:tc>
        <w:tc>
          <w:tcPr>
            <w:tcW w:w="9448" w:type="dxa"/>
            <w:tcBorders/>
            <w:shd w:fill="auto" w:val="clear"/>
            <w:vAlign w:val="center"/>
          </w:tcPr>
          <w:p>
            <w:pPr>
              <w:pStyle w:val="TableContents"/>
              <w:spacing w:before="0" w:after="283"/>
              <w:rPr/>
            </w:pPr>
            <w:hyperlink r:id="rId18">
              <w:r>
                <w:rPr>
                  <w:rStyle w:val="InternetLink"/>
                </w:rPr>
                <w:t xml:space="preserve">Form of Stock Certificate (incorporated by reference to Exhibit 4.1 to the Amendment 1 to the </w:t>
              </w:r>
            </w:hyperlink>
            <w:hyperlink r:id="rId19">
              <w:r>
                <w:rPr>
                  <w:rStyle w:val="InternetLink"/>
                  <w:spacing w:val="0"/>
                </w:rPr>
                <w:t>Form S-1</w:t>
              </w:r>
            </w:hyperlink>
            <w:hyperlink r:id="rId20">
              <w:r>
                <w:rPr>
                  <w:rStyle w:val="InternetLink"/>
                </w:rPr>
                <w:t xml:space="preserve"> Registration Statement filed by Dave &amp; Buster’s Entertainment, Inc. on September 24, 2014 </w:t>
              </w:r>
            </w:hyperlink>
            <w:hyperlink r:id="rId21">
              <w:r>
                <w:rPr>
                  <w:rStyle w:val="InternetLink"/>
                  <w:spacing w:val="0"/>
                </w:rPr>
                <w:t>(No. 333-198641))</w:t>
              </w:r>
            </w:hyperlink>
            <w:hyperlink r:id="rId22">
              <w:r>
                <w:rPr>
                  <w:rStyle w:val="InternetLink"/>
                </w:rPr>
                <w:t xml:space="preserve"> </w:t>
              </w:r>
            </w:hyperlink>
          </w:p>
        </w:tc>
      </w:tr>
      <w:tr>
        <w:trPr/>
        <w:tc>
          <w:tcPr>
            <w:tcW w:w="637" w:type="dxa"/>
            <w:tcBorders/>
            <w:shd w:fill="auto" w:val="clear"/>
            <w:vAlign w:val="center"/>
          </w:tcPr>
          <w:p>
            <w:pPr>
              <w:pStyle w:val="TableContents"/>
              <w:spacing w:before="0" w:after="283"/>
              <w:rPr/>
            </w:pPr>
            <w:r>
              <w:rPr/>
              <w:t> </w:t>
            </w:r>
          </w:p>
        </w:tc>
        <w:tc>
          <w:tcPr>
            <w:tcW w:w="9568" w:type="dxa"/>
            <w:gridSpan w:val="2"/>
            <w:tcBorders/>
            <w:shd w:fill="auto" w:val="clear"/>
            <w:vAlign w:val="center"/>
          </w:tcPr>
          <w:p>
            <w:pPr>
              <w:pStyle w:val="TableContents"/>
              <w:spacing w:before="0" w:after="283"/>
              <w:rPr/>
            </w:pPr>
            <w:r>
              <w:rPr/>
              <w:t> </w:t>
            </w:r>
          </w:p>
        </w:tc>
      </w:tr>
      <w:tr>
        <w:trPr/>
        <w:tc>
          <w:tcPr>
            <w:tcW w:w="637" w:type="dxa"/>
            <w:tcBorders/>
            <w:shd w:fill="auto" w:val="clear"/>
            <w:vAlign w:val="center"/>
          </w:tcPr>
          <w:p>
            <w:pPr>
              <w:pStyle w:val="TableContents"/>
              <w:spacing w:before="0" w:after="283"/>
              <w:rPr/>
            </w:pPr>
            <w:r>
              <w:rPr/>
              <w:t>    </w:t>
            </w:r>
            <w:r>
              <w:rPr/>
              <w:t>4.2</w:t>
            </w:r>
          </w:p>
        </w:tc>
        <w:tc>
          <w:tcPr>
            <w:tcW w:w="120" w:type="dxa"/>
            <w:tcBorders/>
            <w:shd w:fill="auto" w:val="clear"/>
            <w:vAlign w:val="center"/>
          </w:tcPr>
          <w:p>
            <w:pPr>
              <w:pStyle w:val="TableContents"/>
              <w:spacing w:before="0" w:after="283"/>
              <w:rPr/>
            </w:pPr>
            <w:r>
              <w:rPr/>
              <w:t>  </w:t>
            </w:r>
          </w:p>
        </w:tc>
        <w:tc>
          <w:tcPr>
            <w:tcW w:w="9448" w:type="dxa"/>
            <w:tcBorders/>
            <w:shd w:fill="auto" w:val="clear"/>
            <w:vAlign w:val="center"/>
          </w:tcPr>
          <w:p>
            <w:pPr>
              <w:pStyle w:val="TableContents"/>
              <w:spacing w:before="0" w:after="283"/>
              <w:rPr/>
            </w:pPr>
            <w:hyperlink r:id="rId23">
              <w:r>
                <w:rPr>
                  <w:rStyle w:val="InternetLink"/>
                </w:rPr>
                <w:t xml:space="preserve">Rights Agreement, dated as of March 18, 2020, between Registrant and Computershare Trust Company, N.A., as Rights Agent (incorporated by reference to Exhibit 4.1 to the Current Report filed on Form </w:t>
              </w:r>
            </w:hyperlink>
            <w:hyperlink r:id="rId24">
              <w:r>
                <w:rPr>
                  <w:rStyle w:val="InternetLink"/>
                  <w:spacing w:val="0"/>
                </w:rPr>
                <w:t>8-K</w:t>
              </w:r>
            </w:hyperlink>
            <w:hyperlink r:id="rId25">
              <w:r>
                <w:rPr>
                  <w:rStyle w:val="InternetLink"/>
                </w:rPr>
                <w:t xml:space="preserve"> by Dave &amp; Buster’s Entertainment, Inc. on March 19, 2020 (No. </w:t>
              </w:r>
            </w:hyperlink>
            <w:hyperlink r:id="rId26">
              <w:r>
                <w:rPr>
                  <w:rStyle w:val="InternetLink"/>
                  <w:spacing w:val="0"/>
                </w:rPr>
                <w:t>001-35664))</w:t>
              </w:r>
            </w:hyperlink>
            <w:hyperlink r:id="rId27">
              <w:r>
                <w:rPr>
                  <w:rStyle w:val="InternetLink"/>
                </w:rPr>
                <w:t xml:space="preserve"> </w:t>
              </w:r>
            </w:hyperlink>
          </w:p>
        </w:tc>
      </w:tr>
      <w:tr>
        <w:trPr/>
        <w:tc>
          <w:tcPr>
            <w:tcW w:w="637" w:type="dxa"/>
            <w:tcBorders/>
            <w:shd w:fill="auto" w:val="clear"/>
            <w:vAlign w:val="center"/>
          </w:tcPr>
          <w:p>
            <w:pPr>
              <w:pStyle w:val="TableContents"/>
              <w:spacing w:before="0" w:after="283"/>
              <w:rPr/>
            </w:pPr>
            <w:r>
              <w:rPr/>
              <w:t> </w:t>
            </w:r>
          </w:p>
        </w:tc>
        <w:tc>
          <w:tcPr>
            <w:tcW w:w="9568" w:type="dxa"/>
            <w:gridSpan w:val="2"/>
            <w:tcBorders/>
            <w:shd w:fill="auto" w:val="clear"/>
            <w:vAlign w:val="center"/>
          </w:tcPr>
          <w:p>
            <w:pPr>
              <w:pStyle w:val="TableContents"/>
              <w:spacing w:before="0" w:after="283"/>
              <w:rPr/>
            </w:pPr>
            <w:r>
              <w:rPr/>
              <w:t> </w:t>
            </w:r>
          </w:p>
        </w:tc>
      </w:tr>
      <w:tr>
        <w:trPr/>
        <w:tc>
          <w:tcPr>
            <w:tcW w:w="637" w:type="dxa"/>
            <w:tcBorders/>
            <w:shd w:fill="auto" w:val="clear"/>
            <w:vAlign w:val="center"/>
          </w:tcPr>
          <w:p>
            <w:pPr>
              <w:pStyle w:val="TableContents"/>
              <w:spacing w:before="0" w:after="283"/>
              <w:rPr/>
            </w:pPr>
            <w:r>
              <w:rPr/>
              <w:t>    </w:t>
            </w:r>
            <w:r>
              <w:rPr/>
              <w:t>4.3*</w:t>
            </w:r>
          </w:p>
        </w:tc>
        <w:tc>
          <w:tcPr>
            <w:tcW w:w="120" w:type="dxa"/>
            <w:tcBorders/>
            <w:shd w:fill="auto" w:val="clear"/>
            <w:vAlign w:val="center"/>
          </w:tcPr>
          <w:p>
            <w:pPr>
              <w:pStyle w:val="TableContents"/>
              <w:spacing w:before="0" w:after="283"/>
              <w:rPr/>
            </w:pPr>
            <w:r>
              <w:rPr/>
              <w:t>  </w:t>
            </w:r>
          </w:p>
        </w:tc>
        <w:tc>
          <w:tcPr>
            <w:tcW w:w="9448" w:type="dxa"/>
            <w:tcBorders/>
            <w:shd w:fill="auto" w:val="clear"/>
            <w:vAlign w:val="center"/>
          </w:tcPr>
          <w:p>
            <w:pPr>
              <w:pStyle w:val="TableContents"/>
              <w:spacing w:before="0" w:after="283"/>
              <w:rPr/>
            </w:pPr>
            <w:hyperlink w:anchor="d120247dex43.htm">
              <w:r>
                <w:rPr>
                  <w:rStyle w:val="InternetLink"/>
                </w:rPr>
                <w:t>Description of the Registrant’s Securities Registered Pursuant to Section 12 of the Securities Exchange Act of 1934</w:t>
              </w:r>
            </w:hyperlink>
          </w:p>
        </w:tc>
      </w:tr>
      <w:tr>
        <w:trPr/>
        <w:tc>
          <w:tcPr>
            <w:tcW w:w="637" w:type="dxa"/>
            <w:tcBorders/>
            <w:shd w:fill="auto" w:val="clear"/>
            <w:vAlign w:val="center"/>
          </w:tcPr>
          <w:p>
            <w:pPr>
              <w:pStyle w:val="TableContents"/>
              <w:spacing w:before="0" w:after="283"/>
              <w:rPr/>
            </w:pPr>
            <w:r>
              <w:rPr/>
              <w:t> </w:t>
            </w:r>
          </w:p>
        </w:tc>
        <w:tc>
          <w:tcPr>
            <w:tcW w:w="9568" w:type="dxa"/>
            <w:gridSpan w:val="2"/>
            <w:tcBorders/>
            <w:shd w:fill="auto" w:val="clear"/>
            <w:vAlign w:val="center"/>
          </w:tcPr>
          <w:p>
            <w:pPr>
              <w:pStyle w:val="TableContents"/>
              <w:spacing w:before="0" w:after="283"/>
              <w:rPr/>
            </w:pPr>
            <w:r>
              <w:rPr/>
              <w:t> </w:t>
            </w:r>
          </w:p>
        </w:tc>
      </w:tr>
      <w:tr>
        <w:trPr/>
        <w:tc>
          <w:tcPr>
            <w:tcW w:w="637" w:type="dxa"/>
            <w:tcBorders/>
            <w:shd w:fill="auto" w:val="clear"/>
            <w:vAlign w:val="center"/>
          </w:tcPr>
          <w:p>
            <w:pPr>
              <w:pStyle w:val="TableContents"/>
              <w:spacing w:before="0" w:after="283"/>
              <w:rPr/>
            </w:pPr>
            <w:r>
              <w:rPr/>
              <w:t>    </w:t>
            </w:r>
            <w:r>
              <w:rPr/>
              <w:t>4.4</w:t>
            </w:r>
          </w:p>
        </w:tc>
        <w:tc>
          <w:tcPr>
            <w:tcW w:w="120" w:type="dxa"/>
            <w:tcBorders/>
            <w:shd w:fill="auto" w:val="clear"/>
            <w:vAlign w:val="center"/>
          </w:tcPr>
          <w:p>
            <w:pPr>
              <w:pStyle w:val="TableContents"/>
              <w:spacing w:before="0" w:after="283"/>
              <w:rPr/>
            </w:pPr>
            <w:r>
              <w:rPr/>
              <w:t>  </w:t>
            </w:r>
          </w:p>
        </w:tc>
        <w:tc>
          <w:tcPr>
            <w:tcW w:w="9448" w:type="dxa"/>
            <w:tcBorders/>
            <w:shd w:fill="auto" w:val="clear"/>
            <w:vAlign w:val="center"/>
          </w:tcPr>
          <w:p>
            <w:pPr>
              <w:pStyle w:val="TableContents"/>
              <w:spacing w:before="0" w:after="283"/>
              <w:rPr/>
            </w:pPr>
            <w:hyperlink r:id="rId28">
              <w:r>
                <w:rPr>
                  <w:rStyle w:val="InternetLink"/>
                </w:rPr>
                <w:t xml:space="preserve">Indenture dated as of October 27, 2020, by and among Dave &amp; Buster’s, Inc., the guarantors party thereto and U.S. Bank, National Association, as trustee and collateral agent (incorporated by reference to Exhibit 4.1 of the Registrant’s Current Report on Form </w:t>
              </w:r>
            </w:hyperlink>
            <w:hyperlink r:id="rId29">
              <w:r>
                <w:rPr>
                  <w:rStyle w:val="InternetLink"/>
                  <w:spacing w:val="0"/>
                </w:rPr>
                <w:t>8-K</w:t>
              </w:r>
            </w:hyperlink>
            <w:hyperlink r:id="rId30">
              <w:r>
                <w:rPr>
                  <w:rStyle w:val="InternetLink"/>
                </w:rPr>
                <w:t xml:space="preserve"> filed on October 27, 2020 (No. </w:t>
              </w:r>
            </w:hyperlink>
            <w:hyperlink r:id="rId31">
              <w:r>
                <w:rPr>
                  <w:rStyle w:val="InternetLink"/>
                  <w:spacing w:val="0"/>
                </w:rPr>
                <w:t>001-35664))</w:t>
              </w:r>
            </w:hyperlink>
            <w:hyperlink r:id="rId32">
              <w:r>
                <w:rPr>
                  <w:rStyle w:val="InternetLink"/>
                </w:rPr>
                <w:t xml:space="preserve"> </w:t>
              </w:r>
            </w:hyperlink>
          </w:p>
        </w:tc>
      </w:tr>
      <w:tr>
        <w:trPr/>
        <w:tc>
          <w:tcPr>
            <w:tcW w:w="637" w:type="dxa"/>
            <w:tcBorders/>
            <w:shd w:fill="auto" w:val="clear"/>
            <w:vAlign w:val="center"/>
          </w:tcPr>
          <w:p>
            <w:pPr>
              <w:pStyle w:val="TableContents"/>
              <w:spacing w:before="0" w:after="283"/>
              <w:rPr/>
            </w:pPr>
            <w:r>
              <w:rPr/>
              <w:t> </w:t>
            </w:r>
          </w:p>
        </w:tc>
        <w:tc>
          <w:tcPr>
            <w:tcW w:w="9568" w:type="dxa"/>
            <w:gridSpan w:val="2"/>
            <w:tcBorders/>
            <w:shd w:fill="auto" w:val="clear"/>
            <w:vAlign w:val="center"/>
          </w:tcPr>
          <w:p>
            <w:pPr>
              <w:pStyle w:val="TableContents"/>
              <w:spacing w:before="0" w:after="283"/>
              <w:rPr/>
            </w:pPr>
            <w:r>
              <w:rPr/>
              <w:t> </w:t>
            </w:r>
          </w:p>
        </w:tc>
      </w:tr>
      <w:tr>
        <w:trPr/>
        <w:tc>
          <w:tcPr>
            <w:tcW w:w="637" w:type="dxa"/>
            <w:tcBorders/>
            <w:shd w:fill="auto" w:val="clear"/>
            <w:vAlign w:val="center"/>
          </w:tcPr>
          <w:p>
            <w:pPr>
              <w:pStyle w:val="TableContents"/>
              <w:spacing w:before="0" w:after="283"/>
              <w:rPr/>
            </w:pPr>
            <w:r>
              <w:rPr/>
              <w:t>    </w:t>
            </w:r>
            <w:r>
              <w:rPr/>
              <w:t>4.5</w:t>
            </w:r>
          </w:p>
        </w:tc>
        <w:tc>
          <w:tcPr>
            <w:tcW w:w="120" w:type="dxa"/>
            <w:tcBorders/>
            <w:shd w:fill="auto" w:val="clear"/>
            <w:vAlign w:val="center"/>
          </w:tcPr>
          <w:p>
            <w:pPr>
              <w:pStyle w:val="TableContents"/>
              <w:spacing w:before="0" w:after="283"/>
              <w:rPr/>
            </w:pPr>
            <w:r>
              <w:rPr/>
              <w:t>  </w:t>
            </w:r>
          </w:p>
        </w:tc>
        <w:tc>
          <w:tcPr>
            <w:tcW w:w="9448" w:type="dxa"/>
            <w:tcBorders/>
            <w:shd w:fill="auto" w:val="clear"/>
            <w:vAlign w:val="center"/>
          </w:tcPr>
          <w:p>
            <w:pPr>
              <w:pStyle w:val="TableContents"/>
              <w:spacing w:before="0" w:after="283"/>
              <w:rPr/>
            </w:pPr>
            <w:hyperlink r:id="rId33">
              <w:r>
                <w:rPr>
                  <w:rStyle w:val="InternetLink"/>
                </w:rPr>
                <w:t xml:space="preserve">Form of Note (incorporated by reference to Appendix A of Exhibit 4.1 of the Registrant’s Current Report on Form </w:t>
              </w:r>
            </w:hyperlink>
            <w:hyperlink r:id="rId34">
              <w:r>
                <w:rPr>
                  <w:rStyle w:val="InternetLink"/>
                  <w:spacing w:val="0"/>
                </w:rPr>
                <w:t>8-K</w:t>
              </w:r>
            </w:hyperlink>
            <w:hyperlink r:id="rId35">
              <w:r>
                <w:rPr>
                  <w:rStyle w:val="InternetLink"/>
                </w:rPr>
                <w:t xml:space="preserve"> filed on October 27, 2020 (No. </w:t>
              </w:r>
            </w:hyperlink>
            <w:hyperlink r:id="rId36">
              <w:r>
                <w:rPr>
                  <w:rStyle w:val="InternetLink"/>
                  <w:spacing w:val="0"/>
                </w:rPr>
                <w:t>001-35664))</w:t>
              </w:r>
            </w:hyperlink>
            <w:hyperlink r:id="rId37">
              <w:r>
                <w:rPr>
                  <w:rStyle w:val="InternetLink"/>
                </w:rPr>
                <w:t xml:space="preserve"> </w:t>
              </w:r>
            </w:hyperlink>
          </w:p>
        </w:tc>
      </w:tr>
      <w:tr>
        <w:trPr/>
        <w:tc>
          <w:tcPr>
            <w:tcW w:w="637" w:type="dxa"/>
            <w:tcBorders/>
            <w:shd w:fill="auto" w:val="clear"/>
            <w:vAlign w:val="center"/>
          </w:tcPr>
          <w:p>
            <w:pPr>
              <w:pStyle w:val="TableContents"/>
              <w:spacing w:before="0" w:after="283"/>
              <w:rPr/>
            </w:pPr>
            <w:r>
              <w:rPr/>
              <w:t> </w:t>
            </w:r>
          </w:p>
        </w:tc>
        <w:tc>
          <w:tcPr>
            <w:tcW w:w="9568" w:type="dxa"/>
            <w:gridSpan w:val="2"/>
            <w:tcBorders/>
            <w:shd w:fill="auto" w:val="clear"/>
            <w:vAlign w:val="center"/>
          </w:tcPr>
          <w:p>
            <w:pPr>
              <w:pStyle w:val="TableContents"/>
              <w:spacing w:before="0" w:after="283"/>
              <w:rPr/>
            </w:pPr>
            <w:r>
              <w:rPr/>
              <w:t> </w:t>
            </w:r>
          </w:p>
        </w:tc>
      </w:tr>
      <w:tr>
        <w:trPr/>
        <w:tc>
          <w:tcPr>
            <w:tcW w:w="637" w:type="dxa"/>
            <w:tcBorders/>
            <w:shd w:fill="auto" w:val="clear"/>
            <w:vAlign w:val="center"/>
          </w:tcPr>
          <w:p>
            <w:pPr>
              <w:pStyle w:val="TableContents"/>
              <w:spacing w:before="0" w:after="283"/>
              <w:rPr/>
            </w:pPr>
            <w:r>
              <w:rPr/>
              <w:t>  </w:t>
            </w:r>
            <w:r>
              <w:rPr/>
              <w:t>10.1</w:t>
            </w:r>
          </w:p>
        </w:tc>
        <w:tc>
          <w:tcPr>
            <w:tcW w:w="120" w:type="dxa"/>
            <w:tcBorders/>
            <w:shd w:fill="auto" w:val="clear"/>
            <w:vAlign w:val="center"/>
          </w:tcPr>
          <w:p>
            <w:pPr>
              <w:pStyle w:val="TableContents"/>
              <w:spacing w:before="0" w:after="283"/>
              <w:rPr/>
            </w:pPr>
            <w:r>
              <w:rPr/>
              <w:t>  </w:t>
            </w:r>
          </w:p>
        </w:tc>
        <w:tc>
          <w:tcPr>
            <w:tcW w:w="9448" w:type="dxa"/>
            <w:tcBorders/>
            <w:shd w:fill="auto" w:val="clear"/>
            <w:vAlign w:val="center"/>
          </w:tcPr>
          <w:p>
            <w:pPr>
              <w:pStyle w:val="TableContents"/>
              <w:spacing w:before="0" w:after="283"/>
              <w:rPr/>
            </w:pPr>
            <w:hyperlink r:id="rId38">
              <w:r>
                <w:rPr>
                  <w:rStyle w:val="InternetLink"/>
                </w:rPr>
                <w:t xml:space="preserve">Form of Employee Agreement by and among Dave &amp; Buster’s Management Corporation, Dave &amp; Buster’s Entertainment, Inc., and the various executive officers of Dave &amp; Buster’s Entertainment, Inc. (incorporated by reference to Exhibit 10.1 to the Form </w:t>
              </w:r>
            </w:hyperlink>
            <w:hyperlink r:id="rId39">
              <w:r>
                <w:rPr>
                  <w:rStyle w:val="InternetLink"/>
                  <w:spacing w:val="0"/>
                </w:rPr>
                <w:t>S-1</w:t>
              </w:r>
            </w:hyperlink>
            <w:hyperlink r:id="rId40">
              <w:r>
                <w:rPr>
                  <w:rStyle w:val="InternetLink"/>
                </w:rPr>
                <w:t xml:space="preserve"> Registration Statement filed by Dave &amp; Buster’s Entertainment, Inc. on September 18, 2015 (No. </w:t>
              </w:r>
            </w:hyperlink>
            <w:hyperlink r:id="rId41">
              <w:r>
                <w:rPr>
                  <w:rStyle w:val="InternetLink"/>
                  <w:spacing w:val="0"/>
                </w:rPr>
                <w:t>333-207031))</w:t>
              </w:r>
            </w:hyperlink>
            <w:hyperlink r:id="rId42">
              <w:r>
                <w:rPr>
                  <w:rStyle w:val="InternetLink"/>
                </w:rPr>
                <w:t xml:space="preserve"> </w:t>
              </w:r>
            </w:hyperlink>
          </w:p>
        </w:tc>
      </w:tr>
      <w:tr>
        <w:trPr/>
        <w:tc>
          <w:tcPr>
            <w:tcW w:w="637" w:type="dxa"/>
            <w:tcBorders/>
            <w:shd w:fill="auto" w:val="clear"/>
            <w:vAlign w:val="center"/>
          </w:tcPr>
          <w:p>
            <w:pPr>
              <w:pStyle w:val="TableContents"/>
              <w:spacing w:before="0" w:after="283"/>
              <w:rPr/>
            </w:pPr>
            <w:r>
              <w:rPr/>
              <w:t> </w:t>
            </w:r>
          </w:p>
        </w:tc>
        <w:tc>
          <w:tcPr>
            <w:tcW w:w="9568" w:type="dxa"/>
            <w:gridSpan w:val="2"/>
            <w:tcBorders/>
            <w:shd w:fill="auto" w:val="clear"/>
            <w:vAlign w:val="center"/>
          </w:tcPr>
          <w:p>
            <w:pPr>
              <w:pStyle w:val="TableContents"/>
              <w:spacing w:before="0" w:after="283"/>
              <w:rPr/>
            </w:pPr>
            <w:r>
              <w:rPr/>
              <w:t> </w:t>
            </w:r>
          </w:p>
        </w:tc>
      </w:tr>
      <w:tr>
        <w:trPr/>
        <w:tc>
          <w:tcPr>
            <w:tcW w:w="637" w:type="dxa"/>
            <w:tcBorders/>
            <w:shd w:fill="auto" w:val="clear"/>
            <w:vAlign w:val="center"/>
          </w:tcPr>
          <w:p>
            <w:pPr>
              <w:pStyle w:val="TableContents"/>
              <w:spacing w:before="0" w:after="283"/>
              <w:rPr/>
            </w:pPr>
            <w:r>
              <w:rPr/>
              <w:t>  </w:t>
            </w:r>
            <w:r>
              <w:rPr/>
              <w:t>10.2</w:t>
            </w:r>
          </w:p>
        </w:tc>
        <w:tc>
          <w:tcPr>
            <w:tcW w:w="120" w:type="dxa"/>
            <w:tcBorders/>
            <w:shd w:fill="auto" w:val="clear"/>
            <w:vAlign w:val="center"/>
          </w:tcPr>
          <w:p>
            <w:pPr>
              <w:pStyle w:val="TableContents"/>
              <w:spacing w:before="0" w:after="283"/>
              <w:rPr/>
            </w:pPr>
            <w:r>
              <w:rPr/>
              <w:t>  </w:t>
            </w:r>
          </w:p>
        </w:tc>
        <w:tc>
          <w:tcPr>
            <w:tcW w:w="9448" w:type="dxa"/>
            <w:tcBorders/>
            <w:shd w:fill="auto" w:val="clear"/>
            <w:vAlign w:val="center"/>
          </w:tcPr>
          <w:p>
            <w:pPr>
              <w:pStyle w:val="TableContents"/>
              <w:spacing w:before="0" w:after="283"/>
              <w:rPr/>
            </w:pPr>
            <w:hyperlink r:id="rId43">
              <w:r>
                <w:rPr>
                  <w:rStyle w:val="InternetLink"/>
                </w:rPr>
                <w:t xml:space="preserve">Dave &amp; Buster’s Parent, Inc. 2010 Management Incentive Plan (incorporated by reference to Exhibit 10.3 to the Form </w:t>
              </w:r>
            </w:hyperlink>
            <w:hyperlink r:id="rId44">
              <w:r>
                <w:rPr>
                  <w:rStyle w:val="InternetLink"/>
                  <w:spacing w:val="0"/>
                </w:rPr>
                <w:t>S-4</w:t>
              </w:r>
            </w:hyperlink>
            <w:hyperlink r:id="rId45">
              <w:r>
                <w:rPr>
                  <w:rStyle w:val="InternetLink"/>
                </w:rPr>
                <w:t xml:space="preserve"> Registration Statement filed by Dave &amp; Buster’s, Inc. on August 11, 2010 (No. </w:t>
              </w:r>
            </w:hyperlink>
            <w:hyperlink r:id="rId46">
              <w:r>
                <w:rPr>
                  <w:rStyle w:val="InternetLink"/>
                  <w:spacing w:val="0"/>
                </w:rPr>
                <w:t>333-168759))</w:t>
              </w:r>
            </w:hyperlink>
            <w:hyperlink r:id="rId47">
              <w:r>
                <w:rPr>
                  <w:rStyle w:val="InternetLink"/>
                </w:rPr>
                <w:t xml:space="preserve"> </w:t>
              </w:r>
            </w:hyperlink>
          </w:p>
        </w:tc>
      </w:tr>
      <w:tr>
        <w:trPr/>
        <w:tc>
          <w:tcPr>
            <w:tcW w:w="637" w:type="dxa"/>
            <w:tcBorders/>
            <w:shd w:fill="auto" w:val="clear"/>
            <w:vAlign w:val="center"/>
          </w:tcPr>
          <w:p>
            <w:pPr>
              <w:pStyle w:val="TableContents"/>
              <w:spacing w:before="0" w:after="283"/>
              <w:rPr/>
            </w:pPr>
            <w:r>
              <w:rPr/>
              <w:t> </w:t>
            </w:r>
          </w:p>
        </w:tc>
        <w:tc>
          <w:tcPr>
            <w:tcW w:w="9568" w:type="dxa"/>
            <w:gridSpan w:val="2"/>
            <w:tcBorders/>
            <w:shd w:fill="auto" w:val="clear"/>
            <w:vAlign w:val="center"/>
          </w:tcPr>
          <w:p>
            <w:pPr>
              <w:pStyle w:val="TableContents"/>
              <w:spacing w:before="0" w:after="283"/>
              <w:rPr/>
            </w:pPr>
            <w:r>
              <w:rPr/>
              <w:t> </w:t>
            </w:r>
          </w:p>
        </w:tc>
      </w:tr>
      <w:tr>
        <w:trPr/>
        <w:tc>
          <w:tcPr>
            <w:tcW w:w="637" w:type="dxa"/>
            <w:tcBorders/>
            <w:shd w:fill="auto" w:val="clear"/>
            <w:vAlign w:val="center"/>
          </w:tcPr>
          <w:p>
            <w:pPr>
              <w:pStyle w:val="TableContents"/>
              <w:spacing w:before="0" w:after="283"/>
              <w:rPr/>
            </w:pPr>
            <w:r>
              <w:rPr/>
              <w:t>  </w:t>
            </w:r>
            <w:r>
              <w:rPr/>
              <w:t>10.3</w:t>
            </w:r>
          </w:p>
        </w:tc>
        <w:tc>
          <w:tcPr>
            <w:tcW w:w="120" w:type="dxa"/>
            <w:tcBorders/>
            <w:shd w:fill="auto" w:val="clear"/>
            <w:vAlign w:val="center"/>
          </w:tcPr>
          <w:p>
            <w:pPr>
              <w:pStyle w:val="TableContents"/>
              <w:spacing w:before="0" w:after="283"/>
              <w:rPr/>
            </w:pPr>
            <w:r>
              <w:rPr/>
              <w:t>  </w:t>
            </w:r>
          </w:p>
        </w:tc>
        <w:tc>
          <w:tcPr>
            <w:tcW w:w="9448" w:type="dxa"/>
            <w:tcBorders/>
            <w:shd w:fill="auto" w:val="clear"/>
            <w:vAlign w:val="center"/>
          </w:tcPr>
          <w:p>
            <w:pPr>
              <w:pStyle w:val="TableContents"/>
              <w:spacing w:before="0" w:after="283"/>
              <w:rPr/>
            </w:pPr>
            <w:hyperlink r:id="rId48">
              <w:r>
                <w:rPr>
                  <w:rStyle w:val="InternetLink"/>
                </w:rPr>
                <w:t xml:space="preserve">Amendment No. 1 to the Dave &amp; Buster’s Parent, Inc. 2010 Management Incentive Plan (incorporated by reference to Exhibit 10.2 to the quarterly report on Form </w:t>
              </w:r>
            </w:hyperlink>
            <w:hyperlink r:id="rId49">
              <w:r>
                <w:rPr>
                  <w:rStyle w:val="InternetLink"/>
                  <w:spacing w:val="0"/>
                </w:rPr>
                <w:t>10-Q</w:t>
              </w:r>
            </w:hyperlink>
            <w:hyperlink r:id="rId50">
              <w:r>
                <w:rPr>
                  <w:rStyle w:val="InternetLink"/>
                </w:rPr>
                <w:t xml:space="preserve"> filed by Dave &amp; Buster’s, Inc. on June 15, 2011) (No. </w:t>
              </w:r>
            </w:hyperlink>
            <w:hyperlink r:id="rId51">
              <w:r>
                <w:rPr>
                  <w:rStyle w:val="InternetLink"/>
                  <w:spacing w:val="0"/>
                </w:rPr>
                <w:t>001-15007)</w:t>
              </w:r>
            </w:hyperlink>
            <w:hyperlink r:id="rId52">
              <w:r>
                <w:rPr>
                  <w:rStyle w:val="InternetLink"/>
                </w:rPr>
                <w:t xml:space="preserve"> </w:t>
              </w:r>
            </w:hyperlink>
          </w:p>
        </w:tc>
      </w:tr>
      <w:tr>
        <w:trPr/>
        <w:tc>
          <w:tcPr>
            <w:tcW w:w="637" w:type="dxa"/>
            <w:tcBorders/>
            <w:shd w:fill="auto" w:val="clear"/>
            <w:vAlign w:val="center"/>
          </w:tcPr>
          <w:p>
            <w:pPr>
              <w:pStyle w:val="TableContents"/>
              <w:spacing w:before="0" w:after="283"/>
              <w:rPr/>
            </w:pPr>
            <w:r>
              <w:rPr/>
              <w:t> </w:t>
            </w:r>
          </w:p>
        </w:tc>
        <w:tc>
          <w:tcPr>
            <w:tcW w:w="9568" w:type="dxa"/>
            <w:gridSpan w:val="2"/>
            <w:tcBorders/>
            <w:shd w:fill="auto" w:val="clear"/>
            <w:vAlign w:val="center"/>
          </w:tcPr>
          <w:p>
            <w:pPr>
              <w:pStyle w:val="TableContents"/>
              <w:spacing w:before="0" w:after="283"/>
              <w:rPr/>
            </w:pPr>
            <w:r>
              <w:rPr/>
              <w:t> </w:t>
            </w:r>
          </w:p>
        </w:tc>
      </w:tr>
      <w:tr>
        <w:trPr/>
        <w:tc>
          <w:tcPr>
            <w:tcW w:w="637" w:type="dxa"/>
            <w:tcBorders/>
            <w:shd w:fill="auto" w:val="clear"/>
            <w:vAlign w:val="center"/>
          </w:tcPr>
          <w:p>
            <w:pPr>
              <w:pStyle w:val="TableContents"/>
              <w:spacing w:before="0" w:after="283"/>
              <w:rPr/>
            </w:pPr>
            <w:r>
              <w:rPr/>
              <w:t>  </w:t>
            </w:r>
            <w:r>
              <w:rPr/>
              <w:t>10.4</w:t>
            </w:r>
          </w:p>
        </w:tc>
        <w:tc>
          <w:tcPr>
            <w:tcW w:w="120" w:type="dxa"/>
            <w:tcBorders/>
            <w:shd w:fill="auto" w:val="clear"/>
            <w:vAlign w:val="center"/>
          </w:tcPr>
          <w:p>
            <w:pPr>
              <w:pStyle w:val="TableContents"/>
              <w:spacing w:before="0" w:after="283"/>
              <w:rPr/>
            </w:pPr>
            <w:r>
              <w:rPr/>
              <w:t>  </w:t>
            </w:r>
          </w:p>
        </w:tc>
        <w:tc>
          <w:tcPr>
            <w:tcW w:w="9448" w:type="dxa"/>
            <w:tcBorders/>
            <w:shd w:fill="auto" w:val="clear"/>
            <w:vAlign w:val="center"/>
          </w:tcPr>
          <w:p>
            <w:pPr>
              <w:pStyle w:val="TableContents"/>
              <w:spacing w:before="0" w:after="283"/>
              <w:rPr/>
            </w:pPr>
            <w:hyperlink r:id="rId53">
              <w:r>
                <w:rPr>
                  <w:rStyle w:val="InternetLink"/>
                </w:rPr>
                <w:t xml:space="preserve">Amendment No. 2 to the Dave &amp; Buster’s Parent, Inc. 2010 Management Incentive Plan (incorporated by reference to Exhibit 10.6 to the annual report on Form </w:t>
              </w:r>
            </w:hyperlink>
            <w:hyperlink r:id="rId54">
              <w:r>
                <w:rPr>
                  <w:rStyle w:val="InternetLink"/>
                  <w:spacing w:val="0"/>
                </w:rPr>
                <w:t>10-K</w:t>
              </w:r>
            </w:hyperlink>
            <w:hyperlink r:id="rId55">
              <w:r>
                <w:rPr>
                  <w:rStyle w:val="InternetLink"/>
                </w:rPr>
                <w:t xml:space="preserve"> filed by Dave &amp; Buster’s, Inc. on April 16, 2013) (No. </w:t>
              </w:r>
            </w:hyperlink>
            <w:hyperlink r:id="rId56">
              <w:r>
                <w:rPr>
                  <w:rStyle w:val="InternetLink"/>
                  <w:spacing w:val="0"/>
                </w:rPr>
                <w:t>001-15007)</w:t>
              </w:r>
            </w:hyperlink>
            <w:hyperlink r:id="rId57">
              <w:r>
                <w:rPr>
                  <w:rStyle w:val="InternetLink"/>
                </w:rPr>
                <w:t xml:space="preserve"> </w:t>
              </w:r>
            </w:hyperlink>
          </w:p>
        </w:tc>
      </w:tr>
      <w:tr>
        <w:trPr/>
        <w:tc>
          <w:tcPr>
            <w:tcW w:w="637" w:type="dxa"/>
            <w:tcBorders/>
            <w:shd w:fill="auto" w:val="clear"/>
            <w:vAlign w:val="center"/>
          </w:tcPr>
          <w:p>
            <w:pPr>
              <w:pStyle w:val="TableContents"/>
              <w:spacing w:before="0" w:after="283"/>
              <w:rPr/>
            </w:pPr>
            <w:r>
              <w:rPr/>
              <w:t> </w:t>
            </w:r>
          </w:p>
        </w:tc>
        <w:tc>
          <w:tcPr>
            <w:tcW w:w="9568" w:type="dxa"/>
            <w:gridSpan w:val="2"/>
            <w:tcBorders/>
            <w:shd w:fill="auto" w:val="clear"/>
            <w:vAlign w:val="center"/>
          </w:tcPr>
          <w:p>
            <w:pPr>
              <w:pStyle w:val="TableContents"/>
              <w:spacing w:before="0" w:after="283"/>
              <w:rPr/>
            </w:pPr>
            <w:r>
              <w:rPr/>
              <w:t> </w:t>
            </w:r>
          </w:p>
        </w:tc>
      </w:tr>
      <w:tr>
        <w:trPr/>
        <w:tc>
          <w:tcPr>
            <w:tcW w:w="637" w:type="dxa"/>
            <w:tcBorders/>
            <w:shd w:fill="auto" w:val="clear"/>
            <w:vAlign w:val="center"/>
          </w:tcPr>
          <w:p>
            <w:pPr>
              <w:pStyle w:val="TableContents"/>
              <w:spacing w:before="0" w:after="283"/>
              <w:rPr/>
            </w:pPr>
            <w:r>
              <w:rPr/>
              <w:t>  </w:t>
            </w:r>
            <w:r>
              <w:rPr/>
              <w:t>10.5</w:t>
            </w:r>
          </w:p>
        </w:tc>
        <w:tc>
          <w:tcPr>
            <w:tcW w:w="120" w:type="dxa"/>
            <w:tcBorders/>
            <w:shd w:fill="auto" w:val="clear"/>
            <w:vAlign w:val="center"/>
          </w:tcPr>
          <w:p>
            <w:pPr>
              <w:pStyle w:val="TableContents"/>
              <w:spacing w:before="0" w:after="283"/>
              <w:rPr/>
            </w:pPr>
            <w:r>
              <w:rPr/>
              <w:t>  </w:t>
            </w:r>
          </w:p>
        </w:tc>
        <w:tc>
          <w:tcPr>
            <w:tcW w:w="9448" w:type="dxa"/>
            <w:tcBorders/>
            <w:shd w:fill="auto" w:val="clear"/>
            <w:vAlign w:val="center"/>
          </w:tcPr>
          <w:p>
            <w:pPr>
              <w:pStyle w:val="TableContents"/>
              <w:spacing w:before="0" w:after="283"/>
              <w:rPr/>
            </w:pPr>
            <w:r>
              <w:fldChar w:fldCharType="begin"/>
            </w:r>
            <w:r>
              <w:rPr>
                <w:rStyle w:val="InternetLink"/>
              </w:rPr>
              <w:instrText> HYPERLINK "http://www.sec.gov/Archives/edgar/data/1525769/000119312520141613/d831760ddef14a.htm" \l "toc831760_50"</w:instrText>
            </w:r>
            <w:r>
              <w:rPr>
                <w:rStyle w:val="InternetLink"/>
              </w:rPr>
              <w:fldChar w:fldCharType="separate"/>
            </w:r>
            <w:r>
              <w:rPr>
                <w:rStyle w:val="InternetLink"/>
              </w:rPr>
              <w:t xml:space="preserve">Dave &amp; Buster’s Entertainment, Inc. Amended and Restated 2014 Omnibus Incentive Plan (incorporated by reference to Appendix A to the Proxy Statement filed by Dave &amp; Buster’s Entertainment, Inc. on May 13, 2020 (No. </w:t>
            </w:r>
            <w:r>
              <w:rPr>
                <w:rStyle w:val="InternetLink"/>
              </w:rPr>
              <w:fldChar w:fldCharType="end"/>
            </w:r>
            <w:r>
              <w:fldChar w:fldCharType="begin"/>
            </w:r>
            <w:r>
              <w:rPr>
                <w:rStyle w:val="InternetLink"/>
                <w:spacing w:val="0"/>
              </w:rPr>
              <w:instrText> HYPERLINK "http://www.sec.gov/Archives/edgar/data/1525769/000119312520141613/d831760ddef14a.htm" \l "toc831760_50"</w:instrText>
            </w:r>
            <w:r>
              <w:rPr>
                <w:rStyle w:val="InternetLink"/>
                <w:spacing w:val="0"/>
              </w:rPr>
              <w:fldChar w:fldCharType="separate"/>
            </w:r>
            <w:r>
              <w:rPr>
                <w:rStyle w:val="InternetLink"/>
                <w:spacing w:val="0"/>
              </w:rPr>
              <w:t>001-35664))</w:t>
            </w:r>
            <w:r>
              <w:rPr>
                <w:rStyle w:val="InternetLink"/>
                <w:spacing w:val="0"/>
              </w:rPr>
              <w:fldChar w:fldCharType="end"/>
            </w:r>
            <w:r>
              <w:fldChar w:fldCharType="begin"/>
            </w:r>
            <w:r>
              <w:rPr>
                <w:rStyle w:val="InternetLink"/>
              </w:rPr>
              <w:instrText> HYPERLINK "http://www.sec.gov/Archives/edgar/data/1525769/000119312520141613/d831760ddef14a.htm" \l "toc831760_50"</w:instrText>
            </w:r>
            <w:r>
              <w:rPr>
                <w:rStyle w:val="InternetLink"/>
              </w:rPr>
              <w:fldChar w:fldCharType="separate"/>
            </w:r>
            <w:r>
              <w:rPr>
                <w:rStyle w:val="InternetLink"/>
              </w:rPr>
              <w:t xml:space="preserve"> </w:t>
            </w:r>
            <w:r>
              <w:rPr>
                <w:rStyle w:val="InternetLink"/>
              </w:rPr>
              <w:fldChar w:fldCharType="end"/>
            </w:r>
          </w:p>
        </w:tc>
      </w:tr>
      <w:tr>
        <w:trPr/>
        <w:tc>
          <w:tcPr>
            <w:tcW w:w="637" w:type="dxa"/>
            <w:tcBorders/>
            <w:shd w:fill="auto" w:val="clear"/>
            <w:vAlign w:val="center"/>
          </w:tcPr>
          <w:p>
            <w:pPr>
              <w:pStyle w:val="TableContents"/>
              <w:spacing w:before="0" w:after="283"/>
              <w:rPr/>
            </w:pPr>
            <w:r>
              <w:rPr/>
              <w:t> </w:t>
            </w:r>
          </w:p>
        </w:tc>
        <w:tc>
          <w:tcPr>
            <w:tcW w:w="9568" w:type="dxa"/>
            <w:gridSpan w:val="2"/>
            <w:tcBorders/>
            <w:shd w:fill="auto" w:val="clear"/>
            <w:vAlign w:val="center"/>
          </w:tcPr>
          <w:p>
            <w:pPr>
              <w:pStyle w:val="TableContents"/>
              <w:spacing w:before="0" w:after="283"/>
              <w:rPr/>
            </w:pPr>
            <w:r>
              <w:rPr/>
              <w:t> </w:t>
            </w:r>
          </w:p>
        </w:tc>
      </w:tr>
      <w:tr>
        <w:trPr/>
        <w:tc>
          <w:tcPr>
            <w:tcW w:w="637" w:type="dxa"/>
            <w:tcBorders/>
            <w:shd w:fill="auto" w:val="clear"/>
            <w:vAlign w:val="center"/>
          </w:tcPr>
          <w:p>
            <w:pPr>
              <w:pStyle w:val="TableContents"/>
              <w:spacing w:before="0" w:after="283"/>
              <w:rPr/>
            </w:pPr>
            <w:r>
              <w:rPr/>
              <w:t>  </w:t>
            </w:r>
            <w:r>
              <w:rPr/>
              <w:t>10.6</w:t>
            </w:r>
          </w:p>
        </w:tc>
        <w:tc>
          <w:tcPr>
            <w:tcW w:w="120" w:type="dxa"/>
            <w:tcBorders/>
            <w:shd w:fill="auto" w:val="clear"/>
            <w:vAlign w:val="center"/>
          </w:tcPr>
          <w:p>
            <w:pPr>
              <w:pStyle w:val="TableContents"/>
              <w:spacing w:before="0" w:after="283"/>
              <w:rPr/>
            </w:pPr>
            <w:r>
              <w:rPr/>
              <w:t>  </w:t>
            </w:r>
          </w:p>
        </w:tc>
        <w:tc>
          <w:tcPr>
            <w:tcW w:w="9448" w:type="dxa"/>
            <w:tcBorders/>
            <w:shd w:fill="auto" w:val="clear"/>
            <w:vAlign w:val="center"/>
          </w:tcPr>
          <w:p>
            <w:pPr>
              <w:pStyle w:val="TableContents"/>
              <w:spacing w:before="0" w:after="283"/>
              <w:rPr/>
            </w:pPr>
            <w:hyperlink r:id="rId58">
              <w:r>
                <w:rPr>
                  <w:rStyle w:val="InternetLink"/>
                </w:rPr>
                <w:t xml:space="preserve">Form of Nonqualified Stock Option Award Agreement, by and between Dave &amp; Buster’s Entertainment, Inc. and various Directors of the Company (incorporated by reference to Exhibit 10.7 to the Form </w:t>
              </w:r>
            </w:hyperlink>
            <w:hyperlink r:id="rId59">
              <w:r>
                <w:rPr>
                  <w:rStyle w:val="InternetLink"/>
                  <w:spacing w:val="0"/>
                </w:rPr>
                <w:t>S-1</w:t>
              </w:r>
            </w:hyperlink>
            <w:hyperlink r:id="rId60">
              <w:r>
                <w:rPr>
                  <w:rStyle w:val="InternetLink"/>
                </w:rPr>
                <w:t xml:space="preserve"> Registration Statement filed by Dave &amp; Buster’s Entertainment, Inc. on September 18, 2015 (No. </w:t>
              </w:r>
            </w:hyperlink>
            <w:hyperlink r:id="rId61">
              <w:r>
                <w:rPr>
                  <w:rStyle w:val="InternetLink"/>
                  <w:spacing w:val="0"/>
                </w:rPr>
                <w:t>333-207031))</w:t>
              </w:r>
            </w:hyperlink>
            <w:hyperlink r:id="rId62">
              <w:r>
                <w:rPr>
                  <w:rStyle w:val="InternetLink"/>
                </w:rPr>
                <w:t xml:space="preserve"> </w:t>
              </w:r>
            </w:hyperlink>
          </w:p>
        </w:tc>
      </w:tr>
    </w:tbl>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55 </w:t>
      </w:r>
    </w:p>
    <w:p>
      <w:pPr>
        <w:pStyle w:val="HorizontalLine"/>
        <w:rPr/>
      </w:pPr>
      <w:r>
        <w:rPr/>
      </w:r>
    </w:p>
    <w:p>
      <w:pPr>
        <w:pStyle w:val="TextBody"/>
        <w:spacing w:before="0" w:after="0"/>
        <w:rPr/>
      </w:pPr>
      <w:hyperlink w:anchor="toc">
        <w:r>
          <w:rPr>
            <w:rStyle w:val="InternetLink"/>
            <w:b/>
            <w:sz w:val="20"/>
          </w:rPr>
          <w:t>Table of Contents</w:t>
        </w:r>
      </w:hyperlink>
    </w:p>
    <w:tbl>
      <w:tblPr>
        <w:tblW w:w="10205" w:type="dxa"/>
        <w:jc w:val="left"/>
        <w:tblInd w:w="0" w:type="dxa"/>
        <w:tblCellMar>
          <w:top w:w="0" w:type="dxa"/>
          <w:left w:w="0" w:type="dxa"/>
          <w:bottom w:w="0" w:type="dxa"/>
          <w:right w:w="0" w:type="dxa"/>
        </w:tblCellMar>
      </w:tblPr>
      <w:tblGrid>
        <w:gridCol w:w="695"/>
        <w:gridCol w:w="120"/>
        <w:gridCol w:w="9390"/>
      </w:tblGrid>
      <w:tr>
        <w:trPr/>
        <w:tc>
          <w:tcPr>
            <w:tcW w:w="69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9390" w:type="dxa"/>
            <w:tcBorders/>
            <w:shd w:fill="auto" w:val="clear"/>
            <w:vAlign w:val="center"/>
          </w:tcPr>
          <w:p>
            <w:pPr>
              <w:pStyle w:val="TableContents"/>
              <w:spacing w:before="0" w:after="283"/>
              <w:rPr>
                <w:sz w:val="4"/>
                <w:szCs w:val="4"/>
              </w:rPr>
            </w:pPr>
            <w:r>
              <w:rPr>
                <w:sz w:val="4"/>
                <w:szCs w:val="4"/>
              </w:rPr>
            </w:r>
          </w:p>
        </w:tc>
      </w:tr>
      <w:tr>
        <w:trPr/>
        <w:tc>
          <w:tcPr>
            <w:tcW w:w="695" w:type="dxa"/>
            <w:tcBorders/>
            <w:shd w:fill="auto" w:val="clear"/>
            <w:vAlign w:val="center"/>
          </w:tcPr>
          <w:p>
            <w:pPr>
              <w:pStyle w:val="TableContents"/>
              <w:spacing w:before="0" w:after="0"/>
              <w:jc w:val="center"/>
              <w:rPr>
                <w:rFonts w:ascii="Times New Roman" w:hAnsi="Times New Roman"/>
                <w:b/>
                <w:spacing w:val="0"/>
                <w:sz w:val="16"/>
              </w:rPr>
            </w:pPr>
            <w:r>
              <w:rPr>
                <w:rFonts w:ascii="Times New Roman" w:hAnsi="Times New Roman"/>
                <w:b/>
                <w:spacing w:val="0"/>
                <w:sz w:val="16"/>
              </w:rPr>
              <w:t>Exhibit</w:t>
            </w:r>
          </w:p>
          <w:p>
            <w:pPr>
              <w:pStyle w:val="TableContents"/>
              <w:spacing w:before="0" w:after="20"/>
              <w:jc w:val="center"/>
              <w:rPr>
                <w:rFonts w:ascii="Times New Roman" w:hAnsi="Times New Roman"/>
                <w:b/>
                <w:spacing w:val="0"/>
                <w:sz w:val="16"/>
                <w:bdr w:val="single" w:sz="8" w:space="1" w:color="000000"/>
              </w:rPr>
            </w:pPr>
            <w:r>
              <w:rPr>
                <w:rFonts w:ascii="Times New Roman" w:hAnsi="Times New Roman"/>
                <w:b/>
                <w:spacing w:val="0"/>
                <w:sz w:val="16"/>
                <w:bdr w:val="single" w:sz="8" w:space="1" w:color="000000"/>
              </w:rPr>
              <w:t>Number</w:t>
            </w:r>
          </w:p>
        </w:tc>
        <w:tc>
          <w:tcPr>
            <w:tcW w:w="120" w:type="dxa"/>
            <w:tcBorders/>
            <w:shd w:fill="auto" w:val="clear"/>
            <w:vAlign w:val="center"/>
          </w:tcPr>
          <w:p>
            <w:pPr>
              <w:pStyle w:val="TableContents"/>
              <w:spacing w:before="0" w:after="283"/>
              <w:rPr/>
            </w:pPr>
            <w:r>
              <w:rPr/>
              <w:t>  </w:t>
            </w:r>
          </w:p>
        </w:tc>
        <w:tc>
          <w:tcPr>
            <w:tcW w:w="9390" w:type="dxa"/>
            <w:tcBorders/>
            <w:shd w:fill="auto" w:val="clear"/>
            <w:vAlign w:val="center"/>
          </w:tcPr>
          <w:p>
            <w:pPr>
              <w:pStyle w:val="TableContents"/>
              <w:spacing w:before="0" w:after="0"/>
              <w:jc w:val="center"/>
              <w:rPr>
                <w:rFonts w:ascii="Times New Roman" w:hAnsi="Times New Roman"/>
                <w:b/>
                <w:spacing w:val="0"/>
                <w:sz w:val="16"/>
                <w:bdr w:val="single" w:sz="8" w:space="1" w:color="000000"/>
              </w:rPr>
            </w:pPr>
            <w:r>
              <w:rPr>
                <w:rFonts w:ascii="Times New Roman" w:hAnsi="Times New Roman"/>
                <w:b/>
                <w:spacing w:val="0"/>
                <w:sz w:val="16"/>
                <w:bdr w:val="single" w:sz="8" w:space="1" w:color="000000"/>
              </w:rPr>
              <w:t>Description</w:t>
            </w:r>
          </w:p>
        </w:tc>
      </w:tr>
      <w:tr>
        <w:trPr/>
        <w:tc>
          <w:tcPr>
            <w:tcW w:w="695" w:type="dxa"/>
            <w:tcBorders/>
            <w:shd w:fill="auto" w:val="clear"/>
            <w:vAlign w:val="center"/>
          </w:tcPr>
          <w:p>
            <w:pPr>
              <w:pStyle w:val="TableContents"/>
              <w:spacing w:before="0" w:after="283"/>
              <w:rPr/>
            </w:pPr>
            <w:r>
              <w:rPr/>
              <w:t> </w:t>
            </w:r>
          </w:p>
        </w:tc>
        <w:tc>
          <w:tcPr>
            <w:tcW w:w="9510" w:type="dxa"/>
            <w:gridSpan w:val="2"/>
            <w:tcBorders/>
            <w:shd w:fill="auto" w:val="clear"/>
            <w:vAlign w:val="center"/>
          </w:tcPr>
          <w:p>
            <w:pPr>
              <w:pStyle w:val="TableContents"/>
              <w:spacing w:before="0" w:after="283"/>
              <w:rPr/>
            </w:pPr>
            <w:r>
              <w:rPr/>
              <w:t> </w:t>
            </w:r>
          </w:p>
        </w:tc>
      </w:tr>
      <w:tr>
        <w:trPr/>
        <w:tc>
          <w:tcPr>
            <w:tcW w:w="695" w:type="dxa"/>
            <w:tcBorders/>
            <w:shd w:fill="auto" w:val="clear"/>
            <w:vAlign w:val="center"/>
          </w:tcPr>
          <w:p>
            <w:pPr>
              <w:pStyle w:val="TableContents"/>
              <w:spacing w:before="0" w:after="283"/>
              <w:rPr/>
            </w:pPr>
            <w:r>
              <w:rPr/>
              <w:t>  </w:t>
            </w:r>
            <w:r>
              <w:rPr/>
              <w:t>10.7</w:t>
            </w:r>
          </w:p>
        </w:tc>
        <w:tc>
          <w:tcPr>
            <w:tcW w:w="120" w:type="dxa"/>
            <w:tcBorders/>
            <w:shd w:fill="auto" w:val="clear"/>
            <w:vAlign w:val="center"/>
          </w:tcPr>
          <w:p>
            <w:pPr>
              <w:pStyle w:val="TableContents"/>
              <w:spacing w:before="0" w:after="283"/>
              <w:rPr/>
            </w:pPr>
            <w:r>
              <w:rPr/>
              <w:t>  </w:t>
            </w:r>
          </w:p>
        </w:tc>
        <w:tc>
          <w:tcPr>
            <w:tcW w:w="9390" w:type="dxa"/>
            <w:tcBorders/>
            <w:shd w:fill="auto" w:val="clear"/>
            <w:vAlign w:val="center"/>
          </w:tcPr>
          <w:p>
            <w:pPr>
              <w:pStyle w:val="TableContents"/>
              <w:spacing w:before="0" w:after="283"/>
              <w:rPr/>
            </w:pPr>
            <w:hyperlink r:id="rId63">
              <w:r>
                <w:rPr>
                  <w:rStyle w:val="InternetLink"/>
                </w:rPr>
                <w:t xml:space="preserve">Form of Nonqualified Stock Option Award Agreement, by and between Dave &amp; Buster’s Entertainment, Inc. and various employees of the Company (incorporated by reference to Exhibit 10.8 to the Form </w:t>
              </w:r>
            </w:hyperlink>
            <w:hyperlink r:id="rId64">
              <w:r>
                <w:rPr>
                  <w:rStyle w:val="InternetLink"/>
                  <w:spacing w:val="0"/>
                </w:rPr>
                <w:t>S-1</w:t>
              </w:r>
            </w:hyperlink>
            <w:hyperlink r:id="rId65">
              <w:r>
                <w:rPr>
                  <w:rStyle w:val="InternetLink"/>
                </w:rPr>
                <w:t xml:space="preserve"> Registration Statement filed by Dave &amp; Buster’s Entertainment, Inc. on September 18, 2015 (No. </w:t>
              </w:r>
            </w:hyperlink>
            <w:hyperlink r:id="rId66">
              <w:r>
                <w:rPr>
                  <w:rStyle w:val="InternetLink"/>
                  <w:spacing w:val="0"/>
                </w:rPr>
                <w:t>333-207031))</w:t>
              </w:r>
            </w:hyperlink>
            <w:hyperlink r:id="rId67">
              <w:r>
                <w:rPr>
                  <w:rStyle w:val="InternetLink"/>
                </w:rPr>
                <w:t xml:space="preserve"> </w:t>
              </w:r>
            </w:hyperlink>
          </w:p>
        </w:tc>
      </w:tr>
      <w:tr>
        <w:trPr/>
        <w:tc>
          <w:tcPr>
            <w:tcW w:w="695" w:type="dxa"/>
            <w:tcBorders/>
            <w:shd w:fill="auto" w:val="clear"/>
            <w:vAlign w:val="center"/>
          </w:tcPr>
          <w:p>
            <w:pPr>
              <w:pStyle w:val="TableContents"/>
              <w:spacing w:before="0" w:after="283"/>
              <w:rPr/>
            </w:pPr>
            <w:r>
              <w:rPr/>
              <w:t> </w:t>
            </w:r>
          </w:p>
        </w:tc>
        <w:tc>
          <w:tcPr>
            <w:tcW w:w="9510" w:type="dxa"/>
            <w:gridSpan w:val="2"/>
            <w:tcBorders/>
            <w:shd w:fill="auto" w:val="clear"/>
            <w:vAlign w:val="center"/>
          </w:tcPr>
          <w:p>
            <w:pPr>
              <w:pStyle w:val="TableContents"/>
              <w:spacing w:before="0" w:after="283"/>
              <w:rPr/>
            </w:pPr>
            <w:r>
              <w:rPr/>
              <w:t> </w:t>
            </w:r>
          </w:p>
        </w:tc>
      </w:tr>
      <w:tr>
        <w:trPr/>
        <w:tc>
          <w:tcPr>
            <w:tcW w:w="695" w:type="dxa"/>
            <w:tcBorders/>
            <w:shd w:fill="auto" w:val="clear"/>
            <w:vAlign w:val="center"/>
          </w:tcPr>
          <w:p>
            <w:pPr>
              <w:pStyle w:val="TableContents"/>
              <w:spacing w:before="0" w:after="283"/>
              <w:rPr/>
            </w:pPr>
            <w:r>
              <w:rPr/>
              <w:t>  </w:t>
            </w:r>
            <w:r>
              <w:rPr/>
              <w:t>10.8</w:t>
            </w:r>
          </w:p>
        </w:tc>
        <w:tc>
          <w:tcPr>
            <w:tcW w:w="120" w:type="dxa"/>
            <w:tcBorders/>
            <w:shd w:fill="auto" w:val="clear"/>
            <w:vAlign w:val="center"/>
          </w:tcPr>
          <w:p>
            <w:pPr>
              <w:pStyle w:val="TableContents"/>
              <w:spacing w:before="0" w:after="283"/>
              <w:rPr/>
            </w:pPr>
            <w:r>
              <w:rPr/>
              <w:t>  </w:t>
            </w:r>
          </w:p>
        </w:tc>
        <w:tc>
          <w:tcPr>
            <w:tcW w:w="9390" w:type="dxa"/>
            <w:tcBorders/>
            <w:shd w:fill="auto" w:val="clear"/>
            <w:vAlign w:val="center"/>
          </w:tcPr>
          <w:p>
            <w:pPr>
              <w:pStyle w:val="TableContents"/>
              <w:spacing w:before="0" w:after="283"/>
              <w:rPr/>
            </w:pPr>
            <w:hyperlink r:id="rId68">
              <w:r>
                <w:rPr>
                  <w:rStyle w:val="InternetLink"/>
                </w:rPr>
                <w:t xml:space="preserve">Form of Restricted Stock Award Agreement, by and between Dave &amp; Buster’s Entertainment, Inc. and various Directors of the Company (incorporated by reference to Exhibit 10.9 to the Form </w:t>
              </w:r>
            </w:hyperlink>
            <w:hyperlink r:id="rId69">
              <w:r>
                <w:rPr>
                  <w:rStyle w:val="InternetLink"/>
                  <w:spacing w:val="0"/>
                </w:rPr>
                <w:t>S-1</w:t>
              </w:r>
            </w:hyperlink>
            <w:hyperlink r:id="rId70">
              <w:r>
                <w:rPr>
                  <w:rStyle w:val="InternetLink"/>
                </w:rPr>
                <w:t xml:space="preserve"> Registration Statement filed by Dave &amp; Buster’s Entertainment, Inc. on September 18, 2015 (No. </w:t>
              </w:r>
            </w:hyperlink>
            <w:hyperlink r:id="rId71">
              <w:r>
                <w:rPr>
                  <w:rStyle w:val="InternetLink"/>
                  <w:spacing w:val="0"/>
                </w:rPr>
                <w:t>333-207031))</w:t>
              </w:r>
            </w:hyperlink>
            <w:hyperlink r:id="rId72">
              <w:r>
                <w:rPr>
                  <w:rStyle w:val="InternetLink"/>
                </w:rPr>
                <w:t xml:space="preserve"> </w:t>
              </w:r>
            </w:hyperlink>
          </w:p>
        </w:tc>
      </w:tr>
      <w:tr>
        <w:trPr/>
        <w:tc>
          <w:tcPr>
            <w:tcW w:w="695" w:type="dxa"/>
            <w:tcBorders/>
            <w:shd w:fill="auto" w:val="clear"/>
            <w:vAlign w:val="center"/>
          </w:tcPr>
          <w:p>
            <w:pPr>
              <w:pStyle w:val="TableContents"/>
              <w:spacing w:before="0" w:after="283"/>
              <w:rPr/>
            </w:pPr>
            <w:r>
              <w:rPr/>
              <w:t> </w:t>
            </w:r>
          </w:p>
        </w:tc>
        <w:tc>
          <w:tcPr>
            <w:tcW w:w="9510" w:type="dxa"/>
            <w:gridSpan w:val="2"/>
            <w:tcBorders/>
            <w:shd w:fill="auto" w:val="clear"/>
            <w:vAlign w:val="center"/>
          </w:tcPr>
          <w:p>
            <w:pPr>
              <w:pStyle w:val="TableContents"/>
              <w:spacing w:before="0" w:after="283"/>
              <w:rPr/>
            </w:pPr>
            <w:r>
              <w:rPr/>
              <w:t> </w:t>
            </w:r>
          </w:p>
        </w:tc>
      </w:tr>
      <w:tr>
        <w:trPr/>
        <w:tc>
          <w:tcPr>
            <w:tcW w:w="695" w:type="dxa"/>
            <w:tcBorders/>
            <w:shd w:fill="auto" w:val="clear"/>
            <w:vAlign w:val="center"/>
          </w:tcPr>
          <w:p>
            <w:pPr>
              <w:pStyle w:val="TableContents"/>
              <w:spacing w:before="0" w:after="283"/>
              <w:rPr/>
            </w:pPr>
            <w:r>
              <w:rPr/>
              <w:t>  </w:t>
            </w:r>
            <w:r>
              <w:rPr/>
              <w:t>10.9</w:t>
            </w:r>
          </w:p>
        </w:tc>
        <w:tc>
          <w:tcPr>
            <w:tcW w:w="120" w:type="dxa"/>
            <w:tcBorders/>
            <w:shd w:fill="auto" w:val="clear"/>
            <w:vAlign w:val="center"/>
          </w:tcPr>
          <w:p>
            <w:pPr>
              <w:pStyle w:val="TableContents"/>
              <w:spacing w:before="0" w:after="283"/>
              <w:rPr/>
            </w:pPr>
            <w:r>
              <w:rPr/>
              <w:t>  </w:t>
            </w:r>
          </w:p>
        </w:tc>
        <w:tc>
          <w:tcPr>
            <w:tcW w:w="9390" w:type="dxa"/>
            <w:tcBorders/>
            <w:shd w:fill="auto" w:val="clear"/>
            <w:vAlign w:val="center"/>
          </w:tcPr>
          <w:p>
            <w:pPr>
              <w:pStyle w:val="TableContents"/>
              <w:spacing w:before="0" w:after="283"/>
              <w:rPr/>
            </w:pPr>
            <w:hyperlink r:id="rId73">
              <w:r>
                <w:rPr>
                  <w:rStyle w:val="InternetLink"/>
                </w:rPr>
                <w:t xml:space="preserve">Form of Restricted Stock Unit and Cash Award Agreement, by and between Dave &amp; Buster’s Entertainment, Inc. and various employees of the Company (incorporated by reference to Exhibit 10.10 to the Form </w:t>
              </w:r>
            </w:hyperlink>
            <w:hyperlink r:id="rId74">
              <w:r>
                <w:rPr>
                  <w:rStyle w:val="InternetLink"/>
                  <w:spacing w:val="0"/>
                </w:rPr>
                <w:t>S-1</w:t>
              </w:r>
            </w:hyperlink>
            <w:hyperlink r:id="rId75">
              <w:r>
                <w:rPr>
                  <w:rStyle w:val="InternetLink"/>
                </w:rPr>
                <w:t xml:space="preserve"> Registration Statement filed by Dave &amp; Buster’s Entertainment, Inc. on September 18, 2015 (No. </w:t>
              </w:r>
            </w:hyperlink>
            <w:hyperlink r:id="rId76">
              <w:r>
                <w:rPr>
                  <w:rStyle w:val="InternetLink"/>
                  <w:spacing w:val="0"/>
                </w:rPr>
                <w:t>333-207031))</w:t>
              </w:r>
            </w:hyperlink>
            <w:hyperlink r:id="rId77">
              <w:r>
                <w:rPr>
                  <w:rStyle w:val="InternetLink"/>
                </w:rPr>
                <w:t xml:space="preserve"> </w:t>
              </w:r>
            </w:hyperlink>
          </w:p>
        </w:tc>
      </w:tr>
      <w:tr>
        <w:trPr/>
        <w:tc>
          <w:tcPr>
            <w:tcW w:w="695" w:type="dxa"/>
            <w:tcBorders/>
            <w:shd w:fill="auto" w:val="clear"/>
            <w:vAlign w:val="center"/>
          </w:tcPr>
          <w:p>
            <w:pPr>
              <w:pStyle w:val="TableContents"/>
              <w:spacing w:before="0" w:after="283"/>
              <w:rPr/>
            </w:pPr>
            <w:r>
              <w:rPr/>
              <w:t> </w:t>
            </w:r>
          </w:p>
        </w:tc>
        <w:tc>
          <w:tcPr>
            <w:tcW w:w="9510" w:type="dxa"/>
            <w:gridSpan w:val="2"/>
            <w:tcBorders/>
            <w:shd w:fill="auto" w:val="clear"/>
            <w:vAlign w:val="center"/>
          </w:tcPr>
          <w:p>
            <w:pPr>
              <w:pStyle w:val="TableContents"/>
              <w:spacing w:before="0" w:after="283"/>
              <w:rPr/>
            </w:pPr>
            <w:r>
              <w:rPr/>
              <w:t> </w:t>
            </w:r>
          </w:p>
        </w:tc>
      </w:tr>
      <w:tr>
        <w:trPr/>
        <w:tc>
          <w:tcPr>
            <w:tcW w:w="695" w:type="dxa"/>
            <w:tcBorders/>
            <w:shd w:fill="auto" w:val="clear"/>
            <w:vAlign w:val="center"/>
          </w:tcPr>
          <w:p>
            <w:pPr>
              <w:pStyle w:val="TableContents"/>
              <w:spacing w:before="0" w:after="283"/>
              <w:rPr/>
            </w:pPr>
            <w:r>
              <w:rPr/>
              <w:t>  </w:t>
            </w:r>
            <w:r>
              <w:rPr/>
              <w:t>10.10</w:t>
            </w:r>
          </w:p>
        </w:tc>
        <w:tc>
          <w:tcPr>
            <w:tcW w:w="120" w:type="dxa"/>
            <w:tcBorders/>
            <w:shd w:fill="auto" w:val="clear"/>
            <w:vAlign w:val="center"/>
          </w:tcPr>
          <w:p>
            <w:pPr>
              <w:pStyle w:val="TableContents"/>
              <w:spacing w:before="0" w:after="283"/>
              <w:rPr/>
            </w:pPr>
            <w:r>
              <w:rPr/>
              <w:t>  </w:t>
            </w:r>
          </w:p>
        </w:tc>
        <w:tc>
          <w:tcPr>
            <w:tcW w:w="9390" w:type="dxa"/>
            <w:tcBorders/>
            <w:shd w:fill="auto" w:val="clear"/>
            <w:vAlign w:val="center"/>
          </w:tcPr>
          <w:p>
            <w:pPr>
              <w:pStyle w:val="TableContents"/>
              <w:spacing w:before="0" w:after="283"/>
              <w:rPr/>
            </w:pPr>
            <w:hyperlink r:id="rId78">
              <w:r>
                <w:rPr>
                  <w:rStyle w:val="InternetLink"/>
                </w:rPr>
                <w:t xml:space="preserve">Dave &amp; Buster’s Select Executive Retirement Plan as amended and restated by Dave &amp; Buster’s Management Corporation, Inc., effective as of January 1, 2017, (incorporated by reference to Exhibit 10.1 to the quarterly report on Form </w:t>
              </w:r>
            </w:hyperlink>
            <w:hyperlink r:id="rId79">
              <w:r>
                <w:rPr>
                  <w:rStyle w:val="InternetLink"/>
                  <w:spacing w:val="0"/>
                </w:rPr>
                <w:t>10-Q</w:t>
              </w:r>
            </w:hyperlink>
            <w:hyperlink r:id="rId80">
              <w:r>
                <w:rPr>
                  <w:rStyle w:val="InternetLink"/>
                </w:rPr>
                <w:t xml:space="preserve"> filed by Dave &amp; Buster’s Entertainment, Inc. on December 10, 2020 (No. </w:t>
              </w:r>
            </w:hyperlink>
            <w:hyperlink r:id="rId81">
              <w:r>
                <w:rPr>
                  <w:rStyle w:val="InternetLink"/>
                  <w:spacing w:val="0"/>
                </w:rPr>
                <w:t>001-35664))</w:t>
              </w:r>
            </w:hyperlink>
            <w:hyperlink r:id="rId82">
              <w:r>
                <w:rPr>
                  <w:rStyle w:val="InternetLink"/>
                </w:rPr>
                <w:t xml:space="preserve"> </w:t>
              </w:r>
            </w:hyperlink>
          </w:p>
        </w:tc>
      </w:tr>
      <w:tr>
        <w:trPr/>
        <w:tc>
          <w:tcPr>
            <w:tcW w:w="695" w:type="dxa"/>
            <w:tcBorders/>
            <w:shd w:fill="auto" w:val="clear"/>
            <w:vAlign w:val="center"/>
          </w:tcPr>
          <w:p>
            <w:pPr>
              <w:pStyle w:val="TableContents"/>
              <w:spacing w:before="0" w:after="283"/>
              <w:rPr/>
            </w:pPr>
            <w:r>
              <w:rPr/>
              <w:t> </w:t>
            </w:r>
          </w:p>
        </w:tc>
        <w:tc>
          <w:tcPr>
            <w:tcW w:w="9510" w:type="dxa"/>
            <w:gridSpan w:val="2"/>
            <w:tcBorders/>
            <w:shd w:fill="auto" w:val="clear"/>
            <w:vAlign w:val="center"/>
          </w:tcPr>
          <w:p>
            <w:pPr>
              <w:pStyle w:val="TableContents"/>
              <w:spacing w:before="0" w:after="283"/>
              <w:rPr/>
            </w:pPr>
            <w:r>
              <w:rPr/>
              <w:t> </w:t>
            </w:r>
          </w:p>
        </w:tc>
      </w:tr>
      <w:tr>
        <w:trPr/>
        <w:tc>
          <w:tcPr>
            <w:tcW w:w="695" w:type="dxa"/>
            <w:tcBorders/>
            <w:shd w:fill="auto" w:val="clear"/>
            <w:vAlign w:val="center"/>
          </w:tcPr>
          <w:p>
            <w:pPr>
              <w:pStyle w:val="TableContents"/>
              <w:spacing w:before="0" w:after="283"/>
              <w:rPr/>
            </w:pPr>
            <w:r>
              <w:rPr/>
              <w:t>  </w:t>
            </w:r>
            <w:r>
              <w:rPr/>
              <w:t>10.11</w:t>
            </w:r>
          </w:p>
        </w:tc>
        <w:tc>
          <w:tcPr>
            <w:tcW w:w="120" w:type="dxa"/>
            <w:tcBorders/>
            <w:shd w:fill="auto" w:val="clear"/>
            <w:vAlign w:val="center"/>
          </w:tcPr>
          <w:p>
            <w:pPr>
              <w:pStyle w:val="TableContents"/>
              <w:spacing w:before="0" w:after="283"/>
              <w:rPr/>
            </w:pPr>
            <w:r>
              <w:rPr/>
              <w:t>  </w:t>
            </w:r>
          </w:p>
        </w:tc>
        <w:tc>
          <w:tcPr>
            <w:tcW w:w="9390" w:type="dxa"/>
            <w:tcBorders/>
            <w:shd w:fill="auto" w:val="clear"/>
            <w:vAlign w:val="center"/>
          </w:tcPr>
          <w:p>
            <w:pPr>
              <w:pStyle w:val="TableContents"/>
              <w:spacing w:before="0" w:after="283"/>
              <w:rPr/>
            </w:pPr>
            <w:hyperlink r:id="rId83">
              <w:r>
                <w:rPr>
                  <w:rStyle w:val="InternetLink"/>
                </w:rPr>
                <w:t xml:space="preserve">Form of Indemnification Agreement for directors, executive officers and key employees (incorporated by reference to Exhibit 10.12 to the Amendment 1 to the Form </w:t>
              </w:r>
            </w:hyperlink>
            <w:hyperlink r:id="rId84">
              <w:r>
                <w:rPr>
                  <w:rStyle w:val="InternetLink"/>
                  <w:spacing w:val="0"/>
                </w:rPr>
                <w:t>S-1</w:t>
              </w:r>
            </w:hyperlink>
            <w:hyperlink r:id="rId85">
              <w:r>
                <w:rPr>
                  <w:rStyle w:val="InternetLink"/>
                </w:rPr>
                <w:t xml:space="preserve"> Registration Statement filed by Dave &amp; Buster’s Entertainment, Inc. on September 24, 2014 (No. </w:t>
              </w:r>
            </w:hyperlink>
            <w:hyperlink r:id="rId86">
              <w:r>
                <w:rPr>
                  <w:rStyle w:val="InternetLink"/>
                  <w:spacing w:val="0"/>
                </w:rPr>
                <w:t>333-198641))</w:t>
              </w:r>
            </w:hyperlink>
            <w:hyperlink r:id="rId87">
              <w:r>
                <w:rPr>
                  <w:rStyle w:val="InternetLink"/>
                </w:rPr>
                <w:t xml:space="preserve"> </w:t>
              </w:r>
            </w:hyperlink>
          </w:p>
        </w:tc>
      </w:tr>
      <w:tr>
        <w:trPr/>
        <w:tc>
          <w:tcPr>
            <w:tcW w:w="695" w:type="dxa"/>
            <w:tcBorders/>
            <w:shd w:fill="auto" w:val="clear"/>
            <w:vAlign w:val="center"/>
          </w:tcPr>
          <w:p>
            <w:pPr>
              <w:pStyle w:val="TableContents"/>
              <w:spacing w:before="0" w:after="283"/>
              <w:rPr/>
            </w:pPr>
            <w:r>
              <w:rPr/>
              <w:t> </w:t>
            </w:r>
          </w:p>
        </w:tc>
        <w:tc>
          <w:tcPr>
            <w:tcW w:w="9510" w:type="dxa"/>
            <w:gridSpan w:val="2"/>
            <w:tcBorders/>
            <w:shd w:fill="auto" w:val="clear"/>
            <w:vAlign w:val="center"/>
          </w:tcPr>
          <w:p>
            <w:pPr>
              <w:pStyle w:val="TableContents"/>
              <w:spacing w:before="0" w:after="283"/>
              <w:rPr/>
            </w:pPr>
            <w:r>
              <w:rPr/>
              <w:t> </w:t>
            </w:r>
          </w:p>
        </w:tc>
      </w:tr>
      <w:tr>
        <w:trPr/>
        <w:tc>
          <w:tcPr>
            <w:tcW w:w="695" w:type="dxa"/>
            <w:tcBorders/>
            <w:shd w:fill="auto" w:val="clear"/>
            <w:vAlign w:val="center"/>
          </w:tcPr>
          <w:p>
            <w:pPr>
              <w:pStyle w:val="TableContents"/>
              <w:spacing w:before="0" w:after="283"/>
              <w:rPr/>
            </w:pPr>
            <w:r>
              <w:rPr/>
              <w:t>  </w:t>
            </w:r>
            <w:r>
              <w:rPr/>
              <w:t>10.12</w:t>
            </w:r>
          </w:p>
        </w:tc>
        <w:tc>
          <w:tcPr>
            <w:tcW w:w="120" w:type="dxa"/>
            <w:tcBorders/>
            <w:shd w:fill="auto" w:val="clear"/>
            <w:vAlign w:val="center"/>
          </w:tcPr>
          <w:p>
            <w:pPr>
              <w:pStyle w:val="TableContents"/>
              <w:spacing w:before="0" w:after="283"/>
              <w:rPr/>
            </w:pPr>
            <w:r>
              <w:rPr/>
              <w:t>  </w:t>
            </w:r>
          </w:p>
        </w:tc>
        <w:tc>
          <w:tcPr>
            <w:tcW w:w="9390" w:type="dxa"/>
            <w:tcBorders/>
            <w:shd w:fill="auto" w:val="clear"/>
            <w:vAlign w:val="center"/>
          </w:tcPr>
          <w:p>
            <w:pPr>
              <w:pStyle w:val="TableContents"/>
              <w:spacing w:before="0" w:after="283"/>
              <w:rPr/>
            </w:pPr>
            <w:hyperlink r:id="rId88">
              <w:r>
                <w:rPr>
                  <w:rStyle w:val="InternetLink"/>
                </w:rPr>
                <w:t xml:space="preserve">Credit Agreement, dated as of August 17, 2017 by and among Dave &amp; Buster’s Holdings, Inc., Dave &amp; Buster’s Inc. (“the Borrower”) the direct and indirect Subsidiaries of the Borrower from time to time party thereto, as guarantors, the several financial institutions from time to time party thereto, as lenders, Bank of America, N.A., as administrative agent, and Wells Fargo, National Association, as syndication agent (incorporated by reference to Exhibit 10.1 of the Registrant’s Current Report on Form </w:t>
              </w:r>
            </w:hyperlink>
            <w:hyperlink r:id="rId89">
              <w:r>
                <w:rPr>
                  <w:rStyle w:val="InternetLink"/>
                  <w:spacing w:val="0"/>
                </w:rPr>
                <w:t>8-K</w:t>
              </w:r>
            </w:hyperlink>
            <w:hyperlink r:id="rId90">
              <w:r>
                <w:rPr>
                  <w:rStyle w:val="InternetLink"/>
                </w:rPr>
                <w:t xml:space="preserve"> filed on August 23, 2017) </w:t>
              </w:r>
            </w:hyperlink>
          </w:p>
        </w:tc>
      </w:tr>
      <w:tr>
        <w:trPr/>
        <w:tc>
          <w:tcPr>
            <w:tcW w:w="695" w:type="dxa"/>
            <w:tcBorders/>
            <w:shd w:fill="auto" w:val="clear"/>
            <w:vAlign w:val="center"/>
          </w:tcPr>
          <w:p>
            <w:pPr>
              <w:pStyle w:val="TableContents"/>
              <w:spacing w:before="0" w:after="283"/>
              <w:rPr/>
            </w:pPr>
            <w:r>
              <w:rPr/>
              <w:t> </w:t>
            </w:r>
          </w:p>
        </w:tc>
        <w:tc>
          <w:tcPr>
            <w:tcW w:w="9510" w:type="dxa"/>
            <w:gridSpan w:val="2"/>
            <w:tcBorders/>
            <w:shd w:fill="auto" w:val="clear"/>
            <w:vAlign w:val="center"/>
          </w:tcPr>
          <w:p>
            <w:pPr>
              <w:pStyle w:val="TableContents"/>
              <w:spacing w:before="0" w:after="283"/>
              <w:rPr/>
            </w:pPr>
            <w:r>
              <w:rPr/>
              <w:t> </w:t>
            </w:r>
          </w:p>
        </w:tc>
      </w:tr>
      <w:tr>
        <w:trPr/>
        <w:tc>
          <w:tcPr>
            <w:tcW w:w="695" w:type="dxa"/>
            <w:tcBorders/>
            <w:shd w:fill="auto" w:val="clear"/>
            <w:vAlign w:val="center"/>
          </w:tcPr>
          <w:p>
            <w:pPr>
              <w:pStyle w:val="TableContents"/>
              <w:spacing w:before="0" w:after="283"/>
              <w:rPr/>
            </w:pPr>
            <w:r>
              <w:rPr/>
              <w:t>  </w:t>
            </w:r>
            <w:r>
              <w:rPr/>
              <w:t>10.13</w:t>
            </w:r>
          </w:p>
        </w:tc>
        <w:tc>
          <w:tcPr>
            <w:tcW w:w="120" w:type="dxa"/>
            <w:tcBorders/>
            <w:shd w:fill="auto" w:val="clear"/>
            <w:vAlign w:val="center"/>
          </w:tcPr>
          <w:p>
            <w:pPr>
              <w:pStyle w:val="TableContents"/>
              <w:spacing w:before="0" w:after="283"/>
              <w:rPr/>
            </w:pPr>
            <w:r>
              <w:rPr/>
              <w:t>  </w:t>
            </w:r>
          </w:p>
        </w:tc>
        <w:tc>
          <w:tcPr>
            <w:tcW w:w="9390" w:type="dxa"/>
            <w:tcBorders/>
            <w:shd w:fill="auto" w:val="clear"/>
            <w:vAlign w:val="center"/>
          </w:tcPr>
          <w:p>
            <w:pPr>
              <w:pStyle w:val="TableContents"/>
              <w:spacing w:before="0" w:after="283"/>
              <w:rPr/>
            </w:pPr>
            <w:hyperlink r:id="rId91">
              <w:r>
                <w:rPr>
                  <w:rStyle w:val="InternetLink"/>
                </w:rPr>
                <w:t xml:space="preserve">First Amendment to Amended and Restated Credit Agreement among Dave &amp; Buster’s, Inc., various lenders and Bank of America, N.A., as administrative agent for the lenders (incorporated by reference to Exhibit 10.2 to the quarterly report on Form </w:t>
              </w:r>
            </w:hyperlink>
            <w:hyperlink r:id="rId92">
              <w:r>
                <w:rPr>
                  <w:rStyle w:val="InternetLink"/>
                  <w:spacing w:val="0"/>
                </w:rPr>
                <w:t>10-Q</w:t>
              </w:r>
            </w:hyperlink>
            <w:hyperlink r:id="rId93">
              <w:r>
                <w:rPr>
                  <w:rStyle w:val="InternetLink"/>
                </w:rPr>
                <w:t xml:space="preserve"> filed by Dave &amp; Buster’s Entertainment, Inc. on June 11, 2020 (No. </w:t>
              </w:r>
            </w:hyperlink>
            <w:hyperlink r:id="rId94">
              <w:r>
                <w:rPr>
                  <w:rStyle w:val="InternetLink"/>
                  <w:spacing w:val="0"/>
                </w:rPr>
                <w:t>001-35664))</w:t>
              </w:r>
            </w:hyperlink>
            <w:hyperlink r:id="rId95">
              <w:r>
                <w:rPr>
                  <w:rStyle w:val="InternetLink"/>
                </w:rPr>
                <w:t xml:space="preserve"> </w:t>
              </w:r>
            </w:hyperlink>
          </w:p>
        </w:tc>
      </w:tr>
      <w:tr>
        <w:trPr/>
        <w:tc>
          <w:tcPr>
            <w:tcW w:w="695" w:type="dxa"/>
            <w:tcBorders/>
            <w:shd w:fill="auto" w:val="clear"/>
            <w:vAlign w:val="center"/>
          </w:tcPr>
          <w:p>
            <w:pPr>
              <w:pStyle w:val="TableContents"/>
              <w:spacing w:before="0" w:after="283"/>
              <w:rPr/>
            </w:pPr>
            <w:r>
              <w:rPr/>
              <w:t> </w:t>
            </w:r>
          </w:p>
        </w:tc>
        <w:tc>
          <w:tcPr>
            <w:tcW w:w="9510" w:type="dxa"/>
            <w:gridSpan w:val="2"/>
            <w:tcBorders/>
            <w:shd w:fill="auto" w:val="clear"/>
            <w:vAlign w:val="center"/>
          </w:tcPr>
          <w:p>
            <w:pPr>
              <w:pStyle w:val="TableContents"/>
              <w:spacing w:before="0" w:after="283"/>
              <w:rPr/>
            </w:pPr>
            <w:r>
              <w:rPr/>
              <w:t> </w:t>
            </w:r>
          </w:p>
        </w:tc>
      </w:tr>
      <w:tr>
        <w:trPr/>
        <w:tc>
          <w:tcPr>
            <w:tcW w:w="695" w:type="dxa"/>
            <w:tcBorders/>
            <w:shd w:fill="auto" w:val="clear"/>
            <w:vAlign w:val="center"/>
          </w:tcPr>
          <w:p>
            <w:pPr>
              <w:pStyle w:val="TableContents"/>
              <w:spacing w:before="0" w:after="283"/>
              <w:rPr/>
            </w:pPr>
            <w:r>
              <w:rPr/>
              <w:t>  </w:t>
            </w:r>
            <w:r>
              <w:rPr/>
              <w:t>10.14</w:t>
            </w:r>
          </w:p>
        </w:tc>
        <w:tc>
          <w:tcPr>
            <w:tcW w:w="120" w:type="dxa"/>
            <w:tcBorders/>
            <w:shd w:fill="auto" w:val="clear"/>
            <w:vAlign w:val="center"/>
          </w:tcPr>
          <w:p>
            <w:pPr>
              <w:pStyle w:val="TableContents"/>
              <w:spacing w:before="0" w:after="283"/>
              <w:rPr/>
            </w:pPr>
            <w:r>
              <w:rPr/>
              <w:t>  </w:t>
            </w:r>
          </w:p>
        </w:tc>
        <w:tc>
          <w:tcPr>
            <w:tcW w:w="9390" w:type="dxa"/>
            <w:tcBorders/>
            <w:shd w:fill="auto" w:val="clear"/>
            <w:vAlign w:val="center"/>
          </w:tcPr>
          <w:p>
            <w:pPr>
              <w:pStyle w:val="TableContents"/>
              <w:spacing w:before="0" w:after="283"/>
              <w:rPr/>
            </w:pPr>
            <w:hyperlink r:id="rId96">
              <w:r>
                <w:rPr>
                  <w:rStyle w:val="InternetLink"/>
                </w:rPr>
                <w:t xml:space="preserve">Second Amendment and Consent and Revolving Credit Commitment Extension Amendment to Amended and Restated Credit Agreement dated as of October 16, 2020 (incorporated by reference to Exhibit 10.1 of the Registrant’s Current Report on Form </w:t>
              </w:r>
            </w:hyperlink>
            <w:hyperlink r:id="rId97">
              <w:r>
                <w:rPr>
                  <w:rStyle w:val="InternetLink"/>
                  <w:spacing w:val="0"/>
                </w:rPr>
                <w:t>8-K</w:t>
              </w:r>
            </w:hyperlink>
            <w:hyperlink r:id="rId98">
              <w:r>
                <w:rPr>
                  <w:rStyle w:val="InternetLink"/>
                </w:rPr>
                <w:t xml:space="preserve"> filed on October 27, 2020 (No. </w:t>
              </w:r>
            </w:hyperlink>
            <w:hyperlink r:id="rId99">
              <w:r>
                <w:rPr>
                  <w:rStyle w:val="InternetLink"/>
                  <w:spacing w:val="0"/>
                </w:rPr>
                <w:t>001-35664))</w:t>
              </w:r>
            </w:hyperlink>
            <w:hyperlink r:id="rId100">
              <w:r>
                <w:rPr>
                  <w:rStyle w:val="InternetLink"/>
                </w:rPr>
                <w:t xml:space="preserve"> </w:t>
              </w:r>
            </w:hyperlink>
          </w:p>
        </w:tc>
      </w:tr>
      <w:tr>
        <w:trPr/>
        <w:tc>
          <w:tcPr>
            <w:tcW w:w="695" w:type="dxa"/>
            <w:tcBorders/>
            <w:shd w:fill="auto" w:val="clear"/>
            <w:vAlign w:val="center"/>
          </w:tcPr>
          <w:p>
            <w:pPr>
              <w:pStyle w:val="TableContents"/>
              <w:spacing w:before="0" w:after="283"/>
              <w:rPr/>
            </w:pPr>
            <w:r>
              <w:rPr/>
              <w:t> </w:t>
            </w:r>
          </w:p>
        </w:tc>
        <w:tc>
          <w:tcPr>
            <w:tcW w:w="9510" w:type="dxa"/>
            <w:gridSpan w:val="2"/>
            <w:tcBorders/>
            <w:shd w:fill="auto" w:val="clear"/>
            <w:vAlign w:val="center"/>
          </w:tcPr>
          <w:p>
            <w:pPr>
              <w:pStyle w:val="TableContents"/>
              <w:spacing w:before="0" w:after="283"/>
              <w:rPr/>
            </w:pPr>
            <w:r>
              <w:rPr/>
              <w:t> </w:t>
            </w:r>
          </w:p>
        </w:tc>
      </w:tr>
      <w:tr>
        <w:trPr/>
        <w:tc>
          <w:tcPr>
            <w:tcW w:w="695" w:type="dxa"/>
            <w:tcBorders/>
            <w:shd w:fill="auto" w:val="clear"/>
            <w:vAlign w:val="center"/>
          </w:tcPr>
          <w:p>
            <w:pPr>
              <w:pStyle w:val="TableContents"/>
              <w:spacing w:before="0" w:after="283"/>
              <w:rPr/>
            </w:pPr>
            <w:r>
              <w:rPr/>
              <w:t>  </w:t>
            </w:r>
            <w:r>
              <w:rPr/>
              <w:t>10.15</w:t>
            </w:r>
          </w:p>
        </w:tc>
        <w:tc>
          <w:tcPr>
            <w:tcW w:w="120" w:type="dxa"/>
            <w:tcBorders/>
            <w:shd w:fill="auto" w:val="clear"/>
            <w:vAlign w:val="center"/>
          </w:tcPr>
          <w:p>
            <w:pPr>
              <w:pStyle w:val="TableContents"/>
              <w:spacing w:before="0" w:after="283"/>
              <w:rPr/>
            </w:pPr>
            <w:r>
              <w:rPr/>
              <w:t>  </w:t>
            </w:r>
          </w:p>
        </w:tc>
        <w:tc>
          <w:tcPr>
            <w:tcW w:w="9390" w:type="dxa"/>
            <w:tcBorders/>
            <w:shd w:fill="auto" w:val="clear"/>
            <w:vAlign w:val="center"/>
          </w:tcPr>
          <w:p>
            <w:pPr>
              <w:pStyle w:val="TableContents"/>
              <w:spacing w:before="0" w:after="283"/>
              <w:rPr/>
            </w:pPr>
            <w:hyperlink r:id="rId101">
              <w:r>
                <w:rPr>
                  <w:rStyle w:val="InternetLink"/>
                </w:rPr>
                <w:t xml:space="preserve">Form of Nonqualified Stock Option Award Agreement, by and between Dave &amp; Buster’s Entertainment, Inc. and various employees of the Company (incorporated by reference to Exhibit 10.1 to the quarterly report on Form </w:t>
              </w:r>
            </w:hyperlink>
            <w:hyperlink r:id="rId102">
              <w:r>
                <w:rPr>
                  <w:rStyle w:val="InternetLink"/>
                  <w:spacing w:val="0"/>
                </w:rPr>
                <w:t>10-Q</w:t>
              </w:r>
            </w:hyperlink>
            <w:hyperlink r:id="rId103">
              <w:r>
                <w:rPr>
                  <w:rStyle w:val="InternetLink"/>
                </w:rPr>
                <w:t xml:space="preserve"> filed by Dave &amp; Buster’s Entertainment, Inc. on June 11, 2019 (No. </w:t>
              </w:r>
            </w:hyperlink>
            <w:hyperlink r:id="rId104">
              <w:r>
                <w:rPr>
                  <w:rStyle w:val="InternetLink"/>
                  <w:spacing w:val="0"/>
                </w:rPr>
                <w:t>001-35664))</w:t>
              </w:r>
            </w:hyperlink>
            <w:hyperlink r:id="rId105">
              <w:r>
                <w:rPr>
                  <w:rStyle w:val="InternetLink"/>
                </w:rPr>
                <w:t xml:space="preserve"> </w:t>
              </w:r>
            </w:hyperlink>
          </w:p>
        </w:tc>
      </w:tr>
      <w:tr>
        <w:trPr/>
        <w:tc>
          <w:tcPr>
            <w:tcW w:w="695" w:type="dxa"/>
            <w:tcBorders/>
            <w:shd w:fill="auto" w:val="clear"/>
            <w:vAlign w:val="center"/>
          </w:tcPr>
          <w:p>
            <w:pPr>
              <w:pStyle w:val="TableContents"/>
              <w:spacing w:before="0" w:after="283"/>
              <w:rPr/>
            </w:pPr>
            <w:r>
              <w:rPr/>
              <w:t> </w:t>
            </w:r>
          </w:p>
        </w:tc>
        <w:tc>
          <w:tcPr>
            <w:tcW w:w="9510" w:type="dxa"/>
            <w:gridSpan w:val="2"/>
            <w:tcBorders/>
            <w:shd w:fill="auto" w:val="clear"/>
            <w:vAlign w:val="center"/>
          </w:tcPr>
          <w:p>
            <w:pPr>
              <w:pStyle w:val="TableContents"/>
              <w:spacing w:before="0" w:after="283"/>
              <w:rPr/>
            </w:pPr>
            <w:r>
              <w:rPr/>
              <w:t> </w:t>
            </w:r>
          </w:p>
        </w:tc>
      </w:tr>
      <w:tr>
        <w:trPr/>
        <w:tc>
          <w:tcPr>
            <w:tcW w:w="695" w:type="dxa"/>
            <w:tcBorders/>
            <w:shd w:fill="auto" w:val="clear"/>
            <w:vAlign w:val="center"/>
          </w:tcPr>
          <w:p>
            <w:pPr>
              <w:pStyle w:val="TableContents"/>
              <w:spacing w:before="0" w:after="283"/>
              <w:rPr/>
            </w:pPr>
            <w:r>
              <w:rPr/>
              <w:t>  </w:t>
            </w:r>
            <w:r>
              <w:rPr/>
              <w:t>10.16</w:t>
            </w:r>
          </w:p>
        </w:tc>
        <w:tc>
          <w:tcPr>
            <w:tcW w:w="120" w:type="dxa"/>
            <w:tcBorders/>
            <w:shd w:fill="auto" w:val="clear"/>
            <w:vAlign w:val="center"/>
          </w:tcPr>
          <w:p>
            <w:pPr>
              <w:pStyle w:val="TableContents"/>
              <w:spacing w:before="0" w:after="283"/>
              <w:rPr/>
            </w:pPr>
            <w:r>
              <w:rPr/>
              <w:t>  </w:t>
            </w:r>
          </w:p>
        </w:tc>
        <w:tc>
          <w:tcPr>
            <w:tcW w:w="9390" w:type="dxa"/>
            <w:tcBorders/>
            <w:shd w:fill="auto" w:val="clear"/>
            <w:vAlign w:val="center"/>
          </w:tcPr>
          <w:p>
            <w:pPr>
              <w:pStyle w:val="TableContents"/>
              <w:spacing w:before="0" w:after="283"/>
              <w:rPr/>
            </w:pPr>
            <w:hyperlink r:id="rId106">
              <w:r>
                <w:rPr>
                  <w:rStyle w:val="InternetLink"/>
                </w:rPr>
                <w:t xml:space="preserve">Form of Restricted Stock Unit Award Agreement, by and between Dave &amp; Buster’s Entertainment, Inc. and various Directors of the Company (incorporated by reference to Exhibit 10.2 to the quarterly report on Form </w:t>
              </w:r>
            </w:hyperlink>
            <w:hyperlink r:id="rId107">
              <w:r>
                <w:rPr>
                  <w:rStyle w:val="InternetLink"/>
                  <w:spacing w:val="0"/>
                </w:rPr>
                <w:t>10-Q</w:t>
              </w:r>
            </w:hyperlink>
            <w:hyperlink r:id="rId108">
              <w:r>
                <w:rPr>
                  <w:rStyle w:val="InternetLink"/>
                </w:rPr>
                <w:t xml:space="preserve"> filed by Dave &amp; Buster’s Entertainment, Inc. on June 11, 2019 (No. </w:t>
              </w:r>
            </w:hyperlink>
            <w:hyperlink r:id="rId109">
              <w:r>
                <w:rPr>
                  <w:rStyle w:val="InternetLink"/>
                  <w:spacing w:val="0"/>
                </w:rPr>
                <w:t>001-35664))</w:t>
              </w:r>
            </w:hyperlink>
            <w:hyperlink r:id="rId110">
              <w:r>
                <w:rPr>
                  <w:rStyle w:val="InternetLink"/>
                </w:rPr>
                <w:t xml:space="preserve"> </w:t>
              </w:r>
            </w:hyperlink>
          </w:p>
        </w:tc>
      </w:tr>
      <w:tr>
        <w:trPr/>
        <w:tc>
          <w:tcPr>
            <w:tcW w:w="695" w:type="dxa"/>
            <w:tcBorders/>
            <w:shd w:fill="auto" w:val="clear"/>
            <w:vAlign w:val="center"/>
          </w:tcPr>
          <w:p>
            <w:pPr>
              <w:pStyle w:val="TableContents"/>
              <w:spacing w:before="0" w:after="283"/>
              <w:rPr/>
            </w:pPr>
            <w:r>
              <w:rPr/>
              <w:t> </w:t>
            </w:r>
          </w:p>
        </w:tc>
        <w:tc>
          <w:tcPr>
            <w:tcW w:w="9510" w:type="dxa"/>
            <w:gridSpan w:val="2"/>
            <w:tcBorders/>
            <w:shd w:fill="auto" w:val="clear"/>
            <w:vAlign w:val="center"/>
          </w:tcPr>
          <w:p>
            <w:pPr>
              <w:pStyle w:val="TableContents"/>
              <w:spacing w:before="0" w:after="283"/>
              <w:rPr/>
            </w:pPr>
            <w:r>
              <w:rPr/>
              <w:t> </w:t>
            </w:r>
          </w:p>
        </w:tc>
      </w:tr>
      <w:tr>
        <w:trPr/>
        <w:tc>
          <w:tcPr>
            <w:tcW w:w="695" w:type="dxa"/>
            <w:tcBorders/>
            <w:shd w:fill="auto" w:val="clear"/>
            <w:vAlign w:val="center"/>
          </w:tcPr>
          <w:p>
            <w:pPr>
              <w:pStyle w:val="TableContents"/>
              <w:spacing w:before="0" w:after="283"/>
              <w:rPr/>
            </w:pPr>
            <w:r>
              <w:rPr/>
              <w:t>  </w:t>
            </w:r>
            <w:r>
              <w:rPr/>
              <w:t>10.17</w:t>
            </w:r>
          </w:p>
        </w:tc>
        <w:tc>
          <w:tcPr>
            <w:tcW w:w="120" w:type="dxa"/>
            <w:tcBorders/>
            <w:shd w:fill="auto" w:val="clear"/>
            <w:vAlign w:val="center"/>
          </w:tcPr>
          <w:p>
            <w:pPr>
              <w:pStyle w:val="TableContents"/>
              <w:spacing w:before="0" w:after="283"/>
              <w:rPr/>
            </w:pPr>
            <w:r>
              <w:rPr/>
              <w:t>  </w:t>
            </w:r>
          </w:p>
        </w:tc>
        <w:tc>
          <w:tcPr>
            <w:tcW w:w="9390" w:type="dxa"/>
            <w:tcBorders/>
            <w:shd w:fill="auto" w:val="clear"/>
            <w:vAlign w:val="center"/>
          </w:tcPr>
          <w:p>
            <w:pPr>
              <w:pStyle w:val="TableContents"/>
              <w:spacing w:before="0" w:after="283"/>
              <w:rPr/>
            </w:pPr>
            <w:hyperlink r:id="rId111">
              <w:r>
                <w:rPr>
                  <w:rStyle w:val="InternetLink"/>
                </w:rPr>
                <w:t xml:space="preserve">Form of Restricted Stock Unit and Cash Award Agreement, by and between Dave &amp; Buster’s Entertainment, Inc. and various employees of the Company (incorporated by reference to Exhibit 10.3 to the quarterly report on Form </w:t>
              </w:r>
            </w:hyperlink>
            <w:hyperlink r:id="rId112">
              <w:r>
                <w:rPr>
                  <w:rStyle w:val="InternetLink"/>
                  <w:spacing w:val="0"/>
                </w:rPr>
                <w:t>10-Q</w:t>
              </w:r>
            </w:hyperlink>
            <w:hyperlink r:id="rId113">
              <w:r>
                <w:rPr>
                  <w:rStyle w:val="InternetLink"/>
                </w:rPr>
                <w:t xml:space="preserve"> filed by Dave &amp; Buster’s Entertainment, Inc. on June 11, 2019 (No. </w:t>
              </w:r>
            </w:hyperlink>
            <w:hyperlink r:id="rId114">
              <w:r>
                <w:rPr>
                  <w:rStyle w:val="InternetLink"/>
                  <w:spacing w:val="0"/>
                </w:rPr>
                <w:t>001-35664))</w:t>
              </w:r>
            </w:hyperlink>
            <w:hyperlink r:id="rId115">
              <w:r>
                <w:rPr>
                  <w:rStyle w:val="InternetLink"/>
                </w:rPr>
                <w:t xml:space="preserve"> </w:t>
              </w:r>
            </w:hyperlink>
          </w:p>
        </w:tc>
      </w:tr>
    </w:tbl>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56 </w:t>
      </w:r>
    </w:p>
    <w:p>
      <w:pPr>
        <w:pStyle w:val="HorizontalLine"/>
        <w:rPr/>
      </w:pPr>
      <w:r>
        <w:rPr/>
      </w:r>
    </w:p>
    <w:p>
      <w:pPr>
        <w:pStyle w:val="TextBody"/>
        <w:spacing w:before="0" w:after="0"/>
        <w:rPr/>
      </w:pPr>
      <w:hyperlink w:anchor="toc">
        <w:r>
          <w:rPr>
            <w:rStyle w:val="InternetLink"/>
            <w:b/>
            <w:sz w:val="20"/>
          </w:rPr>
          <w:t>Table of Contents</w:t>
        </w:r>
      </w:hyperlink>
    </w:p>
    <w:tbl>
      <w:tblPr>
        <w:tblW w:w="10205" w:type="dxa"/>
        <w:jc w:val="left"/>
        <w:tblInd w:w="0" w:type="dxa"/>
        <w:tblCellMar>
          <w:top w:w="0" w:type="dxa"/>
          <w:left w:w="0" w:type="dxa"/>
          <w:bottom w:w="0" w:type="dxa"/>
          <w:right w:w="0" w:type="dxa"/>
        </w:tblCellMar>
      </w:tblPr>
      <w:tblGrid>
        <w:gridCol w:w="768"/>
        <w:gridCol w:w="120"/>
        <w:gridCol w:w="9317"/>
      </w:tblGrid>
      <w:tr>
        <w:trPr/>
        <w:tc>
          <w:tcPr>
            <w:tcW w:w="768"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9317" w:type="dxa"/>
            <w:tcBorders/>
            <w:shd w:fill="auto" w:val="clear"/>
            <w:vAlign w:val="center"/>
          </w:tcPr>
          <w:p>
            <w:pPr>
              <w:pStyle w:val="TableContents"/>
              <w:spacing w:before="0" w:after="283"/>
              <w:rPr>
                <w:sz w:val="4"/>
                <w:szCs w:val="4"/>
              </w:rPr>
            </w:pPr>
            <w:r>
              <w:rPr>
                <w:sz w:val="4"/>
                <w:szCs w:val="4"/>
              </w:rPr>
            </w:r>
          </w:p>
        </w:tc>
      </w:tr>
      <w:tr>
        <w:trPr/>
        <w:tc>
          <w:tcPr>
            <w:tcW w:w="768" w:type="dxa"/>
            <w:tcBorders/>
            <w:shd w:fill="auto" w:val="clear"/>
            <w:vAlign w:val="center"/>
          </w:tcPr>
          <w:p>
            <w:pPr>
              <w:pStyle w:val="TableContents"/>
              <w:spacing w:before="0" w:after="0"/>
              <w:jc w:val="center"/>
              <w:rPr>
                <w:rFonts w:ascii="Times New Roman" w:hAnsi="Times New Roman"/>
                <w:b/>
                <w:spacing w:val="0"/>
                <w:sz w:val="16"/>
              </w:rPr>
            </w:pPr>
            <w:r>
              <w:rPr>
                <w:rFonts w:ascii="Times New Roman" w:hAnsi="Times New Roman"/>
                <w:b/>
                <w:spacing w:val="0"/>
                <w:sz w:val="16"/>
              </w:rPr>
              <w:t>Exhibit</w:t>
            </w:r>
          </w:p>
          <w:p>
            <w:pPr>
              <w:pStyle w:val="TableContents"/>
              <w:spacing w:before="0" w:after="20"/>
              <w:jc w:val="center"/>
              <w:rPr>
                <w:rFonts w:ascii="Times New Roman" w:hAnsi="Times New Roman"/>
                <w:b/>
                <w:spacing w:val="0"/>
                <w:sz w:val="16"/>
                <w:bdr w:val="single" w:sz="8" w:space="1" w:color="000000"/>
              </w:rPr>
            </w:pPr>
            <w:r>
              <w:rPr>
                <w:rFonts w:ascii="Times New Roman" w:hAnsi="Times New Roman"/>
                <w:b/>
                <w:spacing w:val="0"/>
                <w:sz w:val="16"/>
                <w:bdr w:val="single" w:sz="8" w:space="1" w:color="000000"/>
              </w:rPr>
              <w:t>Number</w:t>
            </w:r>
          </w:p>
        </w:tc>
        <w:tc>
          <w:tcPr>
            <w:tcW w:w="120" w:type="dxa"/>
            <w:tcBorders/>
            <w:shd w:fill="auto" w:val="clear"/>
            <w:vAlign w:val="center"/>
          </w:tcPr>
          <w:p>
            <w:pPr>
              <w:pStyle w:val="TableContents"/>
              <w:spacing w:before="0" w:after="283"/>
              <w:rPr/>
            </w:pPr>
            <w:r>
              <w:rPr/>
              <w:t>  </w:t>
            </w:r>
          </w:p>
        </w:tc>
        <w:tc>
          <w:tcPr>
            <w:tcW w:w="9317" w:type="dxa"/>
            <w:tcBorders/>
            <w:shd w:fill="auto" w:val="clear"/>
            <w:vAlign w:val="center"/>
          </w:tcPr>
          <w:p>
            <w:pPr>
              <w:pStyle w:val="TableContents"/>
              <w:spacing w:before="0" w:after="0"/>
              <w:jc w:val="center"/>
              <w:rPr>
                <w:rFonts w:ascii="Times New Roman" w:hAnsi="Times New Roman"/>
                <w:b/>
                <w:spacing w:val="0"/>
                <w:sz w:val="16"/>
                <w:bdr w:val="single" w:sz="8" w:space="1" w:color="000000"/>
              </w:rPr>
            </w:pPr>
            <w:r>
              <w:rPr>
                <w:rFonts w:ascii="Times New Roman" w:hAnsi="Times New Roman"/>
                <w:b/>
                <w:spacing w:val="0"/>
                <w:sz w:val="16"/>
                <w:bdr w:val="single" w:sz="8" w:space="1" w:color="000000"/>
              </w:rPr>
              <w:t>Description</w:t>
            </w:r>
          </w:p>
        </w:tc>
      </w:tr>
      <w:tr>
        <w:trPr/>
        <w:tc>
          <w:tcPr>
            <w:tcW w:w="768" w:type="dxa"/>
            <w:tcBorders/>
            <w:shd w:fill="auto" w:val="clear"/>
            <w:vAlign w:val="center"/>
          </w:tcPr>
          <w:p>
            <w:pPr>
              <w:pStyle w:val="TableContents"/>
              <w:spacing w:before="0" w:after="283"/>
              <w:rPr/>
            </w:pPr>
            <w:r>
              <w:rPr/>
              <w:t> </w:t>
            </w:r>
          </w:p>
        </w:tc>
        <w:tc>
          <w:tcPr>
            <w:tcW w:w="9437" w:type="dxa"/>
            <w:gridSpan w:val="2"/>
            <w:tcBorders/>
            <w:shd w:fill="auto" w:val="clear"/>
            <w:vAlign w:val="center"/>
          </w:tcPr>
          <w:p>
            <w:pPr>
              <w:pStyle w:val="TableContents"/>
              <w:spacing w:before="0" w:after="283"/>
              <w:rPr/>
            </w:pPr>
            <w:r>
              <w:rPr/>
              <w:t> </w:t>
            </w:r>
          </w:p>
        </w:tc>
      </w:tr>
      <w:tr>
        <w:trPr/>
        <w:tc>
          <w:tcPr>
            <w:tcW w:w="768" w:type="dxa"/>
            <w:tcBorders/>
            <w:shd w:fill="auto" w:val="clear"/>
            <w:vAlign w:val="center"/>
          </w:tcPr>
          <w:p>
            <w:pPr>
              <w:pStyle w:val="TableContents"/>
              <w:spacing w:before="0" w:after="283"/>
              <w:rPr/>
            </w:pPr>
            <w:r>
              <w:rPr/>
              <w:t>  </w:t>
            </w:r>
            <w:r>
              <w:rPr/>
              <w:t>10.18</w:t>
            </w:r>
          </w:p>
        </w:tc>
        <w:tc>
          <w:tcPr>
            <w:tcW w:w="120" w:type="dxa"/>
            <w:tcBorders/>
            <w:shd w:fill="auto" w:val="clear"/>
            <w:vAlign w:val="center"/>
          </w:tcPr>
          <w:p>
            <w:pPr>
              <w:pStyle w:val="TableContents"/>
              <w:spacing w:before="0" w:after="283"/>
              <w:rPr/>
            </w:pPr>
            <w:r>
              <w:rPr/>
              <w:t>  </w:t>
            </w:r>
          </w:p>
        </w:tc>
        <w:tc>
          <w:tcPr>
            <w:tcW w:w="9317" w:type="dxa"/>
            <w:tcBorders/>
            <w:shd w:fill="auto" w:val="clear"/>
            <w:vAlign w:val="center"/>
          </w:tcPr>
          <w:p>
            <w:pPr>
              <w:pStyle w:val="TableContents"/>
              <w:spacing w:before="0" w:after="283"/>
              <w:rPr/>
            </w:pPr>
            <w:hyperlink r:id="rId116">
              <w:r>
                <w:rPr>
                  <w:rStyle w:val="InternetLink"/>
                </w:rPr>
                <w:t xml:space="preserve">Form of Restricted Stock Unit Agreement, by and between Dave &amp; Buster’s Entertainment, Inc. and various employees of the Company (incorporated by reference to Exhibit 10.4 to the quarterly report on Form </w:t>
              </w:r>
            </w:hyperlink>
            <w:hyperlink r:id="rId117">
              <w:r>
                <w:rPr>
                  <w:rStyle w:val="InternetLink"/>
                  <w:spacing w:val="0"/>
                </w:rPr>
                <w:t>10-Q</w:t>
              </w:r>
            </w:hyperlink>
            <w:hyperlink r:id="rId118">
              <w:r>
                <w:rPr>
                  <w:rStyle w:val="InternetLink"/>
                </w:rPr>
                <w:t xml:space="preserve"> filed by Dave &amp; Buster’s Entertainment, Inc. on June 11, 2019 (No. </w:t>
              </w:r>
            </w:hyperlink>
            <w:hyperlink r:id="rId119">
              <w:r>
                <w:rPr>
                  <w:rStyle w:val="InternetLink"/>
                  <w:spacing w:val="0"/>
                </w:rPr>
                <w:t>001-35664))</w:t>
              </w:r>
            </w:hyperlink>
            <w:hyperlink r:id="rId120">
              <w:r>
                <w:rPr>
                  <w:rStyle w:val="InternetLink"/>
                </w:rPr>
                <w:t xml:space="preserve"> </w:t>
              </w:r>
            </w:hyperlink>
          </w:p>
        </w:tc>
      </w:tr>
      <w:tr>
        <w:trPr/>
        <w:tc>
          <w:tcPr>
            <w:tcW w:w="768" w:type="dxa"/>
            <w:tcBorders/>
            <w:shd w:fill="auto" w:val="clear"/>
            <w:vAlign w:val="center"/>
          </w:tcPr>
          <w:p>
            <w:pPr>
              <w:pStyle w:val="TableContents"/>
              <w:spacing w:before="0" w:after="283"/>
              <w:rPr/>
            </w:pPr>
            <w:r>
              <w:rPr/>
              <w:t> </w:t>
            </w:r>
          </w:p>
        </w:tc>
        <w:tc>
          <w:tcPr>
            <w:tcW w:w="9437" w:type="dxa"/>
            <w:gridSpan w:val="2"/>
            <w:tcBorders/>
            <w:shd w:fill="auto" w:val="clear"/>
            <w:vAlign w:val="center"/>
          </w:tcPr>
          <w:p>
            <w:pPr>
              <w:pStyle w:val="TableContents"/>
              <w:spacing w:before="0" w:after="283"/>
              <w:rPr/>
            </w:pPr>
            <w:r>
              <w:rPr/>
              <w:t> </w:t>
            </w:r>
          </w:p>
        </w:tc>
      </w:tr>
      <w:tr>
        <w:trPr/>
        <w:tc>
          <w:tcPr>
            <w:tcW w:w="768" w:type="dxa"/>
            <w:tcBorders/>
            <w:shd w:fill="auto" w:val="clear"/>
            <w:vAlign w:val="center"/>
          </w:tcPr>
          <w:p>
            <w:pPr>
              <w:pStyle w:val="TableContents"/>
              <w:spacing w:before="0" w:after="283"/>
              <w:rPr/>
            </w:pPr>
            <w:r>
              <w:rPr/>
              <w:t>  </w:t>
            </w:r>
            <w:r>
              <w:rPr/>
              <w:t>10.19</w:t>
            </w:r>
          </w:p>
        </w:tc>
        <w:tc>
          <w:tcPr>
            <w:tcW w:w="120" w:type="dxa"/>
            <w:tcBorders/>
            <w:shd w:fill="auto" w:val="clear"/>
            <w:vAlign w:val="center"/>
          </w:tcPr>
          <w:p>
            <w:pPr>
              <w:pStyle w:val="TableContents"/>
              <w:spacing w:before="0" w:after="283"/>
              <w:rPr/>
            </w:pPr>
            <w:r>
              <w:rPr/>
              <w:t>  </w:t>
            </w:r>
          </w:p>
        </w:tc>
        <w:tc>
          <w:tcPr>
            <w:tcW w:w="9317" w:type="dxa"/>
            <w:tcBorders/>
            <w:shd w:fill="auto" w:val="clear"/>
            <w:vAlign w:val="center"/>
          </w:tcPr>
          <w:p>
            <w:pPr>
              <w:pStyle w:val="TableContents"/>
              <w:spacing w:before="0" w:after="283"/>
              <w:rPr/>
            </w:pPr>
            <w:hyperlink r:id="rId121">
              <w:r>
                <w:rPr>
                  <w:rStyle w:val="InternetLink"/>
                </w:rPr>
                <w:t xml:space="preserve">Form of Market Stock Unit Award Agreement by and between Dave &amp; Buster’s Entertainment, Inc. and various employees of the Company (incorporated by reference to Exhibit 10.1 of the Registrant’s Current Report on Form </w:t>
              </w:r>
            </w:hyperlink>
            <w:hyperlink r:id="rId122">
              <w:r>
                <w:rPr>
                  <w:rStyle w:val="InternetLink"/>
                  <w:spacing w:val="0"/>
                </w:rPr>
                <w:t>8-K</w:t>
              </w:r>
            </w:hyperlink>
            <w:hyperlink r:id="rId123">
              <w:r>
                <w:rPr>
                  <w:rStyle w:val="InternetLink"/>
                </w:rPr>
                <w:t xml:space="preserve"> filed on May 4, 2020 (No. </w:t>
              </w:r>
            </w:hyperlink>
            <w:hyperlink r:id="rId124">
              <w:r>
                <w:rPr>
                  <w:rStyle w:val="InternetLink"/>
                  <w:spacing w:val="0"/>
                </w:rPr>
                <w:t>001-35664))</w:t>
              </w:r>
            </w:hyperlink>
            <w:hyperlink r:id="rId125">
              <w:r>
                <w:rPr>
                  <w:rStyle w:val="InternetLink"/>
                </w:rPr>
                <w:t xml:space="preserve"> </w:t>
              </w:r>
            </w:hyperlink>
          </w:p>
        </w:tc>
      </w:tr>
      <w:tr>
        <w:trPr/>
        <w:tc>
          <w:tcPr>
            <w:tcW w:w="768" w:type="dxa"/>
            <w:tcBorders/>
            <w:shd w:fill="auto" w:val="clear"/>
            <w:vAlign w:val="center"/>
          </w:tcPr>
          <w:p>
            <w:pPr>
              <w:pStyle w:val="TableContents"/>
              <w:spacing w:before="0" w:after="283"/>
              <w:rPr/>
            </w:pPr>
            <w:r>
              <w:rPr/>
              <w:t> </w:t>
            </w:r>
          </w:p>
        </w:tc>
        <w:tc>
          <w:tcPr>
            <w:tcW w:w="9437" w:type="dxa"/>
            <w:gridSpan w:val="2"/>
            <w:tcBorders/>
            <w:shd w:fill="auto" w:val="clear"/>
            <w:vAlign w:val="center"/>
          </w:tcPr>
          <w:p>
            <w:pPr>
              <w:pStyle w:val="TableContents"/>
              <w:spacing w:before="0" w:after="283"/>
              <w:rPr/>
            </w:pPr>
            <w:r>
              <w:rPr/>
              <w:t> </w:t>
            </w:r>
          </w:p>
        </w:tc>
      </w:tr>
      <w:tr>
        <w:trPr/>
        <w:tc>
          <w:tcPr>
            <w:tcW w:w="768" w:type="dxa"/>
            <w:tcBorders/>
            <w:shd w:fill="auto" w:val="clear"/>
            <w:vAlign w:val="center"/>
          </w:tcPr>
          <w:p>
            <w:pPr>
              <w:pStyle w:val="TableContents"/>
              <w:spacing w:before="0" w:after="283"/>
              <w:rPr/>
            </w:pPr>
            <w:r>
              <w:rPr/>
              <w:t>  </w:t>
            </w:r>
            <w:r>
              <w:rPr/>
              <w:t>10.20</w:t>
            </w:r>
          </w:p>
        </w:tc>
        <w:tc>
          <w:tcPr>
            <w:tcW w:w="120" w:type="dxa"/>
            <w:tcBorders/>
            <w:shd w:fill="auto" w:val="clear"/>
            <w:vAlign w:val="center"/>
          </w:tcPr>
          <w:p>
            <w:pPr>
              <w:pStyle w:val="TableContents"/>
              <w:spacing w:before="0" w:after="283"/>
              <w:rPr/>
            </w:pPr>
            <w:r>
              <w:rPr/>
              <w:t>  </w:t>
            </w:r>
          </w:p>
        </w:tc>
        <w:tc>
          <w:tcPr>
            <w:tcW w:w="9317" w:type="dxa"/>
            <w:tcBorders/>
            <w:shd w:fill="auto" w:val="clear"/>
            <w:vAlign w:val="center"/>
          </w:tcPr>
          <w:p>
            <w:pPr>
              <w:pStyle w:val="TableContents"/>
              <w:spacing w:before="0" w:after="283"/>
              <w:rPr/>
            </w:pPr>
            <w:hyperlink r:id="rId126">
              <w:r>
                <w:rPr>
                  <w:rStyle w:val="InternetLink"/>
                </w:rPr>
                <w:t xml:space="preserve">Form of Restricted Stock Unit Agreement, by and between Dave &amp; Buster’s Entertainment, Inc. and various employees of the Company (incorporated by reference to Exhibit 10.2 of the Registrant’s Current Report on Form </w:t>
              </w:r>
            </w:hyperlink>
            <w:hyperlink r:id="rId127">
              <w:r>
                <w:rPr>
                  <w:rStyle w:val="InternetLink"/>
                  <w:spacing w:val="0"/>
                </w:rPr>
                <w:t>8-K</w:t>
              </w:r>
            </w:hyperlink>
            <w:hyperlink r:id="rId128">
              <w:r>
                <w:rPr>
                  <w:rStyle w:val="InternetLink"/>
                </w:rPr>
                <w:t xml:space="preserve"> filed on May 4, 2020 (No. </w:t>
              </w:r>
            </w:hyperlink>
            <w:hyperlink r:id="rId129">
              <w:r>
                <w:rPr>
                  <w:rStyle w:val="InternetLink"/>
                  <w:spacing w:val="0"/>
                </w:rPr>
                <w:t>001-35664))</w:t>
              </w:r>
            </w:hyperlink>
            <w:hyperlink r:id="rId130">
              <w:r>
                <w:rPr>
                  <w:rStyle w:val="InternetLink"/>
                </w:rPr>
                <w:t xml:space="preserve"> </w:t>
              </w:r>
            </w:hyperlink>
          </w:p>
        </w:tc>
      </w:tr>
      <w:tr>
        <w:trPr/>
        <w:tc>
          <w:tcPr>
            <w:tcW w:w="768" w:type="dxa"/>
            <w:tcBorders/>
            <w:shd w:fill="auto" w:val="clear"/>
            <w:vAlign w:val="center"/>
          </w:tcPr>
          <w:p>
            <w:pPr>
              <w:pStyle w:val="TableContents"/>
              <w:spacing w:before="0" w:after="283"/>
              <w:rPr/>
            </w:pPr>
            <w:r>
              <w:rPr/>
              <w:t> </w:t>
            </w:r>
          </w:p>
        </w:tc>
        <w:tc>
          <w:tcPr>
            <w:tcW w:w="9437" w:type="dxa"/>
            <w:gridSpan w:val="2"/>
            <w:tcBorders/>
            <w:shd w:fill="auto" w:val="clear"/>
            <w:vAlign w:val="center"/>
          </w:tcPr>
          <w:p>
            <w:pPr>
              <w:pStyle w:val="TableContents"/>
              <w:spacing w:before="0" w:after="283"/>
              <w:rPr/>
            </w:pPr>
            <w:r>
              <w:rPr/>
              <w:t> </w:t>
            </w:r>
          </w:p>
        </w:tc>
      </w:tr>
      <w:tr>
        <w:trPr/>
        <w:tc>
          <w:tcPr>
            <w:tcW w:w="768" w:type="dxa"/>
            <w:tcBorders/>
            <w:shd w:fill="auto" w:val="clear"/>
            <w:vAlign w:val="center"/>
          </w:tcPr>
          <w:p>
            <w:pPr>
              <w:pStyle w:val="TableContents"/>
              <w:spacing w:before="0" w:after="283"/>
              <w:rPr/>
            </w:pPr>
            <w:r>
              <w:rPr/>
              <w:t>  </w:t>
            </w:r>
            <w:r>
              <w:rPr/>
              <w:t>21.1*</w:t>
            </w:r>
          </w:p>
        </w:tc>
        <w:tc>
          <w:tcPr>
            <w:tcW w:w="120" w:type="dxa"/>
            <w:tcBorders/>
            <w:shd w:fill="auto" w:val="clear"/>
            <w:vAlign w:val="center"/>
          </w:tcPr>
          <w:p>
            <w:pPr>
              <w:pStyle w:val="TableContents"/>
              <w:spacing w:before="0" w:after="283"/>
              <w:rPr/>
            </w:pPr>
            <w:r>
              <w:rPr/>
              <w:t>  </w:t>
            </w:r>
          </w:p>
        </w:tc>
        <w:tc>
          <w:tcPr>
            <w:tcW w:w="9317" w:type="dxa"/>
            <w:tcBorders/>
            <w:shd w:fill="auto" w:val="clear"/>
            <w:vAlign w:val="center"/>
          </w:tcPr>
          <w:p>
            <w:pPr>
              <w:pStyle w:val="TableContents"/>
              <w:spacing w:before="0" w:after="283"/>
              <w:rPr/>
            </w:pPr>
            <w:hyperlink w:anchor="d120247dex211.htm">
              <w:r>
                <w:rPr>
                  <w:rStyle w:val="InternetLink"/>
                </w:rPr>
                <w:t xml:space="preserve">Subsidiaries of the Registrant </w:t>
              </w:r>
            </w:hyperlink>
          </w:p>
        </w:tc>
      </w:tr>
      <w:tr>
        <w:trPr/>
        <w:tc>
          <w:tcPr>
            <w:tcW w:w="768" w:type="dxa"/>
            <w:tcBorders/>
            <w:shd w:fill="auto" w:val="clear"/>
            <w:vAlign w:val="center"/>
          </w:tcPr>
          <w:p>
            <w:pPr>
              <w:pStyle w:val="TableContents"/>
              <w:spacing w:before="0" w:after="283"/>
              <w:rPr/>
            </w:pPr>
            <w:r>
              <w:rPr/>
              <w:t> </w:t>
            </w:r>
          </w:p>
        </w:tc>
        <w:tc>
          <w:tcPr>
            <w:tcW w:w="9437" w:type="dxa"/>
            <w:gridSpan w:val="2"/>
            <w:tcBorders/>
            <w:shd w:fill="auto" w:val="clear"/>
            <w:vAlign w:val="center"/>
          </w:tcPr>
          <w:p>
            <w:pPr>
              <w:pStyle w:val="TableContents"/>
              <w:spacing w:before="0" w:after="283"/>
              <w:rPr/>
            </w:pPr>
            <w:r>
              <w:rPr/>
              <w:t> </w:t>
            </w:r>
          </w:p>
        </w:tc>
      </w:tr>
      <w:tr>
        <w:trPr/>
        <w:tc>
          <w:tcPr>
            <w:tcW w:w="768" w:type="dxa"/>
            <w:tcBorders/>
            <w:shd w:fill="auto" w:val="clear"/>
            <w:vAlign w:val="center"/>
          </w:tcPr>
          <w:p>
            <w:pPr>
              <w:pStyle w:val="TableContents"/>
              <w:spacing w:before="0" w:after="283"/>
              <w:rPr/>
            </w:pPr>
            <w:r>
              <w:rPr/>
              <w:t>  </w:t>
            </w:r>
            <w:r>
              <w:rPr/>
              <w:t>23.1*</w:t>
            </w:r>
          </w:p>
        </w:tc>
        <w:tc>
          <w:tcPr>
            <w:tcW w:w="120" w:type="dxa"/>
            <w:tcBorders/>
            <w:shd w:fill="auto" w:val="clear"/>
            <w:vAlign w:val="center"/>
          </w:tcPr>
          <w:p>
            <w:pPr>
              <w:pStyle w:val="TableContents"/>
              <w:spacing w:before="0" w:after="283"/>
              <w:rPr/>
            </w:pPr>
            <w:r>
              <w:rPr/>
              <w:t>  </w:t>
            </w:r>
          </w:p>
        </w:tc>
        <w:tc>
          <w:tcPr>
            <w:tcW w:w="9317" w:type="dxa"/>
            <w:tcBorders/>
            <w:shd w:fill="auto" w:val="clear"/>
            <w:vAlign w:val="center"/>
          </w:tcPr>
          <w:p>
            <w:pPr>
              <w:pStyle w:val="TableContents"/>
              <w:spacing w:before="0" w:after="283"/>
              <w:rPr/>
            </w:pPr>
            <w:hyperlink w:anchor="d120247dex231.htm">
              <w:r>
                <w:rPr>
                  <w:rStyle w:val="InternetLink"/>
                </w:rPr>
                <w:t xml:space="preserve">Consent of KPMG LLP, Independent Registered Public Accounting Firm </w:t>
              </w:r>
            </w:hyperlink>
          </w:p>
        </w:tc>
      </w:tr>
      <w:tr>
        <w:trPr/>
        <w:tc>
          <w:tcPr>
            <w:tcW w:w="768" w:type="dxa"/>
            <w:tcBorders/>
            <w:shd w:fill="auto" w:val="clear"/>
            <w:vAlign w:val="center"/>
          </w:tcPr>
          <w:p>
            <w:pPr>
              <w:pStyle w:val="TableContents"/>
              <w:spacing w:before="0" w:after="283"/>
              <w:rPr/>
            </w:pPr>
            <w:r>
              <w:rPr/>
              <w:t> </w:t>
            </w:r>
          </w:p>
        </w:tc>
        <w:tc>
          <w:tcPr>
            <w:tcW w:w="9437" w:type="dxa"/>
            <w:gridSpan w:val="2"/>
            <w:tcBorders/>
            <w:shd w:fill="auto" w:val="clear"/>
            <w:vAlign w:val="center"/>
          </w:tcPr>
          <w:p>
            <w:pPr>
              <w:pStyle w:val="TableContents"/>
              <w:spacing w:before="0" w:after="283"/>
              <w:rPr/>
            </w:pPr>
            <w:r>
              <w:rPr/>
              <w:t> </w:t>
            </w:r>
          </w:p>
        </w:tc>
      </w:tr>
      <w:tr>
        <w:trPr/>
        <w:tc>
          <w:tcPr>
            <w:tcW w:w="768" w:type="dxa"/>
            <w:tcBorders/>
            <w:shd w:fill="auto" w:val="clear"/>
            <w:vAlign w:val="center"/>
          </w:tcPr>
          <w:p>
            <w:pPr>
              <w:pStyle w:val="TableContents"/>
              <w:spacing w:before="0" w:after="283"/>
              <w:rPr/>
            </w:pPr>
            <w:r>
              <w:rPr/>
              <w:t>  </w:t>
            </w:r>
            <w:r>
              <w:rPr/>
              <w:t>24.1*</w:t>
            </w:r>
          </w:p>
        </w:tc>
        <w:tc>
          <w:tcPr>
            <w:tcW w:w="120" w:type="dxa"/>
            <w:tcBorders/>
            <w:shd w:fill="auto" w:val="clear"/>
            <w:vAlign w:val="center"/>
          </w:tcPr>
          <w:p>
            <w:pPr>
              <w:pStyle w:val="TableContents"/>
              <w:spacing w:before="0" w:after="283"/>
              <w:rPr/>
            </w:pPr>
            <w:r>
              <w:rPr/>
              <w:t>  </w:t>
            </w:r>
          </w:p>
        </w:tc>
        <w:tc>
          <w:tcPr>
            <w:tcW w:w="9317" w:type="dxa"/>
            <w:tcBorders/>
            <w:shd w:fill="auto" w:val="clear"/>
            <w:vAlign w:val="center"/>
          </w:tcPr>
          <w:p>
            <w:pPr>
              <w:pStyle w:val="TableContents"/>
              <w:spacing w:before="0" w:after="283"/>
              <w:rPr/>
            </w:pPr>
            <w:hyperlink w:anchor="sig">
              <w:r>
                <w:rPr>
                  <w:rStyle w:val="InternetLink"/>
                </w:rPr>
                <w:t xml:space="preserve">Power of Attorney (included on signature page) </w:t>
              </w:r>
            </w:hyperlink>
          </w:p>
        </w:tc>
      </w:tr>
      <w:tr>
        <w:trPr/>
        <w:tc>
          <w:tcPr>
            <w:tcW w:w="768" w:type="dxa"/>
            <w:tcBorders/>
            <w:shd w:fill="auto" w:val="clear"/>
            <w:vAlign w:val="center"/>
          </w:tcPr>
          <w:p>
            <w:pPr>
              <w:pStyle w:val="TableContents"/>
              <w:spacing w:before="0" w:after="283"/>
              <w:rPr/>
            </w:pPr>
            <w:r>
              <w:rPr/>
              <w:t> </w:t>
            </w:r>
          </w:p>
        </w:tc>
        <w:tc>
          <w:tcPr>
            <w:tcW w:w="9437" w:type="dxa"/>
            <w:gridSpan w:val="2"/>
            <w:tcBorders/>
            <w:shd w:fill="auto" w:val="clear"/>
            <w:vAlign w:val="center"/>
          </w:tcPr>
          <w:p>
            <w:pPr>
              <w:pStyle w:val="TableContents"/>
              <w:spacing w:before="0" w:after="283"/>
              <w:rPr/>
            </w:pPr>
            <w:r>
              <w:rPr/>
              <w:t> </w:t>
            </w:r>
          </w:p>
        </w:tc>
      </w:tr>
      <w:tr>
        <w:trPr/>
        <w:tc>
          <w:tcPr>
            <w:tcW w:w="768" w:type="dxa"/>
            <w:tcBorders/>
            <w:shd w:fill="auto" w:val="clear"/>
            <w:vAlign w:val="center"/>
          </w:tcPr>
          <w:p>
            <w:pPr>
              <w:pStyle w:val="TableContents"/>
              <w:spacing w:before="0" w:after="283"/>
              <w:rPr/>
            </w:pPr>
            <w:r>
              <w:rPr/>
              <w:t>  </w:t>
            </w:r>
            <w:r>
              <w:rPr/>
              <w:t>31.1*</w:t>
            </w:r>
          </w:p>
        </w:tc>
        <w:tc>
          <w:tcPr>
            <w:tcW w:w="120" w:type="dxa"/>
            <w:tcBorders/>
            <w:shd w:fill="auto" w:val="clear"/>
            <w:vAlign w:val="center"/>
          </w:tcPr>
          <w:p>
            <w:pPr>
              <w:pStyle w:val="TableContents"/>
              <w:spacing w:before="0" w:after="283"/>
              <w:rPr/>
            </w:pPr>
            <w:r>
              <w:rPr/>
              <w:t>  </w:t>
            </w:r>
          </w:p>
        </w:tc>
        <w:tc>
          <w:tcPr>
            <w:tcW w:w="9317" w:type="dxa"/>
            <w:tcBorders/>
            <w:shd w:fill="auto" w:val="clear"/>
            <w:vAlign w:val="center"/>
          </w:tcPr>
          <w:p>
            <w:pPr>
              <w:pStyle w:val="TableContents"/>
              <w:spacing w:before="0" w:after="283"/>
              <w:rPr/>
            </w:pPr>
            <w:hyperlink w:anchor="d120247dex311.htm">
              <w:r>
                <w:rPr>
                  <w:rStyle w:val="InternetLink"/>
                </w:rPr>
                <w:t xml:space="preserve">Certification of Brian A. Jenkins, Chief Executive Officer of the Registrant, pursuant to 17 CFR </w:t>
              </w:r>
            </w:hyperlink>
            <w:hyperlink w:anchor="d120247dex311.htm">
              <w:r>
                <w:rPr>
                  <w:rStyle w:val="InternetLink"/>
                  <w:spacing w:val="0"/>
                </w:rPr>
                <w:t>240.13a-14(a)</w:t>
              </w:r>
            </w:hyperlink>
            <w:hyperlink w:anchor="d120247dex311.htm">
              <w:r>
                <w:rPr>
                  <w:rStyle w:val="InternetLink"/>
                </w:rPr>
                <w:t xml:space="preserve"> or 17 CFR </w:t>
              </w:r>
            </w:hyperlink>
            <w:hyperlink w:anchor="d120247dex311.htm">
              <w:r>
                <w:rPr>
                  <w:rStyle w:val="InternetLink"/>
                  <w:spacing w:val="0"/>
                </w:rPr>
                <w:t>240.15d-14(a).</w:t>
              </w:r>
            </w:hyperlink>
            <w:hyperlink w:anchor="d120247dex311.htm">
              <w:r>
                <w:rPr>
                  <w:rStyle w:val="InternetLink"/>
                </w:rPr>
                <w:t xml:space="preserve"> </w:t>
              </w:r>
            </w:hyperlink>
          </w:p>
        </w:tc>
      </w:tr>
      <w:tr>
        <w:trPr/>
        <w:tc>
          <w:tcPr>
            <w:tcW w:w="768" w:type="dxa"/>
            <w:tcBorders/>
            <w:shd w:fill="auto" w:val="clear"/>
            <w:vAlign w:val="center"/>
          </w:tcPr>
          <w:p>
            <w:pPr>
              <w:pStyle w:val="TableContents"/>
              <w:spacing w:before="0" w:after="283"/>
              <w:rPr/>
            </w:pPr>
            <w:r>
              <w:rPr/>
              <w:t> </w:t>
            </w:r>
          </w:p>
        </w:tc>
        <w:tc>
          <w:tcPr>
            <w:tcW w:w="9437" w:type="dxa"/>
            <w:gridSpan w:val="2"/>
            <w:tcBorders/>
            <w:shd w:fill="auto" w:val="clear"/>
            <w:vAlign w:val="center"/>
          </w:tcPr>
          <w:p>
            <w:pPr>
              <w:pStyle w:val="TableContents"/>
              <w:spacing w:before="0" w:after="283"/>
              <w:rPr/>
            </w:pPr>
            <w:r>
              <w:rPr/>
              <w:t> </w:t>
            </w:r>
          </w:p>
        </w:tc>
      </w:tr>
      <w:tr>
        <w:trPr/>
        <w:tc>
          <w:tcPr>
            <w:tcW w:w="768" w:type="dxa"/>
            <w:tcBorders/>
            <w:shd w:fill="auto" w:val="clear"/>
            <w:vAlign w:val="center"/>
          </w:tcPr>
          <w:p>
            <w:pPr>
              <w:pStyle w:val="TableContents"/>
              <w:spacing w:before="0" w:after="283"/>
              <w:rPr/>
            </w:pPr>
            <w:r>
              <w:rPr/>
              <w:t>  </w:t>
            </w:r>
            <w:r>
              <w:rPr/>
              <w:t>31.2*</w:t>
            </w:r>
          </w:p>
        </w:tc>
        <w:tc>
          <w:tcPr>
            <w:tcW w:w="120" w:type="dxa"/>
            <w:tcBorders/>
            <w:shd w:fill="auto" w:val="clear"/>
            <w:vAlign w:val="center"/>
          </w:tcPr>
          <w:p>
            <w:pPr>
              <w:pStyle w:val="TableContents"/>
              <w:spacing w:before="0" w:after="283"/>
              <w:rPr/>
            </w:pPr>
            <w:r>
              <w:rPr/>
              <w:t>  </w:t>
            </w:r>
          </w:p>
        </w:tc>
        <w:tc>
          <w:tcPr>
            <w:tcW w:w="9317" w:type="dxa"/>
            <w:tcBorders/>
            <w:shd w:fill="auto" w:val="clear"/>
            <w:vAlign w:val="center"/>
          </w:tcPr>
          <w:p>
            <w:pPr>
              <w:pStyle w:val="TableContents"/>
              <w:spacing w:before="0" w:after="283"/>
              <w:rPr/>
            </w:pPr>
            <w:hyperlink w:anchor="d120247dex312.htm">
              <w:r>
                <w:rPr>
                  <w:rStyle w:val="InternetLink"/>
                </w:rPr>
                <w:t xml:space="preserve">Certification of Scott J. Bowman, Chief Financial Officer of the Registrant, pursuant to 17 CFR </w:t>
              </w:r>
            </w:hyperlink>
            <w:hyperlink w:anchor="d120247dex312.htm">
              <w:r>
                <w:rPr>
                  <w:rStyle w:val="InternetLink"/>
                  <w:spacing w:val="0"/>
                </w:rPr>
                <w:t>240.13a-14(a)</w:t>
              </w:r>
            </w:hyperlink>
            <w:hyperlink w:anchor="d120247dex312.htm">
              <w:r>
                <w:rPr>
                  <w:rStyle w:val="InternetLink"/>
                </w:rPr>
                <w:t xml:space="preserve"> or 17 CFR </w:t>
              </w:r>
            </w:hyperlink>
            <w:hyperlink w:anchor="d120247dex312.htm">
              <w:r>
                <w:rPr>
                  <w:rStyle w:val="InternetLink"/>
                  <w:spacing w:val="0"/>
                </w:rPr>
                <w:t>240.15d-14(a).</w:t>
              </w:r>
            </w:hyperlink>
            <w:hyperlink w:anchor="d120247dex312.htm">
              <w:r>
                <w:rPr>
                  <w:rStyle w:val="InternetLink"/>
                </w:rPr>
                <w:t xml:space="preserve"> </w:t>
              </w:r>
            </w:hyperlink>
          </w:p>
        </w:tc>
      </w:tr>
      <w:tr>
        <w:trPr/>
        <w:tc>
          <w:tcPr>
            <w:tcW w:w="768" w:type="dxa"/>
            <w:tcBorders/>
            <w:shd w:fill="auto" w:val="clear"/>
            <w:vAlign w:val="center"/>
          </w:tcPr>
          <w:p>
            <w:pPr>
              <w:pStyle w:val="TableContents"/>
              <w:spacing w:before="0" w:after="283"/>
              <w:rPr/>
            </w:pPr>
            <w:r>
              <w:rPr/>
              <w:t> </w:t>
            </w:r>
          </w:p>
        </w:tc>
        <w:tc>
          <w:tcPr>
            <w:tcW w:w="9437" w:type="dxa"/>
            <w:gridSpan w:val="2"/>
            <w:tcBorders/>
            <w:shd w:fill="auto" w:val="clear"/>
            <w:vAlign w:val="center"/>
          </w:tcPr>
          <w:p>
            <w:pPr>
              <w:pStyle w:val="TableContents"/>
              <w:spacing w:before="0" w:after="283"/>
              <w:rPr/>
            </w:pPr>
            <w:r>
              <w:rPr/>
              <w:t> </w:t>
            </w:r>
          </w:p>
        </w:tc>
      </w:tr>
      <w:tr>
        <w:trPr/>
        <w:tc>
          <w:tcPr>
            <w:tcW w:w="768" w:type="dxa"/>
            <w:tcBorders/>
            <w:shd w:fill="auto" w:val="clear"/>
            <w:vAlign w:val="center"/>
          </w:tcPr>
          <w:p>
            <w:pPr>
              <w:pStyle w:val="TableContents"/>
              <w:spacing w:before="0" w:after="283"/>
              <w:rPr/>
            </w:pPr>
            <w:r>
              <w:rPr/>
              <w:t>  </w:t>
            </w:r>
            <w:r>
              <w:rPr/>
              <w:t>32.1*</w:t>
            </w:r>
          </w:p>
        </w:tc>
        <w:tc>
          <w:tcPr>
            <w:tcW w:w="120" w:type="dxa"/>
            <w:tcBorders/>
            <w:shd w:fill="auto" w:val="clear"/>
            <w:vAlign w:val="center"/>
          </w:tcPr>
          <w:p>
            <w:pPr>
              <w:pStyle w:val="TableContents"/>
              <w:spacing w:before="0" w:after="283"/>
              <w:rPr/>
            </w:pPr>
            <w:r>
              <w:rPr/>
              <w:t>  </w:t>
            </w:r>
          </w:p>
        </w:tc>
        <w:tc>
          <w:tcPr>
            <w:tcW w:w="9317" w:type="dxa"/>
            <w:tcBorders/>
            <w:shd w:fill="auto" w:val="clear"/>
            <w:vAlign w:val="center"/>
          </w:tcPr>
          <w:p>
            <w:pPr>
              <w:pStyle w:val="TableContents"/>
              <w:spacing w:before="0" w:after="283"/>
              <w:rPr/>
            </w:pPr>
            <w:hyperlink w:anchor="d120247dex321.htm">
              <w:r>
                <w:rPr>
                  <w:rStyle w:val="InternetLink"/>
                </w:rPr>
                <w:t xml:space="preserve">Certification of Brian A. Jenkins, Chief Executive Officer of the Registrant, pursuant to 18 U.S.C. Section 1350, as adopted pursuant to Section 906 of the Sarbanes-Oxley Act of 2002. </w:t>
              </w:r>
            </w:hyperlink>
          </w:p>
        </w:tc>
      </w:tr>
      <w:tr>
        <w:trPr/>
        <w:tc>
          <w:tcPr>
            <w:tcW w:w="768" w:type="dxa"/>
            <w:tcBorders/>
            <w:shd w:fill="auto" w:val="clear"/>
            <w:vAlign w:val="center"/>
          </w:tcPr>
          <w:p>
            <w:pPr>
              <w:pStyle w:val="TableContents"/>
              <w:spacing w:before="0" w:after="283"/>
              <w:rPr/>
            </w:pPr>
            <w:r>
              <w:rPr/>
              <w:t> </w:t>
            </w:r>
          </w:p>
        </w:tc>
        <w:tc>
          <w:tcPr>
            <w:tcW w:w="9437" w:type="dxa"/>
            <w:gridSpan w:val="2"/>
            <w:tcBorders/>
            <w:shd w:fill="auto" w:val="clear"/>
            <w:vAlign w:val="center"/>
          </w:tcPr>
          <w:p>
            <w:pPr>
              <w:pStyle w:val="TableContents"/>
              <w:spacing w:before="0" w:after="283"/>
              <w:rPr/>
            </w:pPr>
            <w:r>
              <w:rPr/>
              <w:t> </w:t>
            </w:r>
          </w:p>
        </w:tc>
      </w:tr>
      <w:tr>
        <w:trPr/>
        <w:tc>
          <w:tcPr>
            <w:tcW w:w="768" w:type="dxa"/>
            <w:tcBorders/>
            <w:shd w:fill="auto" w:val="clear"/>
            <w:vAlign w:val="center"/>
          </w:tcPr>
          <w:p>
            <w:pPr>
              <w:pStyle w:val="TableContents"/>
              <w:spacing w:before="0" w:after="283"/>
              <w:rPr/>
            </w:pPr>
            <w:r>
              <w:rPr/>
              <w:t>  </w:t>
            </w:r>
            <w:r>
              <w:rPr/>
              <w:t>32.2*</w:t>
            </w:r>
          </w:p>
        </w:tc>
        <w:tc>
          <w:tcPr>
            <w:tcW w:w="120" w:type="dxa"/>
            <w:tcBorders/>
            <w:shd w:fill="auto" w:val="clear"/>
            <w:vAlign w:val="center"/>
          </w:tcPr>
          <w:p>
            <w:pPr>
              <w:pStyle w:val="TableContents"/>
              <w:spacing w:before="0" w:after="283"/>
              <w:rPr/>
            </w:pPr>
            <w:r>
              <w:rPr/>
              <w:t>  </w:t>
            </w:r>
          </w:p>
        </w:tc>
        <w:tc>
          <w:tcPr>
            <w:tcW w:w="9317" w:type="dxa"/>
            <w:tcBorders/>
            <w:shd w:fill="auto" w:val="clear"/>
            <w:vAlign w:val="center"/>
          </w:tcPr>
          <w:p>
            <w:pPr>
              <w:pStyle w:val="TableContents"/>
              <w:spacing w:before="0" w:after="283"/>
              <w:rPr/>
            </w:pPr>
            <w:hyperlink w:anchor="d120247dex322.htm">
              <w:r>
                <w:rPr>
                  <w:rStyle w:val="InternetLink"/>
                </w:rPr>
                <w:t xml:space="preserve">Certification of Scott J. Bowman, Chief Financial Officer of the Registrant, pursuant to 18 U.S.C. Section 1350, as adopted pursuant to Section 906 of the Sarbanes-Oxley Act of 2002. </w:t>
              </w:r>
            </w:hyperlink>
          </w:p>
        </w:tc>
      </w:tr>
      <w:tr>
        <w:trPr/>
        <w:tc>
          <w:tcPr>
            <w:tcW w:w="768" w:type="dxa"/>
            <w:tcBorders/>
            <w:shd w:fill="auto" w:val="clear"/>
            <w:vAlign w:val="center"/>
          </w:tcPr>
          <w:p>
            <w:pPr>
              <w:pStyle w:val="TableContents"/>
              <w:spacing w:before="0" w:after="283"/>
              <w:rPr/>
            </w:pPr>
            <w:r>
              <w:rPr/>
              <w:t> </w:t>
            </w:r>
          </w:p>
        </w:tc>
        <w:tc>
          <w:tcPr>
            <w:tcW w:w="9437" w:type="dxa"/>
            <w:gridSpan w:val="2"/>
            <w:tcBorders/>
            <w:shd w:fill="auto" w:val="clear"/>
            <w:vAlign w:val="center"/>
          </w:tcPr>
          <w:p>
            <w:pPr>
              <w:pStyle w:val="TableContents"/>
              <w:spacing w:before="0" w:after="283"/>
              <w:rPr/>
            </w:pPr>
            <w:r>
              <w:rPr/>
              <w:t> </w:t>
            </w:r>
          </w:p>
        </w:tc>
      </w:tr>
      <w:tr>
        <w:trPr/>
        <w:tc>
          <w:tcPr>
            <w:tcW w:w="768" w:type="dxa"/>
            <w:tcBorders/>
            <w:shd w:fill="auto" w:val="clear"/>
            <w:vAlign w:val="center"/>
          </w:tcPr>
          <w:p>
            <w:pPr>
              <w:pStyle w:val="TableContents"/>
              <w:spacing w:before="0" w:after="283"/>
              <w:rPr/>
            </w:pPr>
            <w:r>
              <w:rPr/>
              <w:t>101.INS</w:t>
            </w:r>
          </w:p>
        </w:tc>
        <w:tc>
          <w:tcPr>
            <w:tcW w:w="120" w:type="dxa"/>
            <w:tcBorders/>
            <w:shd w:fill="auto" w:val="clear"/>
            <w:vAlign w:val="center"/>
          </w:tcPr>
          <w:p>
            <w:pPr>
              <w:pStyle w:val="TableContents"/>
              <w:spacing w:before="0" w:after="283"/>
              <w:rPr/>
            </w:pPr>
            <w:r>
              <w:rPr/>
              <w:t>  </w:t>
            </w:r>
          </w:p>
        </w:tc>
        <w:tc>
          <w:tcPr>
            <w:tcW w:w="9317" w:type="dxa"/>
            <w:tcBorders/>
            <w:shd w:fill="auto" w:val="clear"/>
            <w:vAlign w:val="center"/>
          </w:tcPr>
          <w:p>
            <w:pPr>
              <w:pStyle w:val="TableContents"/>
              <w:spacing w:before="0" w:after="283"/>
              <w:rPr/>
            </w:pPr>
            <w:r>
              <w:rPr/>
              <w:t>XBRL Inline Instance Document - the instance document does not appear in the Interactive Data File because its XBRL tags are embedded within the Inline XBRL document</w:t>
            </w:r>
          </w:p>
        </w:tc>
      </w:tr>
      <w:tr>
        <w:trPr/>
        <w:tc>
          <w:tcPr>
            <w:tcW w:w="768" w:type="dxa"/>
            <w:tcBorders/>
            <w:shd w:fill="auto" w:val="clear"/>
            <w:vAlign w:val="center"/>
          </w:tcPr>
          <w:p>
            <w:pPr>
              <w:pStyle w:val="TableContents"/>
              <w:spacing w:before="0" w:after="283"/>
              <w:rPr/>
            </w:pPr>
            <w:r>
              <w:rPr/>
              <w:t> </w:t>
            </w:r>
          </w:p>
        </w:tc>
        <w:tc>
          <w:tcPr>
            <w:tcW w:w="9437" w:type="dxa"/>
            <w:gridSpan w:val="2"/>
            <w:tcBorders/>
            <w:shd w:fill="auto" w:val="clear"/>
            <w:vAlign w:val="center"/>
          </w:tcPr>
          <w:p>
            <w:pPr>
              <w:pStyle w:val="TableContents"/>
              <w:spacing w:before="0" w:after="283"/>
              <w:rPr/>
            </w:pPr>
            <w:r>
              <w:rPr/>
              <w:t> </w:t>
            </w:r>
          </w:p>
        </w:tc>
      </w:tr>
      <w:tr>
        <w:trPr/>
        <w:tc>
          <w:tcPr>
            <w:tcW w:w="768" w:type="dxa"/>
            <w:tcBorders/>
            <w:shd w:fill="auto" w:val="clear"/>
            <w:vAlign w:val="center"/>
          </w:tcPr>
          <w:p>
            <w:pPr>
              <w:pStyle w:val="TableContents"/>
              <w:spacing w:before="0" w:after="283"/>
              <w:rPr/>
            </w:pPr>
            <w:r>
              <w:rPr/>
              <w:t>101.SCH</w:t>
            </w:r>
          </w:p>
        </w:tc>
        <w:tc>
          <w:tcPr>
            <w:tcW w:w="120" w:type="dxa"/>
            <w:tcBorders/>
            <w:shd w:fill="auto" w:val="clear"/>
            <w:vAlign w:val="center"/>
          </w:tcPr>
          <w:p>
            <w:pPr>
              <w:pStyle w:val="TableContents"/>
              <w:spacing w:before="0" w:after="283"/>
              <w:rPr/>
            </w:pPr>
            <w:r>
              <w:rPr/>
              <w:t>  </w:t>
            </w:r>
          </w:p>
        </w:tc>
        <w:tc>
          <w:tcPr>
            <w:tcW w:w="9317" w:type="dxa"/>
            <w:tcBorders/>
            <w:shd w:fill="auto" w:val="clear"/>
            <w:vAlign w:val="center"/>
          </w:tcPr>
          <w:p>
            <w:pPr>
              <w:pStyle w:val="TableContents"/>
              <w:spacing w:before="0" w:after="283"/>
              <w:rPr/>
            </w:pPr>
            <w:r>
              <w:rPr/>
              <w:t>XBRL Inline Taxonomy Extension Schema Document</w:t>
            </w:r>
          </w:p>
        </w:tc>
      </w:tr>
      <w:tr>
        <w:trPr/>
        <w:tc>
          <w:tcPr>
            <w:tcW w:w="768" w:type="dxa"/>
            <w:tcBorders/>
            <w:shd w:fill="auto" w:val="clear"/>
            <w:vAlign w:val="center"/>
          </w:tcPr>
          <w:p>
            <w:pPr>
              <w:pStyle w:val="TableContents"/>
              <w:spacing w:before="0" w:after="283"/>
              <w:rPr/>
            </w:pPr>
            <w:r>
              <w:rPr/>
              <w:t> </w:t>
            </w:r>
          </w:p>
        </w:tc>
        <w:tc>
          <w:tcPr>
            <w:tcW w:w="9437" w:type="dxa"/>
            <w:gridSpan w:val="2"/>
            <w:tcBorders/>
            <w:shd w:fill="auto" w:val="clear"/>
            <w:vAlign w:val="center"/>
          </w:tcPr>
          <w:p>
            <w:pPr>
              <w:pStyle w:val="TableContents"/>
              <w:spacing w:before="0" w:after="283"/>
              <w:rPr/>
            </w:pPr>
            <w:r>
              <w:rPr/>
              <w:t> </w:t>
            </w:r>
          </w:p>
        </w:tc>
      </w:tr>
      <w:tr>
        <w:trPr/>
        <w:tc>
          <w:tcPr>
            <w:tcW w:w="768" w:type="dxa"/>
            <w:tcBorders/>
            <w:shd w:fill="auto" w:val="clear"/>
            <w:vAlign w:val="center"/>
          </w:tcPr>
          <w:p>
            <w:pPr>
              <w:pStyle w:val="TableContents"/>
              <w:spacing w:before="0" w:after="283"/>
              <w:rPr/>
            </w:pPr>
            <w:r>
              <w:rPr/>
              <w:t>101.CAL</w:t>
            </w:r>
          </w:p>
        </w:tc>
        <w:tc>
          <w:tcPr>
            <w:tcW w:w="120" w:type="dxa"/>
            <w:tcBorders/>
            <w:shd w:fill="auto" w:val="clear"/>
            <w:vAlign w:val="center"/>
          </w:tcPr>
          <w:p>
            <w:pPr>
              <w:pStyle w:val="TableContents"/>
              <w:spacing w:before="0" w:after="283"/>
              <w:rPr/>
            </w:pPr>
            <w:r>
              <w:rPr/>
              <w:t>  </w:t>
            </w:r>
          </w:p>
        </w:tc>
        <w:tc>
          <w:tcPr>
            <w:tcW w:w="9317" w:type="dxa"/>
            <w:tcBorders/>
            <w:shd w:fill="auto" w:val="clear"/>
            <w:vAlign w:val="center"/>
          </w:tcPr>
          <w:p>
            <w:pPr>
              <w:pStyle w:val="TableContents"/>
              <w:spacing w:before="0" w:after="283"/>
              <w:rPr/>
            </w:pPr>
            <w:r>
              <w:rPr/>
              <w:t>XBRL Inline Taxonomy Extension Calculation Linkbase Document</w:t>
            </w:r>
          </w:p>
        </w:tc>
      </w:tr>
      <w:tr>
        <w:trPr/>
        <w:tc>
          <w:tcPr>
            <w:tcW w:w="768" w:type="dxa"/>
            <w:tcBorders/>
            <w:shd w:fill="auto" w:val="clear"/>
            <w:vAlign w:val="center"/>
          </w:tcPr>
          <w:p>
            <w:pPr>
              <w:pStyle w:val="TableContents"/>
              <w:spacing w:before="0" w:after="283"/>
              <w:rPr/>
            </w:pPr>
            <w:r>
              <w:rPr/>
              <w:t> </w:t>
            </w:r>
          </w:p>
        </w:tc>
        <w:tc>
          <w:tcPr>
            <w:tcW w:w="9437" w:type="dxa"/>
            <w:gridSpan w:val="2"/>
            <w:tcBorders/>
            <w:shd w:fill="auto" w:val="clear"/>
            <w:vAlign w:val="center"/>
          </w:tcPr>
          <w:p>
            <w:pPr>
              <w:pStyle w:val="TableContents"/>
              <w:spacing w:before="0" w:after="283"/>
              <w:rPr/>
            </w:pPr>
            <w:r>
              <w:rPr/>
              <w:t> </w:t>
            </w:r>
          </w:p>
        </w:tc>
      </w:tr>
      <w:tr>
        <w:trPr/>
        <w:tc>
          <w:tcPr>
            <w:tcW w:w="768" w:type="dxa"/>
            <w:tcBorders/>
            <w:shd w:fill="auto" w:val="clear"/>
            <w:vAlign w:val="center"/>
          </w:tcPr>
          <w:p>
            <w:pPr>
              <w:pStyle w:val="TableContents"/>
              <w:spacing w:before="0" w:after="283"/>
              <w:rPr/>
            </w:pPr>
            <w:r>
              <w:rPr/>
              <w:t>101.DEF</w:t>
            </w:r>
          </w:p>
        </w:tc>
        <w:tc>
          <w:tcPr>
            <w:tcW w:w="120" w:type="dxa"/>
            <w:tcBorders/>
            <w:shd w:fill="auto" w:val="clear"/>
            <w:vAlign w:val="center"/>
          </w:tcPr>
          <w:p>
            <w:pPr>
              <w:pStyle w:val="TableContents"/>
              <w:spacing w:before="0" w:after="283"/>
              <w:rPr/>
            </w:pPr>
            <w:r>
              <w:rPr/>
              <w:t>  </w:t>
            </w:r>
          </w:p>
        </w:tc>
        <w:tc>
          <w:tcPr>
            <w:tcW w:w="9317" w:type="dxa"/>
            <w:tcBorders/>
            <w:shd w:fill="auto" w:val="clear"/>
            <w:vAlign w:val="center"/>
          </w:tcPr>
          <w:p>
            <w:pPr>
              <w:pStyle w:val="TableContents"/>
              <w:spacing w:before="0" w:after="283"/>
              <w:rPr/>
            </w:pPr>
            <w:r>
              <w:rPr/>
              <w:t>XBRL Inline Taxonomy Extension Definition Linkbase Document</w:t>
            </w:r>
          </w:p>
        </w:tc>
      </w:tr>
      <w:tr>
        <w:trPr/>
        <w:tc>
          <w:tcPr>
            <w:tcW w:w="768" w:type="dxa"/>
            <w:tcBorders/>
            <w:shd w:fill="auto" w:val="clear"/>
            <w:vAlign w:val="center"/>
          </w:tcPr>
          <w:p>
            <w:pPr>
              <w:pStyle w:val="TableContents"/>
              <w:spacing w:before="0" w:after="283"/>
              <w:rPr/>
            </w:pPr>
            <w:r>
              <w:rPr/>
              <w:t> </w:t>
            </w:r>
          </w:p>
        </w:tc>
        <w:tc>
          <w:tcPr>
            <w:tcW w:w="9437" w:type="dxa"/>
            <w:gridSpan w:val="2"/>
            <w:tcBorders/>
            <w:shd w:fill="auto" w:val="clear"/>
            <w:vAlign w:val="center"/>
          </w:tcPr>
          <w:p>
            <w:pPr>
              <w:pStyle w:val="TableContents"/>
              <w:spacing w:before="0" w:after="283"/>
              <w:rPr/>
            </w:pPr>
            <w:r>
              <w:rPr/>
              <w:t> </w:t>
            </w:r>
          </w:p>
        </w:tc>
      </w:tr>
      <w:tr>
        <w:trPr/>
        <w:tc>
          <w:tcPr>
            <w:tcW w:w="768" w:type="dxa"/>
            <w:tcBorders/>
            <w:shd w:fill="auto" w:val="clear"/>
            <w:vAlign w:val="center"/>
          </w:tcPr>
          <w:p>
            <w:pPr>
              <w:pStyle w:val="TableContents"/>
              <w:spacing w:before="0" w:after="283"/>
              <w:rPr/>
            </w:pPr>
            <w:r>
              <w:rPr/>
              <w:t>101.LAB</w:t>
            </w:r>
          </w:p>
        </w:tc>
        <w:tc>
          <w:tcPr>
            <w:tcW w:w="120" w:type="dxa"/>
            <w:tcBorders/>
            <w:shd w:fill="auto" w:val="clear"/>
            <w:vAlign w:val="center"/>
          </w:tcPr>
          <w:p>
            <w:pPr>
              <w:pStyle w:val="TableContents"/>
              <w:spacing w:before="0" w:after="283"/>
              <w:rPr/>
            </w:pPr>
            <w:r>
              <w:rPr/>
              <w:t>  </w:t>
            </w:r>
          </w:p>
        </w:tc>
        <w:tc>
          <w:tcPr>
            <w:tcW w:w="9317" w:type="dxa"/>
            <w:tcBorders/>
            <w:shd w:fill="auto" w:val="clear"/>
            <w:vAlign w:val="center"/>
          </w:tcPr>
          <w:p>
            <w:pPr>
              <w:pStyle w:val="TableContents"/>
              <w:spacing w:before="0" w:after="283"/>
              <w:rPr/>
            </w:pPr>
            <w:r>
              <w:rPr/>
              <w:t>XBRL Inline Taxonomy Extension Label Linkbase Document</w:t>
            </w:r>
          </w:p>
        </w:tc>
      </w:tr>
      <w:tr>
        <w:trPr/>
        <w:tc>
          <w:tcPr>
            <w:tcW w:w="768" w:type="dxa"/>
            <w:tcBorders/>
            <w:shd w:fill="auto" w:val="clear"/>
            <w:vAlign w:val="center"/>
          </w:tcPr>
          <w:p>
            <w:pPr>
              <w:pStyle w:val="TableContents"/>
              <w:spacing w:before="0" w:after="283"/>
              <w:rPr/>
            </w:pPr>
            <w:r>
              <w:rPr/>
              <w:t> </w:t>
            </w:r>
          </w:p>
        </w:tc>
        <w:tc>
          <w:tcPr>
            <w:tcW w:w="9437" w:type="dxa"/>
            <w:gridSpan w:val="2"/>
            <w:tcBorders/>
            <w:shd w:fill="auto" w:val="clear"/>
            <w:vAlign w:val="center"/>
          </w:tcPr>
          <w:p>
            <w:pPr>
              <w:pStyle w:val="TableContents"/>
              <w:spacing w:before="0" w:after="283"/>
              <w:rPr/>
            </w:pPr>
            <w:r>
              <w:rPr/>
              <w:t> </w:t>
            </w:r>
          </w:p>
        </w:tc>
      </w:tr>
      <w:tr>
        <w:trPr/>
        <w:tc>
          <w:tcPr>
            <w:tcW w:w="768" w:type="dxa"/>
            <w:tcBorders/>
            <w:shd w:fill="auto" w:val="clear"/>
            <w:vAlign w:val="center"/>
          </w:tcPr>
          <w:p>
            <w:pPr>
              <w:pStyle w:val="TableContents"/>
              <w:spacing w:before="0" w:after="283"/>
              <w:rPr/>
            </w:pPr>
            <w:r>
              <w:rPr/>
              <w:t>101.PRE</w:t>
            </w:r>
          </w:p>
        </w:tc>
        <w:tc>
          <w:tcPr>
            <w:tcW w:w="120" w:type="dxa"/>
            <w:tcBorders/>
            <w:shd w:fill="auto" w:val="clear"/>
            <w:vAlign w:val="center"/>
          </w:tcPr>
          <w:p>
            <w:pPr>
              <w:pStyle w:val="TableContents"/>
              <w:spacing w:before="0" w:after="283"/>
              <w:rPr/>
            </w:pPr>
            <w:r>
              <w:rPr/>
              <w:t>  </w:t>
            </w:r>
          </w:p>
        </w:tc>
        <w:tc>
          <w:tcPr>
            <w:tcW w:w="9317" w:type="dxa"/>
            <w:tcBorders/>
            <w:shd w:fill="auto" w:val="clear"/>
            <w:vAlign w:val="center"/>
          </w:tcPr>
          <w:p>
            <w:pPr>
              <w:pStyle w:val="TableContents"/>
              <w:spacing w:before="0" w:after="283"/>
              <w:rPr/>
            </w:pPr>
            <w:r>
              <w:rPr/>
              <w:t>XBRL Inline Taxonomy Extension Presentation Linkbase Document</w:t>
            </w:r>
          </w:p>
        </w:tc>
      </w:tr>
      <w:tr>
        <w:trPr/>
        <w:tc>
          <w:tcPr>
            <w:tcW w:w="768" w:type="dxa"/>
            <w:tcBorders/>
            <w:shd w:fill="auto" w:val="clear"/>
            <w:vAlign w:val="center"/>
          </w:tcPr>
          <w:p>
            <w:pPr>
              <w:pStyle w:val="TableContents"/>
              <w:spacing w:before="0" w:after="283"/>
              <w:rPr/>
            </w:pPr>
            <w:r>
              <w:rPr/>
              <w:t> </w:t>
            </w:r>
          </w:p>
        </w:tc>
        <w:tc>
          <w:tcPr>
            <w:tcW w:w="9437" w:type="dxa"/>
            <w:gridSpan w:val="2"/>
            <w:tcBorders/>
            <w:shd w:fill="auto" w:val="clear"/>
            <w:vAlign w:val="center"/>
          </w:tcPr>
          <w:p>
            <w:pPr>
              <w:pStyle w:val="TableContents"/>
              <w:spacing w:before="0" w:after="283"/>
              <w:rPr/>
            </w:pPr>
            <w:r>
              <w:rPr/>
              <w:t> </w:t>
            </w:r>
          </w:p>
        </w:tc>
      </w:tr>
      <w:tr>
        <w:trPr/>
        <w:tc>
          <w:tcPr>
            <w:tcW w:w="768" w:type="dxa"/>
            <w:tcBorders/>
            <w:shd w:fill="auto" w:val="clear"/>
            <w:vAlign w:val="center"/>
          </w:tcPr>
          <w:p>
            <w:pPr>
              <w:pStyle w:val="TableContents"/>
              <w:spacing w:before="0" w:after="283"/>
              <w:rPr/>
            </w:pPr>
            <w:r>
              <w:rPr/>
              <w:t>104</w:t>
            </w:r>
          </w:p>
        </w:tc>
        <w:tc>
          <w:tcPr>
            <w:tcW w:w="120" w:type="dxa"/>
            <w:tcBorders/>
            <w:shd w:fill="auto" w:val="clear"/>
            <w:vAlign w:val="center"/>
          </w:tcPr>
          <w:p>
            <w:pPr>
              <w:pStyle w:val="TableContents"/>
              <w:spacing w:before="0" w:after="283"/>
              <w:rPr/>
            </w:pPr>
            <w:r>
              <w:rPr/>
              <w:t>  </w:t>
            </w:r>
          </w:p>
        </w:tc>
        <w:tc>
          <w:tcPr>
            <w:tcW w:w="9317" w:type="dxa"/>
            <w:tcBorders/>
            <w:shd w:fill="auto" w:val="clear"/>
            <w:vAlign w:val="center"/>
          </w:tcPr>
          <w:p>
            <w:pPr>
              <w:pStyle w:val="TableContents"/>
              <w:spacing w:before="0" w:after="283"/>
              <w:rPr/>
            </w:pPr>
            <w:r>
              <w:rPr/>
              <w:t>Cover Page Interactive Data File (formatted as Inline XBRL and contained in Exhibit 101)</w:t>
            </w:r>
          </w:p>
        </w:tc>
      </w:tr>
    </w:tbl>
    <w:p>
      <w:pPr>
        <w:pStyle w:val="TextBody"/>
        <w:spacing w:before="0" w:after="0"/>
        <w:jc w:val="left"/>
        <w:rPr>
          <w:spacing w:val="0"/>
        </w:rPr>
      </w:pPr>
      <w:r>
        <w:rPr>
          <w:spacing w:val="0"/>
        </w:rPr>
        <w:t> </w:t>
      </w:r>
    </w:p>
    <w:tbl>
      <w:tblPr>
        <w:tblW w:w="1210" w:type="dxa"/>
        <w:jc w:val="left"/>
        <w:tblInd w:w="0" w:type="dxa"/>
        <w:tblCellMar>
          <w:top w:w="0" w:type="dxa"/>
          <w:left w:w="0" w:type="dxa"/>
          <w:bottom w:w="0" w:type="dxa"/>
          <w:right w:w="0" w:type="dxa"/>
        </w:tblCellMar>
      </w:tblPr>
      <w:tblGrid>
        <w:gridCol w:w="155"/>
        <w:gridCol w:w="1055"/>
      </w:tblGrid>
      <w:tr>
        <w:trPr/>
        <w:tc>
          <w:tcPr>
            <w:tcW w:w="155" w:type="dxa"/>
            <w:tcBorders/>
            <w:shd w:fill="auto" w:val="clear"/>
            <w:vAlign w:val="center"/>
          </w:tcPr>
          <w:p>
            <w:pPr>
              <w:pStyle w:val="TableContents"/>
              <w:spacing w:before="0" w:after="283"/>
              <w:jc w:val="left"/>
              <w:rPr/>
            </w:pPr>
            <w:r>
              <w:rPr/>
              <w:t>*</w:t>
            </w:r>
          </w:p>
        </w:tc>
        <w:tc>
          <w:tcPr>
            <w:tcW w:w="1055"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Filed herein </w:t>
            </w:r>
          </w:p>
        </w:tc>
      </w:tr>
    </w:tbl>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57 </w:t>
      </w:r>
    </w:p>
    <w:p>
      <w:pPr>
        <w:pStyle w:val="HorizontalLine"/>
        <w:rPr/>
      </w:pPr>
      <w:r>
        <w:rPr/>
      </w:r>
    </w:p>
    <w:p>
      <w:pPr>
        <w:pStyle w:val="TextBody"/>
        <w:spacing w:before="0" w:after="0"/>
        <w:rPr/>
      </w:pPr>
      <w:hyperlink w:anchor="toc">
        <w:r>
          <w:rPr>
            <w:rStyle w:val="InternetLink"/>
            <w:b/>
            <w:sz w:val="20"/>
          </w:rPr>
          <w:t>Table of Contents</w:t>
        </w:r>
      </w:hyperlink>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rFonts w:ascii="Times New Roman" w:hAnsi="Times New Roman"/>
          <w:b/>
          <w:spacing w:val="0"/>
          <w:sz w:val="20"/>
        </w:rPr>
      </w:pPr>
      <w:r>
        <w:rPr>
          <w:rFonts w:ascii="Times New Roman" w:hAnsi="Times New Roman"/>
          <w:b/>
          <w:spacing w:val="0"/>
          <w:sz w:val="20"/>
        </w:rPr>
        <w:t xml:space="preserve">SIGNATURES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120" w:after="0"/>
        <w:jc w:val="left"/>
        <w:rPr>
          <w:rFonts w:ascii="Times New Roman" w:hAnsi="Times New Roman"/>
          <w:spacing w:val="0"/>
          <w:sz w:val="20"/>
        </w:rPr>
      </w:pPr>
      <w:r>
        <w:rPr>
          <w:rFonts w:ascii="Times New Roman" w:hAnsi="Times New Roman"/>
          <w:spacing w:val="0"/>
          <w:sz w:val="20"/>
        </w:rPr>
        <w:t xml:space="preserve">Pursuant to the requirements of Section 13 or 15(d) of the Securities Exchange Act of 1934, the registrant has duly caused this report to be signed on its behalf by the undersigned, thereunto duly authorized. </w:t>
      </w:r>
    </w:p>
    <w:p>
      <w:pPr>
        <w:pStyle w:val="TextBody"/>
        <w:spacing w:before="0" w:after="0"/>
        <w:jc w:val="left"/>
        <w:rPr>
          <w:spacing w:val="0"/>
        </w:rPr>
      </w:pPr>
      <w:r>
        <w:rPr>
          <w:spacing w:val="0"/>
        </w:rPr>
        <w:t> </w:t>
      </w:r>
    </w:p>
    <w:tbl>
      <w:tblPr>
        <w:tblW w:w="6166" w:type="dxa"/>
        <w:jc w:val="left"/>
        <w:tblInd w:w="0" w:type="dxa"/>
        <w:tblCellMar>
          <w:top w:w="0" w:type="dxa"/>
          <w:left w:w="0" w:type="dxa"/>
          <w:bottom w:w="0" w:type="dxa"/>
          <w:right w:w="0" w:type="dxa"/>
        </w:tblCellMar>
      </w:tblPr>
      <w:tblGrid>
        <w:gridCol w:w="2120"/>
        <w:gridCol w:w="60"/>
        <w:gridCol w:w="23"/>
        <w:gridCol w:w="60"/>
        <w:gridCol w:w="537"/>
        <w:gridCol w:w="88"/>
        <w:gridCol w:w="3278"/>
      </w:tblGrid>
      <w:tr>
        <w:trPr/>
        <w:tc>
          <w:tcPr>
            <w:tcW w:w="2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537" w:type="dxa"/>
            <w:tcBorders/>
            <w:shd w:fill="auto" w:val="clear"/>
            <w:vAlign w:val="center"/>
          </w:tcPr>
          <w:p>
            <w:pPr>
              <w:pStyle w:val="TableContents"/>
              <w:spacing w:before="0" w:after="283"/>
              <w:rPr>
                <w:sz w:val="4"/>
                <w:szCs w:val="4"/>
              </w:rPr>
            </w:pPr>
            <w:r>
              <w:rPr>
                <w:sz w:val="4"/>
                <w:szCs w:val="4"/>
              </w:rPr>
            </w:r>
          </w:p>
        </w:tc>
        <w:tc>
          <w:tcPr>
            <w:tcW w:w="88" w:type="dxa"/>
            <w:tcBorders/>
            <w:shd w:fill="auto" w:val="clear"/>
            <w:vAlign w:val="center"/>
          </w:tcPr>
          <w:p>
            <w:pPr>
              <w:pStyle w:val="TableContents"/>
              <w:spacing w:before="0" w:after="283"/>
              <w:rPr>
                <w:sz w:val="4"/>
                <w:szCs w:val="4"/>
              </w:rPr>
            </w:pPr>
            <w:r>
              <w:rPr>
                <w:sz w:val="4"/>
                <w:szCs w:val="4"/>
              </w:rPr>
            </w:r>
          </w:p>
        </w:tc>
        <w:tc>
          <w:tcPr>
            <w:tcW w:w="3278" w:type="dxa"/>
            <w:tcBorders/>
            <w:shd w:fill="auto" w:val="clear"/>
            <w:vAlign w:val="center"/>
          </w:tcPr>
          <w:p>
            <w:pPr>
              <w:pStyle w:val="TableContents"/>
              <w:spacing w:before="0" w:after="283"/>
              <w:rPr>
                <w:sz w:val="4"/>
                <w:szCs w:val="4"/>
              </w:rPr>
            </w:pPr>
            <w:r>
              <w:rPr>
                <w:sz w:val="4"/>
                <w:szCs w:val="4"/>
              </w:rPr>
            </w:r>
          </w:p>
        </w:tc>
      </w:tr>
      <w:tr>
        <w:trPr/>
        <w:tc>
          <w:tcPr>
            <w:tcW w:w="2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3903" w:type="dxa"/>
            <w:gridSpan w:val="3"/>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DAVE &amp; BUSTER’S ENTERTAINMENT, INC.,</w:t>
            </w:r>
          </w:p>
          <w:p>
            <w:pPr>
              <w:pStyle w:val="TableContents"/>
              <w:spacing w:before="0" w:after="20"/>
              <w:rPr>
                <w:rFonts w:ascii="Times New Roman" w:hAnsi="Times New Roman"/>
                <w:spacing w:val="0"/>
                <w:sz w:val="20"/>
              </w:rPr>
            </w:pPr>
            <w:r>
              <w:rPr>
                <w:rFonts w:ascii="Times New Roman" w:hAnsi="Times New Roman"/>
                <w:spacing w:val="0"/>
                <w:sz w:val="20"/>
              </w:rPr>
              <w:t>a Delaware Corporation</w:t>
            </w:r>
          </w:p>
        </w:tc>
      </w:tr>
      <w:tr>
        <w:trPr/>
        <w:tc>
          <w:tcPr>
            <w:tcW w:w="2120" w:type="dxa"/>
            <w:tcBorders/>
            <w:shd w:fill="auto" w:val="clear"/>
            <w:vAlign w:val="center"/>
          </w:tcPr>
          <w:p>
            <w:pPr>
              <w:pStyle w:val="TableContents"/>
              <w:spacing w:before="0" w:after="283"/>
              <w:rPr>
                <w:sz w:val="4"/>
                <w:szCs w:val="4"/>
              </w:rPr>
            </w:pPr>
            <w:r>
              <w:rPr>
                <w:sz w:val="4"/>
                <w:szCs w:val="4"/>
              </w:rPr>
            </w:r>
          </w:p>
        </w:tc>
        <w:tc>
          <w:tcPr>
            <w:tcW w:w="83" w:type="dxa"/>
            <w:gridSpan w:val="2"/>
            <w:tcBorders/>
            <w:shd w:fill="auto" w:val="clear"/>
            <w:vAlign w:val="center"/>
          </w:tcPr>
          <w:p>
            <w:pPr>
              <w:pStyle w:val="TableContents"/>
              <w:spacing w:before="0" w:after="283"/>
              <w:rPr>
                <w:sz w:val="4"/>
                <w:szCs w:val="4"/>
              </w:rPr>
            </w:pPr>
            <w:r>
              <w:rPr>
                <w:sz w:val="4"/>
                <w:szCs w:val="4"/>
              </w:rPr>
            </w:r>
          </w:p>
        </w:tc>
        <w:tc>
          <w:tcPr>
            <w:tcW w:w="597" w:type="dxa"/>
            <w:gridSpan w:val="2"/>
            <w:tcBorders/>
            <w:shd w:fill="auto" w:val="clear"/>
            <w:vAlign w:val="center"/>
          </w:tcPr>
          <w:p>
            <w:pPr>
              <w:pStyle w:val="TableContents"/>
              <w:spacing w:before="0" w:after="283"/>
              <w:rPr>
                <w:sz w:val="4"/>
                <w:szCs w:val="4"/>
              </w:rPr>
            </w:pPr>
            <w:r>
              <w:rPr>
                <w:sz w:val="4"/>
                <w:szCs w:val="4"/>
              </w:rPr>
            </w:r>
          </w:p>
        </w:tc>
        <w:tc>
          <w:tcPr>
            <w:tcW w:w="3366" w:type="dxa"/>
            <w:gridSpan w:val="2"/>
            <w:tcBorders/>
            <w:shd w:fill="auto" w:val="clear"/>
            <w:vAlign w:val="center"/>
          </w:tcPr>
          <w:p>
            <w:pPr>
              <w:pStyle w:val="TableContents"/>
              <w:spacing w:before="0" w:after="283"/>
              <w:rPr>
                <w:sz w:val="4"/>
                <w:szCs w:val="4"/>
              </w:rPr>
            </w:pPr>
            <w:r>
              <w:rPr>
                <w:sz w:val="4"/>
                <w:szCs w:val="4"/>
              </w:rPr>
            </w:r>
          </w:p>
        </w:tc>
      </w:tr>
      <w:tr>
        <w:trPr/>
        <w:tc>
          <w:tcPr>
            <w:tcW w:w="2120" w:type="dxa"/>
            <w:tcBorders/>
            <w:shd w:fill="auto" w:val="clear"/>
            <w:vAlign w:val="center"/>
          </w:tcPr>
          <w:p>
            <w:pPr>
              <w:pStyle w:val="TableContents"/>
              <w:spacing w:before="0" w:after="283"/>
              <w:rPr/>
            </w:pPr>
            <w:r>
              <w:rPr/>
              <w:t>Date: March 31, 2021</w:t>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537" w:type="dxa"/>
            <w:tcBorders/>
            <w:shd w:fill="auto" w:val="clear"/>
            <w:vAlign w:val="center"/>
          </w:tcPr>
          <w:p>
            <w:pPr>
              <w:pStyle w:val="TableContents"/>
              <w:spacing w:before="0" w:after="283"/>
              <w:rPr/>
            </w:pPr>
            <w:r>
              <w:rPr/>
              <w:t>By:</w:t>
            </w:r>
          </w:p>
        </w:tc>
        <w:tc>
          <w:tcPr>
            <w:tcW w:w="88" w:type="dxa"/>
            <w:tcBorders/>
            <w:shd w:fill="auto" w:val="clear"/>
            <w:vAlign w:val="center"/>
          </w:tcPr>
          <w:p>
            <w:pPr>
              <w:pStyle w:val="TableContents"/>
              <w:spacing w:before="0" w:after="283"/>
              <w:rPr/>
            </w:pPr>
            <w:r>
              <w:rPr/>
              <w:t> </w:t>
            </w:r>
          </w:p>
        </w:tc>
        <w:tc>
          <w:tcPr>
            <w:tcW w:w="3278" w:type="dxa"/>
            <w:tcBorders/>
            <w:shd w:fill="auto" w:val="clear"/>
            <w:vAlign w:val="center"/>
          </w:tcPr>
          <w:p>
            <w:pPr>
              <w:pStyle w:val="TableContents"/>
              <w:spacing w:before="0" w:after="283"/>
              <w:rPr/>
            </w:pPr>
            <w:r>
              <w:rPr/>
              <w:t>/s/ Scott J. Bowman</w:t>
            </w:r>
          </w:p>
        </w:tc>
      </w:tr>
      <w:tr>
        <w:trPr/>
        <w:tc>
          <w:tcPr>
            <w:tcW w:w="2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537" w:type="dxa"/>
            <w:tcBorders/>
            <w:shd w:fill="auto" w:val="clear"/>
            <w:vAlign w:val="center"/>
          </w:tcPr>
          <w:p>
            <w:pPr>
              <w:pStyle w:val="TableContents"/>
              <w:spacing w:before="0" w:after="283"/>
              <w:rPr>
                <w:sz w:val="4"/>
                <w:szCs w:val="4"/>
              </w:rPr>
            </w:pPr>
            <w:r>
              <w:rPr>
                <w:sz w:val="4"/>
                <w:szCs w:val="4"/>
              </w:rPr>
            </w:r>
          </w:p>
        </w:tc>
        <w:tc>
          <w:tcPr>
            <w:tcW w:w="88" w:type="dxa"/>
            <w:tcBorders/>
            <w:shd w:fill="auto" w:val="clear"/>
            <w:vAlign w:val="center"/>
          </w:tcPr>
          <w:p>
            <w:pPr>
              <w:pStyle w:val="TableContents"/>
              <w:spacing w:before="0" w:after="283"/>
              <w:rPr/>
            </w:pPr>
            <w:r>
              <w:rPr/>
              <w:t> </w:t>
            </w:r>
          </w:p>
        </w:tc>
        <w:tc>
          <w:tcPr>
            <w:tcW w:w="3278" w:type="dxa"/>
            <w:tcBorders/>
            <w:shd w:fill="auto" w:val="clear"/>
            <w:vAlign w:val="center"/>
          </w:tcPr>
          <w:p>
            <w:pPr>
              <w:pStyle w:val="TableContents"/>
              <w:spacing w:before="0" w:after="283"/>
              <w:rPr/>
            </w:pPr>
            <w:r>
              <w:rPr/>
              <w:t>Scott J. Bowman</w:t>
            </w:r>
          </w:p>
        </w:tc>
      </w:tr>
      <w:tr>
        <w:trPr/>
        <w:tc>
          <w:tcPr>
            <w:tcW w:w="2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537" w:type="dxa"/>
            <w:tcBorders/>
            <w:shd w:fill="auto" w:val="clear"/>
            <w:vAlign w:val="center"/>
          </w:tcPr>
          <w:p>
            <w:pPr>
              <w:pStyle w:val="TableContents"/>
              <w:spacing w:before="0" w:after="283"/>
              <w:rPr>
                <w:sz w:val="4"/>
                <w:szCs w:val="4"/>
              </w:rPr>
            </w:pPr>
            <w:r>
              <w:rPr>
                <w:sz w:val="4"/>
                <w:szCs w:val="4"/>
              </w:rPr>
            </w:r>
          </w:p>
        </w:tc>
        <w:tc>
          <w:tcPr>
            <w:tcW w:w="88" w:type="dxa"/>
            <w:tcBorders/>
            <w:shd w:fill="auto" w:val="clear"/>
            <w:vAlign w:val="center"/>
          </w:tcPr>
          <w:p>
            <w:pPr>
              <w:pStyle w:val="TableContents"/>
              <w:spacing w:before="0" w:after="283"/>
              <w:rPr/>
            </w:pPr>
            <w:r>
              <w:rPr/>
              <w:t> </w:t>
            </w:r>
          </w:p>
        </w:tc>
        <w:tc>
          <w:tcPr>
            <w:tcW w:w="3278" w:type="dxa"/>
            <w:tcBorders/>
            <w:shd w:fill="auto" w:val="clear"/>
            <w:vAlign w:val="center"/>
          </w:tcPr>
          <w:p>
            <w:pPr>
              <w:pStyle w:val="TableContents"/>
              <w:spacing w:before="0" w:after="283"/>
              <w:rPr/>
            </w:pPr>
            <w:r>
              <w:rPr/>
              <w:t>Chief Financial Officer</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480" w:after="0"/>
        <w:jc w:val="center"/>
        <w:rPr>
          <w:rFonts w:ascii="Times New Roman" w:hAnsi="Times New Roman"/>
          <w:b/>
          <w:spacing w:val="0"/>
          <w:sz w:val="20"/>
        </w:rPr>
      </w:pPr>
      <w:r>
        <w:rPr>
          <w:rFonts w:ascii="Times New Roman" w:hAnsi="Times New Roman"/>
          <w:b/>
          <w:spacing w:val="0"/>
          <w:sz w:val="20"/>
        </w:rPr>
        <w:t xml:space="preserve">POWER OF ATTORNEY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40" w:after="0"/>
        <w:jc w:val="left"/>
        <w:rPr>
          <w:rFonts w:ascii="Times New Roman" w:hAnsi="Times New Roman"/>
          <w:sz w:val="20"/>
        </w:rPr>
      </w:pPr>
      <w:r>
        <w:rPr>
          <w:rFonts w:ascii="Times New Roman" w:hAnsi="Times New Roman"/>
          <w:sz w:val="20"/>
        </w:rPr>
        <w:t xml:space="preserve">KNOW ALL MEN BY THESE PRESENTS, that each of the undersigned constitutes and appoints each of Brian A. Jenkins and Rob W. Edmund, or either of them, each acting alone, his/her true and lawful </w:t>
      </w:r>
    </w:p>
    <w:p>
      <w:pPr>
        <w:pStyle w:val="TextBody"/>
        <w:spacing w:before="240" w:after="0"/>
        <w:jc w:val="left"/>
        <w:rPr>
          <w:rFonts w:ascii="Times New Roman" w:hAnsi="Times New Roman"/>
          <w:spacing w:val="0"/>
          <w:sz w:val="20"/>
        </w:rPr>
      </w:pPr>
      <w:r>
        <w:rPr>
          <w:rFonts w:ascii="Times New Roman" w:hAnsi="Times New Roman"/>
          <w:spacing w:val="0"/>
          <w:sz w:val="20"/>
        </w:rPr>
        <w:t>attorney-in-fact</w:t>
      </w:r>
    </w:p>
    <w:p>
      <w:pPr>
        <w:pStyle w:val="TextBody"/>
        <w:spacing w:before="240" w:after="0"/>
        <w:jc w:val="left"/>
        <w:rPr>
          <w:rFonts w:ascii="Times New Roman" w:hAnsi="Times New Roman"/>
          <w:sz w:val="20"/>
        </w:rPr>
      </w:pPr>
      <w:r>
        <w:rPr>
          <w:rFonts w:ascii="Times New Roman" w:hAnsi="Times New Roman"/>
          <w:sz w:val="20"/>
        </w:rPr>
        <w:t xml:space="preserve">and agent, with full power of substitution and </w:t>
      </w:r>
    </w:p>
    <w:p>
      <w:pPr>
        <w:pStyle w:val="TextBody"/>
        <w:spacing w:before="240" w:after="0"/>
        <w:jc w:val="left"/>
        <w:rPr>
          <w:rFonts w:ascii="Times New Roman" w:hAnsi="Times New Roman"/>
          <w:spacing w:val="0"/>
          <w:sz w:val="20"/>
        </w:rPr>
      </w:pPr>
      <w:r>
        <w:rPr>
          <w:rFonts w:ascii="Times New Roman" w:hAnsi="Times New Roman"/>
          <w:spacing w:val="0"/>
          <w:sz w:val="20"/>
        </w:rPr>
        <w:t>re-substitution,</w:t>
      </w:r>
    </w:p>
    <w:p>
      <w:pPr>
        <w:pStyle w:val="TextBody"/>
        <w:spacing w:before="240" w:after="0"/>
        <w:jc w:val="left"/>
        <w:rPr>
          <w:rFonts w:ascii="Times New Roman" w:hAnsi="Times New Roman"/>
          <w:sz w:val="20"/>
        </w:rPr>
      </w:pPr>
      <w:r>
        <w:rPr>
          <w:rFonts w:ascii="Times New Roman" w:hAnsi="Times New Roman"/>
          <w:sz w:val="20"/>
        </w:rPr>
        <w:t xml:space="preserve">for such person and in his/her name, place and stead, in any and all capacities, to sign any and all amendments to this Report, and to file the same, with all exhibits thereto, and other documents in connection therewith, with the Securities and Exchange Commission, granting unto said </w:t>
      </w:r>
    </w:p>
    <w:p>
      <w:pPr>
        <w:pStyle w:val="TextBody"/>
        <w:spacing w:before="240" w:after="0"/>
        <w:jc w:val="left"/>
        <w:rPr>
          <w:rFonts w:ascii="Times New Roman" w:hAnsi="Times New Roman"/>
          <w:spacing w:val="0"/>
          <w:sz w:val="20"/>
        </w:rPr>
      </w:pPr>
      <w:r>
        <w:rPr>
          <w:rFonts w:ascii="Times New Roman" w:hAnsi="Times New Roman"/>
          <w:spacing w:val="0"/>
          <w:sz w:val="20"/>
        </w:rPr>
        <w:t>attorneys-in-fact</w:t>
      </w:r>
    </w:p>
    <w:p>
      <w:pPr>
        <w:pStyle w:val="TextBody"/>
        <w:spacing w:before="240" w:after="0"/>
        <w:jc w:val="left"/>
        <w:rPr>
          <w:rFonts w:ascii="Times New Roman" w:hAnsi="Times New Roman"/>
          <w:sz w:val="20"/>
        </w:rPr>
      </w:pPr>
      <w:r>
        <w:rPr>
          <w:rFonts w:ascii="Times New Roman" w:hAnsi="Times New Roman"/>
          <w:sz w:val="20"/>
        </w:rPr>
        <w:t xml:space="preserve">and agents, each acting alone, full power and authority to do and perform each and every act and thing requisite and necessary to be done in and about the premises, as fully to all intents and purposes as he/she might or could do in person, hereby ratifying and confirming that any such </w:t>
      </w:r>
    </w:p>
    <w:p>
      <w:pPr>
        <w:pStyle w:val="TextBody"/>
        <w:spacing w:before="240" w:after="0"/>
        <w:jc w:val="left"/>
        <w:rPr>
          <w:rFonts w:ascii="Times New Roman" w:hAnsi="Times New Roman"/>
          <w:spacing w:val="0"/>
          <w:sz w:val="20"/>
        </w:rPr>
      </w:pPr>
      <w:r>
        <w:rPr>
          <w:rFonts w:ascii="Times New Roman" w:hAnsi="Times New Roman"/>
          <w:spacing w:val="0"/>
          <w:sz w:val="20"/>
        </w:rPr>
        <w:t>attorney-in-fact</w:t>
      </w:r>
    </w:p>
    <w:p>
      <w:pPr>
        <w:pStyle w:val="TextBody"/>
        <w:spacing w:before="240" w:after="0"/>
        <w:jc w:val="left"/>
        <w:rPr>
          <w:rFonts w:ascii="Times New Roman" w:hAnsi="Times New Roman"/>
          <w:sz w:val="20"/>
        </w:rPr>
      </w:pPr>
      <w:r>
        <w:rPr>
          <w:rFonts w:ascii="Times New Roman" w:hAnsi="Times New Roman"/>
          <w:sz w:val="20"/>
        </w:rPr>
        <w:t xml:space="preserve">and agent, or his/her substitute or substitutes, may lawfully do or cause to be done by virtue hereof.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Pursuant to the requirements of the Securities Exchange Act of 1934, we have signed in our indicated capacities on March 31, 2021. </w:t>
      </w:r>
    </w:p>
    <w:p>
      <w:pPr>
        <w:pStyle w:val="TextBody"/>
        <w:spacing w:before="0" w:after="0"/>
        <w:jc w:val="left"/>
        <w:rPr>
          <w:spacing w:val="0"/>
        </w:rPr>
      </w:pPr>
      <w:r>
        <w:rPr>
          <w:spacing w:val="0"/>
        </w:rPr>
        <w:t> </w:t>
      </w:r>
    </w:p>
    <w:tbl>
      <w:tblPr>
        <w:tblW w:w="6825" w:type="dxa"/>
        <w:jc w:val="left"/>
        <w:tblInd w:w="0" w:type="dxa"/>
        <w:tblCellMar>
          <w:top w:w="0" w:type="dxa"/>
          <w:left w:w="0" w:type="dxa"/>
          <w:bottom w:w="0" w:type="dxa"/>
          <w:right w:w="0" w:type="dxa"/>
        </w:tblCellMar>
      </w:tblPr>
      <w:tblGrid>
        <w:gridCol w:w="380"/>
        <w:gridCol w:w="60"/>
        <w:gridCol w:w="2060"/>
        <w:gridCol w:w="60"/>
        <w:gridCol w:w="4265"/>
      </w:tblGrid>
      <w:tr>
        <w:trPr/>
        <w:tc>
          <w:tcPr>
            <w:tcW w:w="3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0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265" w:type="dxa"/>
            <w:tcBorders/>
            <w:shd w:fill="auto" w:val="clear"/>
            <w:vAlign w:val="center"/>
          </w:tcPr>
          <w:p>
            <w:pPr>
              <w:pStyle w:val="TableContents"/>
              <w:spacing w:before="0" w:after="283"/>
              <w:rPr>
                <w:sz w:val="4"/>
                <w:szCs w:val="4"/>
              </w:rPr>
            </w:pPr>
            <w:r>
              <w:rPr>
                <w:sz w:val="4"/>
                <w:szCs w:val="4"/>
              </w:rPr>
            </w:r>
          </w:p>
        </w:tc>
      </w:tr>
      <w:tr>
        <w:trPr/>
        <w:tc>
          <w:tcPr>
            <w:tcW w:w="380" w:type="dxa"/>
            <w:tcBorders/>
            <w:shd w:fill="auto" w:val="clear"/>
            <w:vAlign w:val="center"/>
          </w:tcPr>
          <w:p>
            <w:pPr>
              <w:pStyle w:val="TableContents"/>
              <w:spacing w:before="0" w:after="283"/>
              <w:rPr/>
            </w:pPr>
            <w:r>
              <w:rPr/>
              <w:t>By:</w:t>
            </w:r>
          </w:p>
        </w:tc>
        <w:tc>
          <w:tcPr>
            <w:tcW w:w="60" w:type="dxa"/>
            <w:tcBorders/>
            <w:shd w:fill="auto" w:val="clear"/>
            <w:vAlign w:val="center"/>
          </w:tcPr>
          <w:p>
            <w:pPr>
              <w:pStyle w:val="TableContents"/>
              <w:spacing w:before="0" w:after="283"/>
              <w:rPr/>
            </w:pPr>
            <w:r>
              <w:rPr/>
              <w:t> </w:t>
            </w:r>
          </w:p>
        </w:tc>
        <w:tc>
          <w:tcPr>
            <w:tcW w:w="2060" w:type="dxa"/>
            <w:tcBorders/>
            <w:shd w:fill="auto" w:val="clear"/>
            <w:vAlign w:val="center"/>
          </w:tcPr>
          <w:p>
            <w:pPr>
              <w:pStyle w:val="TableContents"/>
              <w:spacing w:before="0" w:after="20"/>
              <w:rPr>
                <w:rFonts w:ascii="Times New Roman" w:hAnsi="Times New Roman"/>
                <w:spacing w:val="0"/>
                <w:sz w:val="20"/>
                <w:bdr w:val="single" w:sz="2" w:space="1" w:color="000000"/>
              </w:rPr>
            </w:pPr>
            <w:r>
              <w:rPr>
                <w:rFonts w:ascii="Times New Roman" w:hAnsi="Times New Roman"/>
                <w:spacing w:val="0"/>
                <w:sz w:val="20"/>
                <w:bdr w:val="single" w:sz="2" w:space="1" w:color="000000"/>
              </w:rPr>
              <w:t>/s/ Brian A. Jenkins</w:t>
            </w:r>
          </w:p>
        </w:tc>
        <w:tc>
          <w:tcPr>
            <w:tcW w:w="60" w:type="dxa"/>
            <w:tcBorders/>
            <w:shd w:fill="auto" w:val="clear"/>
            <w:vAlign w:val="center"/>
          </w:tcPr>
          <w:p>
            <w:pPr>
              <w:pStyle w:val="TableContents"/>
              <w:spacing w:before="0" w:after="283"/>
              <w:rPr/>
            </w:pPr>
            <w:r>
              <w:rPr/>
              <w:t> </w:t>
            </w:r>
          </w:p>
        </w:tc>
        <w:tc>
          <w:tcPr>
            <w:tcW w:w="4265" w:type="dxa"/>
            <w:tcBorders/>
            <w:shd w:fill="auto" w:val="clear"/>
            <w:vAlign w:val="center"/>
          </w:tcPr>
          <w:p>
            <w:pPr>
              <w:pStyle w:val="TableContents"/>
              <w:spacing w:before="0" w:after="283"/>
              <w:rPr/>
            </w:pPr>
            <w:r>
              <w:rPr/>
              <w:t>Chief Executive Officer and Director</w:t>
            </w:r>
          </w:p>
        </w:tc>
      </w:tr>
      <w:tr>
        <w:trPr/>
        <w:tc>
          <w:tcPr>
            <w:tcW w:w="3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060" w:type="dxa"/>
            <w:tcBorders/>
            <w:shd w:fill="auto" w:val="clear"/>
            <w:vAlign w:val="center"/>
          </w:tcPr>
          <w:p>
            <w:pPr>
              <w:pStyle w:val="TableContents"/>
              <w:spacing w:before="0" w:after="283"/>
              <w:rPr/>
            </w:pPr>
            <w:r>
              <w:rPr/>
              <w:t>Brian A. Jenkins</w:t>
            </w:r>
          </w:p>
        </w:tc>
        <w:tc>
          <w:tcPr>
            <w:tcW w:w="60" w:type="dxa"/>
            <w:tcBorders/>
            <w:shd w:fill="auto" w:val="clear"/>
            <w:vAlign w:val="center"/>
          </w:tcPr>
          <w:p>
            <w:pPr>
              <w:pStyle w:val="TableContents"/>
              <w:spacing w:before="0" w:after="283"/>
              <w:rPr/>
            </w:pPr>
            <w:r>
              <w:rPr/>
              <w:t> </w:t>
            </w:r>
          </w:p>
        </w:tc>
        <w:tc>
          <w:tcPr>
            <w:tcW w:w="4265" w:type="dxa"/>
            <w:tcBorders/>
            <w:shd w:fill="auto" w:val="clear"/>
            <w:vAlign w:val="center"/>
          </w:tcPr>
          <w:p>
            <w:pPr>
              <w:pStyle w:val="TableContents"/>
              <w:spacing w:before="0" w:after="283"/>
              <w:rPr/>
            </w:pPr>
            <w:r>
              <w:rPr/>
              <w:t>(Principal Executive Officer)</w:t>
            </w:r>
          </w:p>
        </w:tc>
      </w:tr>
      <w:tr>
        <w:trPr/>
        <w:tc>
          <w:tcPr>
            <w:tcW w:w="380" w:type="dxa"/>
            <w:tcBorders/>
            <w:shd w:fill="auto" w:val="clear"/>
            <w:vAlign w:val="center"/>
          </w:tcPr>
          <w:p>
            <w:pPr>
              <w:pStyle w:val="TableContents"/>
              <w:spacing w:before="0" w:after="283"/>
              <w:rPr>
                <w:sz w:val="4"/>
                <w:szCs w:val="4"/>
              </w:rPr>
            </w:pPr>
            <w:r>
              <w:rPr>
                <w:sz w:val="4"/>
                <w:szCs w:val="4"/>
              </w:rPr>
            </w:r>
          </w:p>
        </w:tc>
        <w:tc>
          <w:tcPr>
            <w:tcW w:w="2120" w:type="dxa"/>
            <w:gridSpan w:val="2"/>
            <w:tcBorders/>
            <w:shd w:fill="auto" w:val="clear"/>
            <w:vAlign w:val="center"/>
          </w:tcPr>
          <w:p>
            <w:pPr>
              <w:pStyle w:val="TableContents"/>
              <w:spacing w:before="0" w:after="283"/>
              <w:rPr>
                <w:sz w:val="4"/>
                <w:szCs w:val="4"/>
              </w:rPr>
            </w:pPr>
            <w:r>
              <w:rPr>
                <w:sz w:val="4"/>
                <w:szCs w:val="4"/>
              </w:rPr>
            </w:r>
          </w:p>
        </w:tc>
        <w:tc>
          <w:tcPr>
            <w:tcW w:w="4325" w:type="dxa"/>
            <w:gridSpan w:val="2"/>
            <w:tcBorders/>
            <w:shd w:fill="auto" w:val="clear"/>
            <w:vAlign w:val="center"/>
          </w:tcPr>
          <w:p>
            <w:pPr>
              <w:pStyle w:val="TableContents"/>
              <w:spacing w:before="0" w:after="283"/>
              <w:rPr>
                <w:sz w:val="4"/>
                <w:szCs w:val="4"/>
              </w:rPr>
            </w:pPr>
            <w:r>
              <w:rPr>
                <w:sz w:val="4"/>
                <w:szCs w:val="4"/>
              </w:rPr>
            </w:r>
          </w:p>
        </w:tc>
      </w:tr>
      <w:tr>
        <w:trPr/>
        <w:tc>
          <w:tcPr>
            <w:tcW w:w="380" w:type="dxa"/>
            <w:tcBorders/>
            <w:shd w:fill="auto" w:val="clear"/>
            <w:vAlign w:val="center"/>
          </w:tcPr>
          <w:p>
            <w:pPr>
              <w:pStyle w:val="TableContents"/>
              <w:spacing w:before="0" w:after="283"/>
              <w:rPr/>
            </w:pPr>
            <w:r>
              <w:rPr/>
              <w:t>By:</w:t>
            </w:r>
          </w:p>
        </w:tc>
        <w:tc>
          <w:tcPr>
            <w:tcW w:w="60" w:type="dxa"/>
            <w:tcBorders/>
            <w:shd w:fill="auto" w:val="clear"/>
            <w:vAlign w:val="center"/>
          </w:tcPr>
          <w:p>
            <w:pPr>
              <w:pStyle w:val="TableContents"/>
              <w:spacing w:before="0" w:after="283"/>
              <w:rPr/>
            </w:pPr>
            <w:r>
              <w:rPr/>
              <w:t> </w:t>
            </w:r>
          </w:p>
        </w:tc>
        <w:tc>
          <w:tcPr>
            <w:tcW w:w="2060" w:type="dxa"/>
            <w:tcBorders/>
            <w:shd w:fill="auto" w:val="clear"/>
            <w:vAlign w:val="center"/>
          </w:tcPr>
          <w:p>
            <w:pPr>
              <w:pStyle w:val="TableContents"/>
              <w:spacing w:before="0" w:after="20"/>
              <w:rPr>
                <w:rFonts w:ascii="Times New Roman" w:hAnsi="Times New Roman"/>
                <w:spacing w:val="0"/>
                <w:sz w:val="20"/>
                <w:bdr w:val="single" w:sz="2" w:space="1" w:color="000000"/>
              </w:rPr>
            </w:pPr>
            <w:r>
              <w:rPr>
                <w:rFonts w:ascii="Times New Roman" w:hAnsi="Times New Roman"/>
                <w:spacing w:val="0"/>
                <w:sz w:val="20"/>
                <w:bdr w:val="single" w:sz="2" w:space="1" w:color="000000"/>
              </w:rPr>
              <w:t>/s/ Scott J. Bowman</w:t>
            </w:r>
          </w:p>
        </w:tc>
        <w:tc>
          <w:tcPr>
            <w:tcW w:w="60" w:type="dxa"/>
            <w:tcBorders/>
            <w:shd w:fill="auto" w:val="clear"/>
            <w:vAlign w:val="center"/>
          </w:tcPr>
          <w:p>
            <w:pPr>
              <w:pStyle w:val="TableContents"/>
              <w:spacing w:before="0" w:after="283"/>
              <w:rPr/>
            </w:pPr>
            <w:r>
              <w:rPr/>
              <w:t> </w:t>
            </w:r>
          </w:p>
        </w:tc>
        <w:tc>
          <w:tcPr>
            <w:tcW w:w="4265" w:type="dxa"/>
            <w:tcBorders/>
            <w:shd w:fill="auto" w:val="clear"/>
            <w:vAlign w:val="center"/>
          </w:tcPr>
          <w:p>
            <w:pPr>
              <w:pStyle w:val="TableContents"/>
              <w:spacing w:before="0" w:after="283"/>
              <w:rPr/>
            </w:pPr>
            <w:r>
              <w:rPr/>
              <w:t>Chief Financial Officer</w:t>
            </w:r>
          </w:p>
        </w:tc>
      </w:tr>
      <w:tr>
        <w:trPr/>
        <w:tc>
          <w:tcPr>
            <w:tcW w:w="3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060" w:type="dxa"/>
            <w:tcBorders/>
            <w:shd w:fill="auto" w:val="clear"/>
            <w:vAlign w:val="center"/>
          </w:tcPr>
          <w:p>
            <w:pPr>
              <w:pStyle w:val="TableContents"/>
              <w:spacing w:before="0" w:after="283"/>
              <w:rPr/>
            </w:pPr>
            <w:r>
              <w:rPr/>
              <w:t>Scott J. Bowman</w:t>
            </w:r>
          </w:p>
        </w:tc>
        <w:tc>
          <w:tcPr>
            <w:tcW w:w="60" w:type="dxa"/>
            <w:tcBorders/>
            <w:shd w:fill="auto" w:val="clear"/>
            <w:vAlign w:val="center"/>
          </w:tcPr>
          <w:p>
            <w:pPr>
              <w:pStyle w:val="TableContents"/>
              <w:spacing w:before="0" w:after="283"/>
              <w:rPr/>
            </w:pPr>
            <w:r>
              <w:rPr/>
              <w:t> </w:t>
            </w:r>
          </w:p>
        </w:tc>
        <w:tc>
          <w:tcPr>
            <w:tcW w:w="4265" w:type="dxa"/>
            <w:tcBorders/>
            <w:shd w:fill="auto" w:val="clear"/>
            <w:vAlign w:val="center"/>
          </w:tcPr>
          <w:p>
            <w:pPr>
              <w:pStyle w:val="TableContents"/>
              <w:spacing w:before="0" w:after="283"/>
              <w:rPr/>
            </w:pPr>
            <w:r>
              <w:rPr/>
              <w:t>(Principal Financial and Accounting Officer)</w:t>
            </w:r>
          </w:p>
        </w:tc>
      </w:tr>
      <w:tr>
        <w:trPr/>
        <w:tc>
          <w:tcPr>
            <w:tcW w:w="380" w:type="dxa"/>
            <w:tcBorders/>
            <w:shd w:fill="auto" w:val="clear"/>
            <w:vAlign w:val="center"/>
          </w:tcPr>
          <w:p>
            <w:pPr>
              <w:pStyle w:val="TableContents"/>
              <w:spacing w:before="0" w:after="283"/>
              <w:rPr>
                <w:sz w:val="4"/>
                <w:szCs w:val="4"/>
              </w:rPr>
            </w:pPr>
            <w:r>
              <w:rPr>
                <w:sz w:val="4"/>
                <w:szCs w:val="4"/>
              </w:rPr>
            </w:r>
          </w:p>
        </w:tc>
        <w:tc>
          <w:tcPr>
            <w:tcW w:w="2120" w:type="dxa"/>
            <w:gridSpan w:val="2"/>
            <w:tcBorders/>
            <w:shd w:fill="auto" w:val="clear"/>
            <w:vAlign w:val="center"/>
          </w:tcPr>
          <w:p>
            <w:pPr>
              <w:pStyle w:val="TableContents"/>
              <w:spacing w:before="0" w:after="283"/>
              <w:rPr>
                <w:sz w:val="4"/>
                <w:szCs w:val="4"/>
              </w:rPr>
            </w:pPr>
            <w:r>
              <w:rPr>
                <w:sz w:val="4"/>
                <w:szCs w:val="4"/>
              </w:rPr>
            </w:r>
          </w:p>
        </w:tc>
        <w:tc>
          <w:tcPr>
            <w:tcW w:w="4325" w:type="dxa"/>
            <w:gridSpan w:val="2"/>
            <w:tcBorders/>
            <w:shd w:fill="auto" w:val="clear"/>
            <w:vAlign w:val="center"/>
          </w:tcPr>
          <w:p>
            <w:pPr>
              <w:pStyle w:val="TableContents"/>
              <w:spacing w:before="0" w:after="283"/>
              <w:rPr>
                <w:sz w:val="4"/>
                <w:szCs w:val="4"/>
              </w:rPr>
            </w:pPr>
            <w:r>
              <w:rPr>
                <w:sz w:val="4"/>
                <w:szCs w:val="4"/>
              </w:rPr>
            </w:r>
          </w:p>
        </w:tc>
      </w:tr>
      <w:tr>
        <w:trPr/>
        <w:tc>
          <w:tcPr>
            <w:tcW w:w="380" w:type="dxa"/>
            <w:tcBorders/>
            <w:shd w:fill="auto" w:val="clear"/>
            <w:vAlign w:val="center"/>
          </w:tcPr>
          <w:p>
            <w:pPr>
              <w:pStyle w:val="TableContents"/>
              <w:spacing w:before="0" w:after="283"/>
              <w:rPr/>
            </w:pPr>
            <w:r>
              <w:rPr/>
              <w:t>By:</w:t>
            </w:r>
          </w:p>
        </w:tc>
        <w:tc>
          <w:tcPr>
            <w:tcW w:w="60" w:type="dxa"/>
            <w:tcBorders/>
            <w:shd w:fill="auto" w:val="clear"/>
            <w:vAlign w:val="center"/>
          </w:tcPr>
          <w:p>
            <w:pPr>
              <w:pStyle w:val="TableContents"/>
              <w:spacing w:before="0" w:after="283"/>
              <w:rPr/>
            </w:pPr>
            <w:r>
              <w:rPr/>
              <w:t> </w:t>
            </w:r>
          </w:p>
        </w:tc>
        <w:tc>
          <w:tcPr>
            <w:tcW w:w="2060" w:type="dxa"/>
            <w:tcBorders/>
            <w:shd w:fill="auto" w:val="clear"/>
            <w:vAlign w:val="center"/>
          </w:tcPr>
          <w:p>
            <w:pPr>
              <w:pStyle w:val="TableContents"/>
              <w:spacing w:before="0" w:after="20"/>
              <w:rPr>
                <w:rFonts w:ascii="Times New Roman" w:hAnsi="Times New Roman"/>
                <w:spacing w:val="0"/>
                <w:sz w:val="20"/>
                <w:bdr w:val="single" w:sz="2" w:space="1" w:color="000000"/>
              </w:rPr>
            </w:pPr>
            <w:r>
              <w:rPr>
                <w:rFonts w:ascii="Times New Roman" w:hAnsi="Times New Roman"/>
                <w:spacing w:val="0"/>
                <w:sz w:val="20"/>
                <w:bdr w:val="single" w:sz="2" w:space="1" w:color="000000"/>
              </w:rPr>
              <w:t>/s/ Stephen M. King</w:t>
            </w:r>
          </w:p>
        </w:tc>
        <w:tc>
          <w:tcPr>
            <w:tcW w:w="60" w:type="dxa"/>
            <w:tcBorders/>
            <w:shd w:fill="auto" w:val="clear"/>
            <w:vAlign w:val="center"/>
          </w:tcPr>
          <w:p>
            <w:pPr>
              <w:pStyle w:val="TableContents"/>
              <w:spacing w:before="0" w:after="283"/>
              <w:rPr/>
            </w:pPr>
            <w:r>
              <w:rPr/>
              <w:t> </w:t>
            </w:r>
          </w:p>
        </w:tc>
        <w:tc>
          <w:tcPr>
            <w:tcW w:w="4265" w:type="dxa"/>
            <w:tcBorders/>
            <w:shd w:fill="auto" w:val="clear"/>
            <w:vAlign w:val="center"/>
          </w:tcPr>
          <w:p>
            <w:pPr>
              <w:pStyle w:val="TableContents"/>
              <w:spacing w:before="0" w:after="283"/>
              <w:rPr/>
            </w:pPr>
            <w:r>
              <w:rPr/>
              <w:t>Chairman of the Board</w:t>
            </w:r>
          </w:p>
        </w:tc>
      </w:tr>
      <w:tr>
        <w:trPr/>
        <w:tc>
          <w:tcPr>
            <w:tcW w:w="3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060" w:type="dxa"/>
            <w:tcBorders/>
            <w:shd w:fill="auto" w:val="clear"/>
            <w:vAlign w:val="center"/>
          </w:tcPr>
          <w:p>
            <w:pPr>
              <w:pStyle w:val="TableContents"/>
              <w:spacing w:before="0" w:after="283"/>
              <w:rPr/>
            </w:pPr>
            <w:r>
              <w:rPr/>
              <w:t>Stephen M. King</w:t>
            </w:r>
          </w:p>
        </w:tc>
        <w:tc>
          <w:tcPr>
            <w:tcW w:w="60" w:type="dxa"/>
            <w:tcBorders/>
            <w:shd w:fill="auto" w:val="clear"/>
            <w:vAlign w:val="center"/>
          </w:tcPr>
          <w:p>
            <w:pPr>
              <w:pStyle w:val="TableContents"/>
              <w:spacing w:before="0" w:after="283"/>
              <w:rPr/>
            </w:pPr>
            <w:r>
              <w:rPr/>
              <w:t> </w:t>
            </w:r>
          </w:p>
        </w:tc>
        <w:tc>
          <w:tcPr>
            <w:tcW w:w="4265" w:type="dxa"/>
            <w:tcBorders/>
            <w:shd w:fill="auto" w:val="clear"/>
            <w:vAlign w:val="center"/>
          </w:tcPr>
          <w:p>
            <w:pPr>
              <w:pStyle w:val="TableContents"/>
              <w:spacing w:before="0" w:after="283"/>
              <w:rPr>
                <w:sz w:val="4"/>
                <w:szCs w:val="4"/>
              </w:rPr>
            </w:pPr>
            <w:r>
              <w:rPr>
                <w:sz w:val="4"/>
                <w:szCs w:val="4"/>
              </w:rPr>
            </w:r>
          </w:p>
        </w:tc>
      </w:tr>
      <w:tr>
        <w:trPr/>
        <w:tc>
          <w:tcPr>
            <w:tcW w:w="380" w:type="dxa"/>
            <w:tcBorders/>
            <w:shd w:fill="auto" w:val="clear"/>
            <w:vAlign w:val="center"/>
          </w:tcPr>
          <w:p>
            <w:pPr>
              <w:pStyle w:val="TableContents"/>
              <w:spacing w:before="0" w:after="283"/>
              <w:rPr>
                <w:sz w:val="4"/>
                <w:szCs w:val="4"/>
              </w:rPr>
            </w:pPr>
            <w:r>
              <w:rPr>
                <w:sz w:val="4"/>
                <w:szCs w:val="4"/>
              </w:rPr>
            </w:r>
          </w:p>
        </w:tc>
        <w:tc>
          <w:tcPr>
            <w:tcW w:w="2120" w:type="dxa"/>
            <w:gridSpan w:val="2"/>
            <w:tcBorders/>
            <w:shd w:fill="auto" w:val="clear"/>
            <w:vAlign w:val="center"/>
          </w:tcPr>
          <w:p>
            <w:pPr>
              <w:pStyle w:val="TableContents"/>
              <w:spacing w:before="0" w:after="283"/>
              <w:rPr>
                <w:sz w:val="4"/>
                <w:szCs w:val="4"/>
              </w:rPr>
            </w:pPr>
            <w:r>
              <w:rPr>
                <w:sz w:val="4"/>
                <w:szCs w:val="4"/>
              </w:rPr>
            </w:r>
          </w:p>
        </w:tc>
        <w:tc>
          <w:tcPr>
            <w:tcW w:w="4325" w:type="dxa"/>
            <w:gridSpan w:val="2"/>
            <w:tcBorders/>
            <w:shd w:fill="auto" w:val="clear"/>
            <w:vAlign w:val="center"/>
          </w:tcPr>
          <w:p>
            <w:pPr>
              <w:pStyle w:val="TableContents"/>
              <w:spacing w:before="0" w:after="283"/>
              <w:rPr>
                <w:sz w:val="4"/>
                <w:szCs w:val="4"/>
              </w:rPr>
            </w:pPr>
            <w:r>
              <w:rPr>
                <w:sz w:val="4"/>
                <w:szCs w:val="4"/>
              </w:rPr>
            </w:r>
          </w:p>
        </w:tc>
      </w:tr>
      <w:tr>
        <w:trPr/>
        <w:tc>
          <w:tcPr>
            <w:tcW w:w="380" w:type="dxa"/>
            <w:tcBorders/>
            <w:shd w:fill="auto" w:val="clear"/>
            <w:vAlign w:val="center"/>
          </w:tcPr>
          <w:p>
            <w:pPr>
              <w:pStyle w:val="TableContents"/>
              <w:spacing w:before="0" w:after="283"/>
              <w:rPr/>
            </w:pPr>
            <w:r>
              <w:rPr/>
              <w:t>By:</w:t>
            </w:r>
          </w:p>
        </w:tc>
        <w:tc>
          <w:tcPr>
            <w:tcW w:w="60" w:type="dxa"/>
            <w:tcBorders/>
            <w:shd w:fill="auto" w:val="clear"/>
            <w:vAlign w:val="center"/>
          </w:tcPr>
          <w:p>
            <w:pPr>
              <w:pStyle w:val="TableContents"/>
              <w:spacing w:before="0" w:after="283"/>
              <w:rPr/>
            </w:pPr>
            <w:r>
              <w:rPr/>
              <w:t> </w:t>
            </w:r>
          </w:p>
        </w:tc>
        <w:tc>
          <w:tcPr>
            <w:tcW w:w="2060" w:type="dxa"/>
            <w:tcBorders/>
            <w:shd w:fill="auto" w:val="clear"/>
            <w:vAlign w:val="center"/>
          </w:tcPr>
          <w:p>
            <w:pPr>
              <w:pStyle w:val="TableContents"/>
              <w:spacing w:before="0" w:after="20"/>
              <w:rPr>
                <w:rFonts w:ascii="Times New Roman" w:hAnsi="Times New Roman"/>
                <w:spacing w:val="0"/>
                <w:sz w:val="20"/>
                <w:bdr w:val="single" w:sz="2" w:space="1" w:color="000000"/>
              </w:rPr>
            </w:pPr>
            <w:r>
              <w:rPr>
                <w:rFonts w:ascii="Times New Roman" w:hAnsi="Times New Roman"/>
                <w:spacing w:val="0"/>
                <w:sz w:val="20"/>
                <w:bdr w:val="single" w:sz="2" w:space="1" w:color="000000"/>
              </w:rPr>
              <w:t>/s/ James Chambers</w:t>
            </w:r>
          </w:p>
        </w:tc>
        <w:tc>
          <w:tcPr>
            <w:tcW w:w="60" w:type="dxa"/>
            <w:tcBorders/>
            <w:shd w:fill="auto" w:val="clear"/>
            <w:vAlign w:val="center"/>
          </w:tcPr>
          <w:p>
            <w:pPr>
              <w:pStyle w:val="TableContents"/>
              <w:spacing w:before="0" w:after="283"/>
              <w:rPr/>
            </w:pPr>
            <w:r>
              <w:rPr/>
              <w:t> </w:t>
            </w:r>
          </w:p>
        </w:tc>
        <w:tc>
          <w:tcPr>
            <w:tcW w:w="4265" w:type="dxa"/>
            <w:tcBorders/>
            <w:shd w:fill="auto" w:val="clear"/>
            <w:vAlign w:val="center"/>
          </w:tcPr>
          <w:p>
            <w:pPr>
              <w:pStyle w:val="TableContents"/>
              <w:spacing w:before="0" w:after="283"/>
              <w:rPr/>
            </w:pPr>
            <w:r>
              <w:rPr/>
              <w:t>Director</w:t>
            </w:r>
          </w:p>
        </w:tc>
      </w:tr>
      <w:tr>
        <w:trPr/>
        <w:tc>
          <w:tcPr>
            <w:tcW w:w="3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060" w:type="dxa"/>
            <w:tcBorders/>
            <w:shd w:fill="auto" w:val="clear"/>
            <w:vAlign w:val="center"/>
          </w:tcPr>
          <w:p>
            <w:pPr>
              <w:pStyle w:val="TableContents"/>
              <w:spacing w:before="0" w:after="283"/>
              <w:rPr/>
            </w:pPr>
            <w:r>
              <w:rPr/>
              <w:t>James Chambers</w:t>
            </w:r>
          </w:p>
        </w:tc>
        <w:tc>
          <w:tcPr>
            <w:tcW w:w="60" w:type="dxa"/>
            <w:tcBorders/>
            <w:shd w:fill="auto" w:val="clear"/>
            <w:vAlign w:val="center"/>
          </w:tcPr>
          <w:p>
            <w:pPr>
              <w:pStyle w:val="TableContents"/>
              <w:spacing w:before="0" w:after="283"/>
              <w:rPr/>
            </w:pPr>
            <w:r>
              <w:rPr/>
              <w:t> </w:t>
            </w:r>
          </w:p>
        </w:tc>
        <w:tc>
          <w:tcPr>
            <w:tcW w:w="4265" w:type="dxa"/>
            <w:tcBorders/>
            <w:shd w:fill="auto" w:val="clear"/>
            <w:vAlign w:val="center"/>
          </w:tcPr>
          <w:p>
            <w:pPr>
              <w:pStyle w:val="TableContents"/>
              <w:spacing w:before="0" w:after="283"/>
              <w:rPr>
                <w:sz w:val="4"/>
                <w:szCs w:val="4"/>
              </w:rPr>
            </w:pPr>
            <w:r>
              <w:rPr>
                <w:sz w:val="4"/>
                <w:szCs w:val="4"/>
              </w:rPr>
            </w:r>
          </w:p>
        </w:tc>
      </w:tr>
      <w:tr>
        <w:trPr/>
        <w:tc>
          <w:tcPr>
            <w:tcW w:w="380" w:type="dxa"/>
            <w:tcBorders/>
            <w:shd w:fill="auto" w:val="clear"/>
            <w:vAlign w:val="center"/>
          </w:tcPr>
          <w:p>
            <w:pPr>
              <w:pStyle w:val="TableContents"/>
              <w:spacing w:before="0" w:after="283"/>
              <w:rPr>
                <w:sz w:val="4"/>
                <w:szCs w:val="4"/>
              </w:rPr>
            </w:pPr>
            <w:r>
              <w:rPr>
                <w:sz w:val="4"/>
                <w:szCs w:val="4"/>
              </w:rPr>
            </w:r>
          </w:p>
        </w:tc>
        <w:tc>
          <w:tcPr>
            <w:tcW w:w="2120" w:type="dxa"/>
            <w:gridSpan w:val="2"/>
            <w:tcBorders/>
            <w:shd w:fill="auto" w:val="clear"/>
            <w:vAlign w:val="center"/>
          </w:tcPr>
          <w:p>
            <w:pPr>
              <w:pStyle w:val="TableContents"/>
              <w:spacing w:before="0" w:after="283"/>
              <w:rPr>
                <w:sz w:val="4"/>
                <w:szCs w:val="4"/>
              </w:rPr>
            </w:pPr>
            <w:r>
              <w:rPr>
                <w:sz w:val="4"/>
                <w:szCs w:val="4"/>
              </w:rPr>
            </w:r>
          </w:p>
        </w:tc>
        <w:tc>
          <w:tcPr>
            <w:tcW w:w="4325" w:type="dxa"/>
            <w:gridSpan w:val="2"/>
            <w:tcBorders/>
            <w:shd w:fill="auto" w:val="clear"/>
            <w:vAlign w:val="center"/>
          </w:tcPr>
          <w:p>
            <w:pPr>
              <w:pStyle w:val="TableContents"/>
              <w:spacing w:before="0" w:after="283"/>
              <w:rPr>
                <w:sz w:val="4"/>
                <w:szCs w:val="4"/>
              </w:rPr>
            </w:pPr>
            <w:r>
              <w:rPr>
                <w:sz w:val="4"/>
                <w:szCs w:val="4"/>
              </w:rPr>
            </w:r>
          </w:p>
        </w:tc>
      </w:tr>
      <w:tr>
        <w:trPr/>
        <w:tc>
          <w:tcPr>
            <w:tcW w:w="380" w:type="dxa"/>
            <w:tcBorders/>
            <w:shd w:fill="auto" w:val="clear"/>
            <w:vAlign w:val="center"/>
          </w:tcPr>
          <w:p>
            <w:pPr>
              <w:pStyle w:val="TableContents"/>
              <w:spacing w:before="0" w:after="283"/>
              <w:rPr/>
            </w:pPr>
            <w:r>
              <w:rPr/>
              <w:t>By:</w:t>
            </w:r>
          </w:p>
        </w:tc>
        <w:tc>
          <w:tcPr>
            <w:tcW w:w="60" w:type="dxa"/>
            <w:tcBorders/>
            <w:shd w:fill="auto" w:val="clear"/>
            <w:vAlign w:val="center"/>
          </w:tcPr>
          <w:p>
            <w:pPr>
              <w:pStyle w:val="TableContents"/>
              <w:spacing w:before="0" w:after="283"/>
              <w:rPr/>
            </w:pPr>
            <w:r>
              <w:rPr/>
              <w:t> </w:t>
            </w:r>
          </w:p>
        </w:tc>
        <w:tc>
          <w:tcPr>
            <w:tcW w:w="2060" w:type="dxa"/>
            <w:tcBorders/>
            <w:shd w:fill="auto" w:val="clear"/>
            <w:vAlign w:val="center"/>
          </w:tcPr>
          <w:p>
            <w:pPr>
              <w:pStyle w:val="TableContents"/>
              <w:spacing w:before="0" w:after="20"/>
              <w:rPr>
                <w:rFonts w:ascii="Times New Roman" w:hAnsi="Times New Roman"/>
                <w:spacing w:val="0"/>
                <w:sz w:val="20"/>
                <w:bdr w:val="single" w:sz="2" w:space="1" w:color="000000"/>
              </w:rPr>
            </w:pPr>
            <w:r>
              <w:rPr>
                <w:rFonts w:ascii="Times New Roman" w:hAnsi="Times New Roman"/>
                <w:spacing w:val="0"/>
                <w:sz w:val="20"/>
                <w:bdr w:val="single" w:sz="2" w:space="1" w:color="000000"/>
              </w:rPr>
              <w:t>/s/ Hamish A. Dodds</w:t>
            </w:r>
          </w:p>
        </w:tc>
        <w:tc>
          <w:tcPr>
            <w:tcW w:w="60" w:type="dxa"/>
            <w:tcBorders/>
            <w:shd w:fill="auto" w:val="clear"/>
            <w:vAlign w:val="center"/>
          </w:tcPr>
          <w:p>
            <w:pPr>
              <w:pStyle w:val="TableContents"/>
              <w:spacing w:before="0" w:after="283"/>
              <w:rPr/>
            </w:pPr>
            <w:r>
              <w:rPr/>
              <w:t> </w:t>
            </w:r>
          </w:p>
        </w:tc>
        <w:tc>
          <w:tcPr>
            <w:tcW w:w="4265" w:type="dxa"/>
            <w:tcBorders/>
            <w:shd w:fill="auto" w:val="clear"/>
            <w:vAlign w:val="center"/>
          </w:tcPr>
          <w:p>
            <w:pPr>
              <w:pStyle w:val="TableContents"/>
              <w:spacing w:before="0" w:after="283"/>
              <w:rPr/>
            </w:pPr>
            <w:r>
              <w:rPr/>
              <w:t>Director</w:t>
            </w:r>
          </w:p>
        </w:tc>
      </w:tr>
      <w:tr>
        <w:trPr/>
        <w:tc>
          <w:tcPr>
            <w:tcW w:w="3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060" w:type="dxa"/>
            <w:tcBorders/>
            <w:shd w:fill="auto" w:val="clear"/>
            <w:vAlign w:val="center"/>
          </w:tcPr>
          <w:p>
            <w:pPr>
              <w:pStyle w:val="TableContents"/>
              <w:spacing w:before="0" w:after="283"/>
              <w:rPr/>
            </w:pPr>
            <w:r>
              <w:rPr/>
              <w:t>Hamish A. Dodds</w:t>
            </w:r>
          </w:p>
        </w:tc>
        <w:tc>
          <w:tcPr>
            <w:tcW w:w="60" w:type="dxa"/>
            <w:tcBorders/>
            <w:shd w:fill="auto" w:val="clear"/>
            <w:vAlign w:val="center"/>
          </w:tcPr>
          <w:p>
            <w:pPr>
              <w:pStyle w:val="TableContents"/>
              <w:spacing w:before="0" w:after="283"/>
              <w:rPr/>
            </w:pPr>
            <w:r>
              <w:rPr/>
              <w:t> </w:t>
            </w:r>
          </w:p>
        </w:tc>
        <w:tc>
          <w:tcPr>
            <w:tcW w:w="4265" w:type="dxa"/>
            <w:tcBorders/>
            <w:shd w:fill="auto" w:val="clear"/>
            <w:vAlign w:val="center"/>
          </w:tcPr>
          <w:p>
            <w:pPr>
              <w:pStyle w:val="TableContents"/>
              <w:spacing w:before="0" w:after="283"/>
              <w:rPr>
                <w:sz w:val="4"/>
                <w:szCs w:val="4"/>
              </w:rPr>
            </w:pPr>
            <w:r>
              <w:rPr>
                <w:sz w:val="4"/>
                <w:szCs w:val="4"/>
              </w:rPr>
            </w:r>
          </w:p>
        </w:tc>
      </w:tr>
      <w:tr>
        <w:trPr/>
        <w:tc>
          <w:tcPr>
            <w:tcW w:w="380" w:type="dxa"/>
            <w:tcBorders/>
            <w:shd w:fill="auto" w:val="clear"/>
            <w:vAlign w:val="center"/>
          </w:tcPr>
          <w:p>
            <w:pPr>
              <w:pStyle w:val="TableContents"/>
              <w:spacing w:before="0" w:after="283"/>
              <w:rPr>
                <w:sz w:val="4"/>
                <w:szCs w:val="4"/>
              </w:rPr>
            </w:pPr>
            <w:r>
              <w:rPr>
                <w:sz w:val="4"/>
                <w:szCs w:val="4"/>
              </w:rPr>
            </w:r>
          </w:p>
        </w:tc>
        <w:tc>
          <w:tcPr>
            <w:tcW w:w="2120" w:type="dxa"/>
            <w:gridSpan w:val="2"/>
            <w:tcBorders/>
            <w:shd w:fill="auto" w:val="clear"/>
            <w:vAlign w:val="center"/>
          </w:tcPr>
          <w:p>
            <w:pPr>
              <w:pStyle w:val="TableContents"/>
              <w:spacing w:before="0" w:after="283"/>
              <w:rPr>
                <w:sz w:val="4"/>
                <w:szCs w:val="4"/>
              </w:rPr>
            </w:pPr>
            <w:r>
              <w:rPr>
                <w:sz w:val="4"/>
                <w:szCs w:val="4"/>
              </w:rPr>
            </w:r>
          </w:p>
        </w:tc>
        <w:tc>
          <w:tcPr>
            <w:tcW w:w="4325" w:type="dxa"/>
            <w:gridSpan w:val="2"/>
            <w:tcBorders/>
            <w:shd w:fill="auto" w:val="clear"/>
            <w:vAlign w:val="center"/>
          </w:tcPr>
          <w:p>
            <w:pPr>
              <w:pStyle w:val="TableContents"/>
              <w:spacing w:before="0" w:after="283"/>
              <w:rPr>
                <w:sz w:val="4"/>
                <w:szCs w:val="4"/>
              </w:rPr>
            </w:pPr>
            <w:r>
              <w:rPr>
                <w:sz w:val="4"/>
                <w:szCs w:val="4"/>
              </w:rPr>
            </w:r>
          </w:p>
        </w:tc>
      </w:tr>
      <w:tr>
        <w:trPr/>
        <w:tc>
          <w:tcPr>
            <w:tcW w:w="380" w:type="dxa"/>
            <w:tcBorders/>
            <w:shd w:fill="auto" w:val="clear"/>
            <w:vAlign w:val="center"/>
          </w:tcPr>
          <w:p>
            <w:pPr>
              <w:pStyle w:val="TableContents"/>
              <w:spacing w:before="0" w:after="283"/>
              <w:rPr/>
            </w:pPr>
            <w:r>
              <w:rPr/>
              <w:t>By:</w:t>
            </w:r>
          </w:p>
        </w:tc>
        <w:tc>
          <w:tcPr>
            <w:tcW w:w="60" w:type="dxa"/>
            <w:tcBorders/>
            <w:shd w:fill="auto" w:val="clear"/>
            <w:vAlign w:val="center"/>
          </w:tcPr>
          <w:p>
            <w:pPr>
              <w:pStyle w:val="TableContents"/>
              <w:spacing w:before="0" w:after="283"/>
              <w:rPr/>
            </w:pPr>
            <w:r>
              <w:rPr/>
              <w:t> </w:t>
            </w:r>
          </w:p>
        </w:tc>
        <w:tc>
          <w:tcPr>
            <w:tcW w:w="2060" w:type="dxa"/>
            <w:tcBorders/>
            <w:shd w:fill="auto" w:val="clear"/>
            <w:vAlign w:val="center"/>
          </w:tcPr>
          <w:p>
            <w:pPr>
              <w:pStyle w:val="TableContents"/>
              <w:spacing w:before="0" w:after="20"/>
              <w:rPr>
                <w:rFonts w:ascii="Times New Roman" w:hAnsi="Times New Roman"/>
                <w:spacing w:val="0"/>
                <w:sz w:val="20"/>
                <w:bdr w:val="single" w:sz="2" w:space="1" w:color="000000"/>
              </w:rPr>
            </w:pPr>
            <w:r>
              <w:rPr>
                <w:rFonts w:ascii="Times New Roman" w:hAnsi="Times New Roman"/>
                <w:spacing w:val="0"/>
                <w:sz w:val="20"/>
                <w:bdr w:val="single" w:sz="2" w:space="1" w:color="000000"/>
              </w:rPr>
              <w:t>/s/ Michael J. Griffith</w:t>
            </w:r>
          </w:p>
        </w:tc>
        <w:tc>
          <w:tcPr>
            <w:tcW w:w="60" w:type="dxa"/>
            <w:tcBorders/>
            <w:shd w:fill="auto" w:val="clear"/>
            <w:vAlign w:val="center"/>
          </w:tcPr>
          <w:p>
            <w:pPr>
              <w:pStyle w:val="TableContents"/>
              <w:spacing w:before="0" w:after="283"/>
              <w:rPr/>
            </w:pPr>
            <w:r>
              <w:rPr/>
              <w:t> </w:t>
            </w:r>
          </w:p>
        </w:tc>
        <w:tc>
          <w:tcPr>
            <w:tcW w:w="4265" w:type="dxa"/>
            <w:tcBorders/>
            <w:shd w:fill="auto" w:val="clear"/>
            <w:vAlign w:val="center"/>
          </w:tcPr>
          <w:p>
            <w:pPr>
              <w:pStyle w:val="TableContents"/>
              <w:spacing w:before="0" w:after="283"/>
              <w:rPr/>
            </w:pPr>
            <w:r>
              <w:rPr/>
              <w:t>Director</w:t>
            </w:r>
          </w:p>
        </w:tc>
      </w:tr>
      <w:tr>
        <w:trPr/>
        <w:tc>
          <w:tcPr>
            <w:tcW w:w="3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060" w:type="dxa"/>
            <w:tcBorders/>
            <w:shd w:fill="auto" w:val="clear"/>
            <w:vAlign w:val="center"/>
          </w:tcPr>
          <w:p>
            <w:pPr>
              <w:pStyle w:val="TableContents"/>
              <w:spacing w:before="0" w:after="283"/>
              <w:rPr/>
            </w:pPr>
            <w:r>
              <w:rPr/>
              <w:t>Michael J. Griffith</w:t>
            </w:r>
          </w:p>
        </w:tc>
        <w:tc>
          <w:tcPr>
            <w:tcW w:w="60" w:type="dxa"/>
            <w:tcBorders/>
            <w:shd w:fill="auto" w:val="clear"/>
            <w:vAlign w:val="center"/>
          </w:tcPr>
          <w:p>
            <w:pPr>
              <w:pStyle w:val="TableContents"/>
              <w:spacing w:before="0" w:after="283"/>
              <w:rPr/>
            </w:pPr>
            <w:r>
              <w:rPr/>
              <w:t> </w:t>
            </w:r>
          </w:p>
        </w:tc>
        <w:tc>
          <w:tcPr>
            <w:tcW w:w="4265" w:type="dxa"/>
            <w:tcBorders/>
            <w:shd w:fill="auto" w:val="clear"/>
            <w:vAlign w:val="center"/>
          </w:tcPr>
          <w:p>
            <w:pPr>
              <w:pStyle w:val="TableContents"/>
              <w:spacing w:before="0" w:after="283"/>
              <w:rPr>
                <w:sz w:val="4"/>
                <w:szCs w:val="4"/>
              </w:rPr>
            </w:pPr>
            <w:r>
              <w:rPr>
                <w:sz w:val="4"/>
                <w:szCs w:val="4"/>
              </w:rPr>
            </w:r>
          </w:p>
        </w:tc>
      </w:tr>
      <w:tr>
        <w:trPr/>
        <w:tc>
          <w:tcPr>
            <w:tcW w:w="380" w:type="dxa"/>
            <w:tcBorders/>
            <w:shd w:fill="auto" w:val="clear"/>
            <w:vAlign w:val="center"/>
          </w:tcPr>
          <w:p>
            <w:pPr>
              <w:pStyle w:val="TableContents"/>
              <w:spacing w:before="0" w:after="283"/>
              <w:rPr>
                <w:sz w:val="4"/>
                <w:szCs w:val="4"/>
              </w:rPr>
            </w:pPr>
            <w:r>
              <w:rPr>
                <w:sz w:val="4"/>
                <w:szCs w:val="4"/>
              </w:rPr>
            </w:r>
          </w:p>
        </w:tc>
        <w:tc>
          <w:tcPr>
            <w:tcW w:w="2120" w:type="dxa"/>
            <w:gridSpan w:val="2"/>
            <w:tcBorders/>
            <w:shd w:fill="auto" w:val="clear"/>
            <w:vAlign w:val="center"/>
          </w:tcPr>
          <w:p>
            <w:pPr>
              <w:pStyle w:val="TableContents"/>
              <w:spacing w:before="0" w:after="283"/>
              <w:rPr>
                <w:sz w:val="4"/>
                <w:szCs w:val="4"/>
              </w:rPr>
            </w:pPr>
            <w:r>
              <w:rPr>
                <w:sz w:val="4"/>
                <w:szCs w:val="4"/>
              </w:rPr>
            </w:r>
          </w:p>
        </w:tc>
        <w:tc>
          <w:tcPr>
            <w:tcW w:w="4325" w:type="dxa"/>
            <w:gridSpan w:val="2"/>
            <w:tcBorders/>
            <w:shd w:fill="auto" w:val="clear"/>
            <w:vAlign w:val="center"/>
          </w:tcPr>
          <w:p>
            <w:pPr>
              <w:pStyle w:val="TableContents"/>
              <w:spacing w:before="0" w:after="283"/>
              <w:rPr>
                <w:sz w:val="4"/>
                <w:szCs w:val="4"/>
              </w:rPr>
            </w:pPr>
            <w:r>
              <w:rPr>
                <w:sz w:val="4"/>
                <w:szCs w:val="4"/>
              </w:rPr>
            </w:r>
          </w:p>
        </w:tc>
      </w:tr>
      <w:tr>
        <w:trPr/>
        <w:tc>
          <w:tcPr>
            <w:tcW w:w="380" w:type="dxa"/>
            <w:tcBorders/>
            <w:shd w:fill="auto" w:val="clear"/>
            <w:vAlign w:val="center"/>
          </w:tcPr>
          <w:p>
            <w:pPr>
              <w:pStyle w:val="TableContents"/>
              <w:spacing w:before="0" w:after="283"/>
              <w:rPr/>
            </w:pPr>
            <w:r>
              <w:rPr/>
              <w:t>By:</w:t>
            </w:r>
          </w:p>
        </w:tc>
        <w:tc>
          <w:tcPr>
            <w:tcW w:w="60" w:type="dxa"/>
            <w:tcBorders/>
            <w:shd w:fill="auto" w:val="clear"/>
            <w:vAlign w:val="center"/>
          </w:tcPr>
          <w:p>
            <w:pPr>
              <w:pStyle w:val="TableContents"/>
              <w:spacing w:before="0" w:after="283"/>
              <w:rPr/>
            </w:pPr>
            <w:r>
              <w:rPr/>
              <w:t> </w:t>
            </w:r>
          </w:p>
        </w:tc>
        <w:tc>
          <w:tcPr>
            <w:tcW w:w="2060" w:type="dxa"/>
            <w:tcBorders/>
            <w:shd w:fill="auto" w:val="clear"/>
            <w:vAlign w:val="center"/>
          </w:tcPr>
          <w:p>
            <w:pPr>
              <w:pStyle w:val="TableContents"/>
              <w:spacing w:before="0" w:after="20"/>
              <w:rPr>
                <w:rFonts w:ascii="Times New Roman" w:hAnsi="Times New Roman"/>
                <w:spacing w:val="0"/>
                <w:sz w:val="20"/>
                <w:bdr w:val="single" w:sz="2" w:space="1" w:color="000000"/>
              </w:rPr>
            </w:pPr>
            <w:r>
              <w:rPr>
                <w:rFonts w:ascii="Times New Roman" w:hAnsi="Times New Roman"/>
                <w:spacing w:val="0"/>
                <w:sz w:val="20"/>
                <w:bdr w:val="single" w:sz="2" w:space="1" w:color="000000"/>
              </w:rPr>
              <w:t>/s/ Jonathan S. Halkyard</w:t>
            </w:r>
          </w:p>
        </w:tc>
        <w:tc>
          <w:tcPr>
            <w:tcW w:w="60" w:type="dxa"/>
            <w:tcBorders/>
            <w:shd w:fill="auto" w:val="clear"/>
            <w:vAlign w:val="center"/>
          </w:tcPr>
          <w:p>
            <w:pPr>
              <w:pStyle w:val="TableContents"/>
              <w:spacing w:before="0" w:after="283"/>
              <w:rPr/>
            </w:pPr>
            <w:r>
              <w:rPr/>
              <w:t> </w:t>
            </w:r>
          </w:p>
        </w:tc>
        <w:tc>
          <w:tcPr>
            <w:tcW w:w="4265" w:type="dxa"/>
            <w:tcBorders/>
            <w:shd w:fill="auto" w:val="clear"/>
            <w:vAlign w:val="center"/>
          </w:tcPr>
          <w:p>
            <w:pPr>
              <w:pStyle w:val="TableContents"/>
              <w:spacing w:before="0" w:after="283"/>
              <w:rPr/>
            </w:pPr>
            <w:r>
              <w:rPr/>
              <w:t>Director</w:t>
            </w:r>
          </w:p>
        </w:tc>
      </w:tr>
      <w:tr>
        <w:trPr/>
        <w:tc>
          <w:tcPr>
            <w:tcW w:w="3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060" w:type="dxa"/>
            <w:tcBorders/>
            <w:shd w:fill="auto" w:val="clear"/>
            <w:vAlign w:val="center"/>
          </w:tcPr>
          <w:p>
            <w:pPr>
              <w:pStyle w:val="TableContents"/>
              <w:spacing w:before="0" w:after="283"/>
              <w:rPr/>
            </w:pPr>
            <w:r>
              <w:rPr/>
              <w:t>Jonathan S. Halkyard</w:t>
            </w:r>
          </w:p>
        </w:tc>
        <w:tc>
          <w:tcPr>
            <w:tcW w:w="60" w:type="dxa"/>
            <w:tcBorders/>
            <w:shd w:fill="auto" w:val="clear"/>
            <w:vAlign w:val="center"/>
          </w:tcPr>
          <w:p>
            <w:pPr>
              <w:pStyle w:val="TableContents"/>
              <w:spacing w:before="0" w:after="283"/>
              <w:rPr/>
            </w:pPr>
            <w:r>
              <w:rPr/>
              <w:t> </w:t>
            </w:r>
          </w:p>
        </w:tc>
        <w:tc>
          <w:tcPr>
            <w:tcW w:w="4265" w:type="dxa"/>
            <w:tcBorders/>
            <w:shd w:fill="auto" w:val="clear"/>
            <w:vAlign w:val="center"/>
          </w:tcPr>
          <w:p>
            <w:pPr>
              <w:pStyle w:val="TableContents"/>
              <w:spacing w:before="0" w:after="283"/>
              <w:rPr>
                <w:sz w:val="4"/>
                <w:szCs w:val="4"/>
              </w:rPr>
            </w:pPr>
            <w:r>
              <w:rPr>
                <w:sz w:val="4"/>
                <w:szCs w:val="4"/>
              </w:rPr>
            </w:r>
          </w:p>
        </w:tc>
      </w:tr>
      <w:tr>
        <w:trPr/>
        <w:tc>
          <w:tcPr>
            <w:tcW w:w="380" w:type="dxa"/>
            <w:tcBorders/>
            <w:shd w:fill="auto" w:val="clear"/>
            <w:vAlign w:val="center"/>
          </w:tcPr>
          <w:p>
            <w:pPr>
              <w:pStyle w:val="TableContents"/>
              <w:spacing w:before="0" w:after="283"/>
              <w:rPr>
                <w:sz w:val="4"/>
                <w:szCs w:val="4"/>
              </w:rPr>
            </w:pPr>
            <w:r>
              <w:rPr>
                <w:sz w:val="4"/>
                <w:szCs w:val="4"/>
              </w:rPr>
            </w:r>
          </w:p>
        </w:tc>
        <w:tc>
          <w:tcPr>
            <w:tcW w:w="2120" w:type="dxa"/>
            <w:gridSpan w:val="2"/>
            <w:tcBorders/>
            <w:shd w:fill="auto" w:val="clear"/>
            <w:vAlign w:val="center"/>
          </w:tcPr>
          <w:p>
            <w:pPr>
              <w:pStyle w:val="TableContents"/>
              <w:spacing w:before="0" w:after="283"/>
              <w:rPr>
                <w:sz w:val="4"/>
                <w:szCs w:val="4"/>
              </w:rPr>
            </w:pPr>
            <w:r>
              <w:rPr>
                <w:sz w:val="4"/>
                <w:szCs w:val="4"/>
              </w:rPr>
            </w:r>
          </w:p>
        </w:tc>
        <w:tc>
          <w:tcPr>
            <w:tcW w:w="4325" w:type="dxa"/>
            <w:gridSpan w:val="2"/>
            <w:tcBorders/>
            <w:shd w:fill="auto" w:val="clear"/>
            <w:vAlign w:val="center"/>
          </w:tcPr>
          <w:p>
            <w:pPr>
              <w:pStyle w:val="TableContents"/>
              <w:spacing w:before="0" w:after="283"/>
              <w:rPr>
                <w:sz w:val="4"/>
                <w:szCs w:val="4"/>
              </w:rPr>
            </w:pPr>
            <w:r>
              <w:rPr>
                <w:sz w:val="4"/>
                <w:szCs w:val="4"/>
              </w:rPr>
            </w:r>
          </w:p>
        </w:tc>
      </w:tr>
      <w:tr>
        <w:trPr/>
        <w:tc>
          <w:tcPr>
            <w:tcW w:w="380" w:type="dxa"/>
            <w:tcBorders/>
            <w:shd w:fill="auto" w:val="clear"/>
            <w:vAlign w:val="center"/>
          </w:tcPr>
          <w:p>
            <w:pPr>
              <w:pStyle w:val="TableContents"/>
              <w:spacing w:before="0" w:after="283"/>
              <w:rPr/>
            </w:pPr>
            <w:r>
              <w:rPr/>
              <w:t>By:</w:t>
            </w:r>
          </w:p>
        </w:tc>
        <w:tc>
          <w:tcPr>
            <w:tcW w:w="60" w:type="dxa"/>
            <w:tcBorders/>
            <w:shd w:fill="auto" w:val="clear"/>
            <w:vAlign w:val="center"/>
          </w:tcPr>
          <w:p>
            <w:pPr>
              <w:pStyle w:val="TableContents"/>
              <w:spacing w:before="0" w:after="283"/>
              <w:rPr/>
            </w:pPr>
            <w:r>
              <w:rPr/>
              <w:t> </w:t>
            </w:r>
          </w:p>
        </w:tc>
        <w:tc>
          <w:tcPr>
            <w:tcW w:w="2060" w:type="dxa"/>
            <w:tcBorders/>
            <w:shd w:fill="auto" w:val="clear"/>
            <w:vAlign w:val="center"/>
          </w:tcPr>
          <w:p>
            <w:pPr>
              <w:pStyle w:val="TableContents"/>
              <w:spacing w:before="0" w:after="20"/>
              <w:rPr>
                <w:rFonts w:ascii="Times New Roman" w:hAnsi="Times New Roman"/>
                <w:spacing w:val="0"/>
                <w:sz w:val="20"/>
                <w:bdr w:val="single" w:sz="2" w:space="1" w:color="000000"/>
              </w:rPr>
            </w:pPr>
            <w:r>
              <w:rPr>
                <w:rFonts w:ascii="Times New Roman" w:hAnsi="Times New Roman"/>
                <w:spacing w:val="0"/>
                <w:sz w:val="20"/>
                <w:bdr w:val="single" w:sz="2" w:space="1" w:color="000000"/>
              </w:rPr>
              <w:t>/s/ John C. Hockin</w:t>
            </w:r>
          </w:p>
        </w:tc>
        <w:tc>
          <w:tcPr>
            <w:tcW w:w="60" w:type="dxa"/>
            <w:tcBorders/>
            <w:shd w:fill="auto" w:val="clear"/>
            <w:vAlign w:val="center"/>
          </w:tcPr>
          <w:p>
            <w:pPr>
              <w:pStyle w:val="TableContents"/>
              <w:spacing w:before="0" w:after="283"/>
              <w:rPr/>
            </w:pPr>
            <w:r>
              <w:rPr/>
              <w:t> </w:t>
            </w:r>
          </w:p>
        </w:tc>
        <w:tc>
          <w:tcPr>
            <w:tcW w:w="4265" w:type="dxa"/>
            <w:tcBorders/>
            <w:shd w:fill="auto" w:val="clear"/>
            <w:vAlign w:val="center"/>
          </w:tcPr>
          <w:p>
            <w:pPr>
              <w:pStyle w:val="TableContents"/>
              <w:spacing w:before="0" w:after="283"/>
              <w:rPr/>
            </w:pPr>
            <w:r>
              <w:rPr/>
              <w:t>Director</w:t>
            </w:r>
          </w:p>
        </w:tc>
      </w:tr>
      <w:tr>
        <w:trPr/>
        <w:tc>
          <w:tcPr>
            <w:tcW w:w="3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2060" w:type="dxa"/>
            <w:tcBorders/>
            <w:shd w:fill="auto" w:val="clear"/>
            <w:vAlign w:val="center"/>
          </w:tcPr>
          <w:p>
            <w:pPr>
              <w:pStyle w:val="TableContents"/>
              <w:spacing w:before="0" w:after="283"/>
              <w:rPr/>
            </w:pPr>
            <w:r>
              <w:rPr/>
              <w:t>John C. Hockin</w:t>
            </w:r>
          </w:p>
        </w:tc>
        <w:tc>
          <w:tcPr>
            <w:tcW w:w="60" w:type="dxa"/>
            <w:tcBorders/>
            <w:shd w:fill="auto" w:val="clear"/>
            <w:vAlign w:val="center"/>
          </w:tcPr>
          <w:p>
            <w:pPr>
              <w:pStyle w:val="TableContents"/>
              <w:spacing w:before="0" w:after="283"/>
              <w:rPr/>
            </w:pPr>
            <w:r>
              <w:rPr/>
              <w:t> </w:t>
            </w:r>
          </w:p>
        </w:tc>
        <w:tc>
          <w:tcPr>
            <w:tcW w:w="4265"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58 </w:t>
      </w:r>
    </w:p>
    <w:p>
      <w:pPr>
        <w:pStyle w:val="HorizontalLine"/>
        <w:rPr/>
      </w:pPr>
      <w:r>
        <w:rPr/>
      </w:r>
    </w:p>
    <w:p>
      <w:pPr>
        <w:pStyle w:val="TextBody"/>
        <w:spacing w:before="0" w:after="0"/>
        <w:rPr/>
      </w:pPr>
      <w:hyperlink w:anchor="toc">
        <w:r>
          <w:rPr>
            <w:rStyle w:val="InternetLink"/>
            <w:b/>
            <w:sz w:val="20"/>
          </w:rPr>
          <w:t>Table of Contents</w:t>
        </w:r>
      </w:hyperlink>
    </w:p>
    <w:tbl>
      <w:tblPr>
        <w:tblW w:w="3135" w:type="dxa"/>
        <w:jc w:val="left"/>
        <w:tblInd w:w="0" w:type="dxa"/>
        <w:tblCellMar>
          <w:top w:w="0" w:type="dxa"/>
          <w:left w:w="0" w:type="dxa"/>
          <w:bottom w:w="0" w:type="dxa"/>
          <w:right w:w="0" w:type="dxa"/>
        </w:tblCellMar>
      </w:tblPr>
      <w:tblGrid>
        <w:gridCol w:w="380"/>
        <w:gridCol w:w="60"/>
        <w:gridCol w:w="1820"/>
        <w:gridCol w:w="60"/>
        <w:gridCol w:w="815"/>
      </w:tblGrid>
      <w:tr>
        <w:trPr/>
        <w:tc>
          <w:tcPr>
            <w:tcW w:w="3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8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15" w:type="dxa"/>
            <w:tcBorders/>
            <w:shd w:fill="auto" w:val="clear"/>
            <w:vAlign w:val="center"/>
          </w:tcPr>
          <w:p>
            <w:pPr>
              <w:pStyle w:val="TableContents"/>
              <w:spacing w:before="0" w:after="283"/>
              <w:rPr>
                <w:sz w:val="4"/>
                <w:szCs w:val="4"/>
              </w:rPr>
            </w:pPr>
            <w:r>
              <w:rPr>
                <w:sz w:val="4"/>
                <w:szCs w:val="4"/>
              </w:rPr>
            </w:r>
          </w:p>
        </w:tc>
      </w:tr>
      <w:tr>
        <w:trPr/>
        <w:tc>
          <w:tcPr>
            <w:tcW w:w="380" w:type="dxa"/>
            <w:tcBorders/>
            <w:shd w:fill="auto" w:val="clear"/>
            <w:vAlign w:val="center"/>
          </w:tcPr>
          <w:p>
            <w:pPr>
              <w:pStyle w:val="TableContents"/>
              <w:spacing w:before="0" w:after="283"/>
              <w:rPr>
                <w:sz w:val="4"/>
                <w:szCs w:val="4"/>
              </w:rPr>
            </w:pPr>
            <w:r>
              <w:rPr>
                <w:sz w:val="4"/>
                <w:szCs w:val="4"/>
              </w:rPr>
            </w:r>
          </w:p>
        </w:tc>
        <w:tc>
          <w:tcPr>
            <w:tcW w:w="1880" w:type="dxa"/>
            <w:gridSpan w:val="2"/>
            <w:tcBorders/>
            <w:shd w:fill="auto" w:val="clear"/>
            <w:vAlign w:val="center"/>
          </w:tcPr>
          <w:p>
            <w:pPr>
              <w:pStyle w:val="TableContents"/>
              <w:spacing w:before="0" w:after="283"/>
              <w:rPr>
                <w:sz w:val="4"/>
                <w:szCs w:val="4"/>
              </w:rPr>
            </w:pPr>
            <w:r>
              <w:rPr>
                <w:sz w:val="4"/>
                <w:szCs w:val="4"/>
              </w:rPr>
            </w:r>
          </w:p>
        </w:tc>
        <w:tc>
          <w:tcPr>
            <w:tcW w:w="875" w:type="dxa"/>
            <w:gridSpan w:val="2"/>
            <w:tcBorders/>
            <w:shd w:fill="auto" w:val="clear"/>
            <w:vAlign w:val="center"/>
          </w:tcPr>
          <w:p>
            <w:pPr>
              <w:pStyle w:val="TableContents"/>
              <w:spacing w:before="0" w:after="283"/>
              <w:rPr>
                <w:sz w:val="4"/>
                <w:szCs w:val="4"/>
              </w:rPr>
            </w:pPr>
            <w:r>
              <w:rPr>
                <w:sz w:val="4"/>
                <w:szCs w:val="4"/>
              </w:rPr>
            </w:r>
          </w:p>
        </w:tc>
      </w:tr>
      <w:tr>
        <w:trPr/>
        <w:tc>
          <w:tcPr>
            <w:tcW w:w="380" w:type="dxa"/>
            <w:tcBorders/>
            <w:shd w:fill="auto" w:val="clear"/>
            <w:vAlign w:val="center"/>
          </w:tcPr>
          <w:p>
            <w:pPr>
              <w:pStyle w:val="TableContents"/>
              <w:spacing w:before="0" w:after="283"/>
              <w:rPr/>
            </w:pPr>
            <w:r>
              <w:rPr/>
              <w:t>By:</w:t>
            </w:r>
          </w:p>
        </w:tc>
        <w:tc>
          <w:tcPr>
            <w:tcW w:w="60" w:type="dxa"/>
            <w:tcBorders/>
            <w:shd w:fill="auto" w:val="clear"/>
            <w:vAlign w:val="center"/>
          </w:tcPr>
          <w:p>
            <w:pPr>
              <w:pStyle w:val="TableContents"/>
              <w:spacing w:before="0" w:after="283"/>
              <w:rPr/>
            </w:pPr>
            <w:r>
              <w:rPr/>
              <w:t> </w:t>
            </w:r>
          </w:p>
        </w:tc>
        <w:tc>
          <w:tcPr>
            <w:tcW w:w="1820" w:type="dxa"/>
            <w:tcBorders/>
            <w:shd w:fill="auto" w:val="clear"/>
            <w:vAlign w:val="center"/>
          </w:tcPr>
          <w:p>
            <w:pPr>
              <w:pStyle w:val="TableContents"/>
              <w:spacing w:before="0" w:after="20"/>
              <w:rPr>
                <w:rFonts w:ascii="Times New Roman" w:hAnsi="Times New Roman"/>
                <w:spacing w:val="0"/>
                <w:sz w:val="20"/>
                <w:bdr w:val="single" w:sz="2" w:space="1" w:color="000000"/>
              </w:rPr>
            </w:pPr>
            <w:r>
              <w:rPr>
                <w:rFonts w:ascii="Times New Roman" w:hAnsi="Times New Roman"/>
                <w:spacing w:val="0"/>
                <w:sz w:val="20"/>
                <w:bdr w:val="single" w:sz="2" w:space="1" w:color="000000"/>
              </w:rPr>
              <w:t>/s/ Patricia H. Mueller</w:t>
            </w:r>
          </w:p>
        </w:tc>
        <w:tc>
          <w:tcPr>
            <w:tcW w:w="60" w:type="dxa"/>
            <w:tcBorders/>
            <w:shd w:fill="auto" w:val="clear"/>
            <w:vAlign w:val="center"/>
          </w:tcPr>
          <w:p>
            <w:pPr>
              <w:pStyle w:val="TableContents"/>
              <w:spacing w:before="0" w:after="283"/>
              <w:rPr/>
            </w:pPr>
            <w:r>
              <w:rPr/>
              <w:t> </w:t>
            </w:r>
          </w:p>
        </w:tc>
        <w:tc>
          <w:tcPr>
            <w:tcW w:w="815" w:type="dxa"/>
            <w:tcBorders/>
            <w:shd w:fill="auto" w:val="clear"/>
            <w:vAlign w:val="center"/>
          </w:tcPr>
          <w:p>
            <w:pPr>
              <w:pStyle w:val="TableContents"/>
              <w:spacing w:before="0" w:after="283"/>
              <w:rPr/>
            </w:pPr>
            <w:r>
              <w:rPr/>
              <w:t>Director</w:t>
            </w:r>
          </w:p>
        </w:tc>
      </w:tr>
      <w:tr>
        <w:trPr/>
        <w:tc>
          <w:tcPr>
            <w:tcW w:w="3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820" w:type="dxa"/>
            <w:tcBorders/>
            <w:shd w:fill="auto" w:val="clear"/>
            <w:vAlign w:val="center"/>
          </w:tcPr>
          <w:p>
            <w:pPr>
              <w:pStyle w:val="TableContents"/>
              <w:spacing w:before="0" w:after="283"/>
              <w:rPr/>
            </w:pPr>
            <w:r>
              <w:rPr/>
              <w:t>Patricia H. Mueller</w:t>
            </w:r>
          </w:p>
        </w:tc>
        <w:tc>
          <w:tcPr>
            <w:tcW w:w="60" w:type="dxa"/>
            <w:tcBorders/>
            <w:shd w:fill="auto" w:val="clear"/>
            <w:vAlign w:val="center"/>
          </w:tcPr>
          <w:p>
            <w:pPr>
              <w:pStyle w:val="TableContents"/>
              <w:spacing w:before="0" w:after="283"/>
              <w:rPr/>
            </w:pPr>
            <w:r>
              <w:rPr/>
              <w:t> </w:t>
            </w:r>
          </w:p>
        </w:tc>
        <w:tc>
          <w:tcPr>
            <w:tcW w:w="815" w:type="dxa"/>
            <w:tcBorders/>
            <w:shd w:fill="auto" w:val="clear"/>
            <w:vAlign w:val="center"/>
          </w:tcPr>
          <w:p>
            <w:pPr>
              <w:pStyle w:val="TableContents"/>
              <w:spacing w:before="0" w:after="283"/>
              <w:rPr>
                <w:sz w:val="4"/>
                <w:szCs w:val="4"/>
              </w:rPr>
            </w:pPr>
            <w:r>
              <w:rPr>
                <w:sz w:val="4"/>
                <w:szCs w:val="4"/>
              </w:rPr>
            </w:r>
          </w:p>
        </w:tc>
      </w:tr>
      <w:tr>
        <w:trPr/>
        <w:tc>
          <w:tcPr>
            <w:tcW w:w="380" w:type="dxa"/>
            <w:tcBorders/>
            <w:shd w:fill="auto" w:val="clear"/>
            <w:vAlign w:val="center"/>
          </w:tcPr>
          <w:p>
            <w:pPr>
              <w:pStyle w:val="TableContents"/>
              <w:spacing w:before="0" w:after="283"/>
              <w:rPr>
                <w:sz w:val="4"/>
                <w:szCs w:val="4"/>
              </w:rPr>
            </w:pPr>
            <w:r>
              <w:rPr>
                <w:sz w:val="4"/>
                <w:szCs w:val="4"/>
              </w:rPr>
            </w:r>
          </w:p>
        </w:tc>
        <w:tc>
          <w:tcPr>
            <w:tcW w:w="1880" w:type="dxa"/>
            <w:gridSpan w:val="2"/>
            <w:tcBorders/>
            <w:shd w:fill="auto" w:val="clear"/>
            <w:vAlign w:val="center"/>
          </w:tcPr>
          <w:p>
            <w:pPr>
              <w:pStyle w:val="TableContents"/>
              <w:spacing w:before="0" w:after="283"/>
              <w:rPr>
                <w:sz w:val="4"/>
                <w:szCs w:val="4"/>
              </w:rPr>
            </w:pPr>
            <w:r>
              <w:rPr>
                <w:sz w:val="4"/>
                <w:szCs w:val="4"/>
              </w:rPr>
            </w:r>
          </w:p>
        </w:tc>
        <w:tc>
          <w:tcPr>
            <w:tcW w:w="875" w:type="dxa"/>
            <w:gridSpan w:val="2"/>
            <w:tcBorders/>
            <w:shd w:fill="auto" w:val="clear"/>
            <w:vAlign w:val="center"/>
          </w:tcPr>
          <w:p>
            <w:pPr>
              <w:pStyle w:val="TableContents"/>
              <w:spacing w:before="0" w:after="283"/>
              <w:rPr>
                <w:sz w:val="4"/>
                <w:szCs w:val="4"/>
              </w:rPr>
            </w:pPr>
            <w:r>
              <w:rPr>
                <w:sz w:val="4"/>
                <w:szCs w:val="4"/>
              </w:rPr>
            </w:r>
          </w:p>
        </w:tc>
      </w:tr>
      <w:tr>
        <w:trPr/>
        <w:tc>
          <w:tcPr>
            <w:tcW w:w="380" w:type="dxa"/>
            <w:tcBorders/>
            <w:shd w:fill="auto" w:val="clear"/>
            <w:vAlign w:val="center"/>
          </w:tcPr>
          <w:p>
            <w:pPr>
              <w:pStyle w:val="TableContents"/>
              <w:spacing w:before="0" w:after="283"/>
              <w:rPr/>
            </w:pPr>
            <w:r>
              <w:rPr/>
              <w:t>By:</w:t>
            </w:r>
          </w:p>
        </w:tc>
        <w:tc>
          <w:tcPr>
            <w:tcW w:w="60" w:type="dxa"/>
            <w:tcBorders/>
            <w:shd w:fill="auto" w:val="clear"/>
            <w:vAlign w:val="center"/>
          </w:tcPr>
          <w:p>
            <w:pPr>
              <w:pStyle w:val="TableContents"/>
              <w:spacing w:before="0" w:after="283"/>
              <w:rPr/>
            </w:pPr>
            <w:r>
              <w:rPr/>
              <w:t> </w:t>
            </w:r>
          </w:p>
        </w:tc>
        <w:tc>
          <w:tcPr>
            <w:tcW w:w="1820" w:type="dxa"/>
            <w:tcBorders/>
            <w:shd w:fill="auto" w:val="clear"/>
            <w:vAlign w:val="center"/>
          </w:tcPr>
          <w:p>
            <w:pPr>
              <w:pStyle w:val="TableContents"/>
              <w:spacing w:before="0" w:after="20"/>
              <w:rPr>
                <w:rFonts w:ascii="Times New Roman" w:hAnsi="Times New Roman"/>
                <w:spacing w:val="0"/>
                <w:sz w:val="20"/>
                <w:bdr w:val="single" w:sz="2" w:space="1" w:color="000000"/>
              </w:rPr>
            </w:pPr>
            <w:r>
              <w:rPr>
                <w:rFonts w:ascii="Times New Roman" w:hAnsi="Times New Roman"/>
                <w:spacing w:val="0"/>
                <w:sz w:val="20"/>
                <w:bdr w:val="single" w:sz="2" w:space="1" w:color="000000"/>
              </w:rPr>
              <w:t>/s/ Kevin M. Sheehan</w:t>
            </w:r>
          </w:p>
        </w:tc>
        <w:tc>
          <w:tcPr>
            <w:tcW w:w="60" w:type="dxa"/>
            <w:tcBorders/>
            <w:shd w:fill="auto" w:val="clear"/>
            <w:vAlign w:val="center"/>
          </w:tcPr>
          <w:p>
            <w:pPr>
              <w:pStyle w:val="TableContents"/>
              <w:spacing w:before="0" w:after="283"/>
              <w:rPr/>
            </w:pPr>
            <w:r>
              <w:rPr/>
              <w:t> </w:t>
            </w:r>
          </w:p>
        </w:tc>
        <w:tc>
          <w:tcPr>
            <w:tcW w:w="815" w:type="dxa"/>
            <w:tcBorders/>
            <w:shd w:fill="auto" w:val="clear"/>
            <w:vAlign w:val="center"/>
          </w:tcPr>
          <w:p>
            <w:pPr>
              <w:pStyle w:val="TableContents"/>
              <w:spacing w:before="0" w:after="283"/>
              <w:rPr/>
            </w:pPr>
            <w:r>
              <w:rPr/>
              <w:t>Director</w:t>
            </w:r>
          </w:p>
        </w:tc>
      </w:tr>
      <w:tr>
        <w:trPr/>
        <w:tc>
          <w:tcPr>
            <w:tcW w:w="3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820" w:type="dxa"/>
            <w:tcBorders/>
            <w:shd w:fill="auto" w:val="clear"/>
            <w:vAlign w:val="center"/>
          </w:tcPr>
          <w:p>
            <w:pPr>
              <w:pStyle w:val="TableContents"/>
              <w:spacing w:before="0" w:after="283"/>
              <w:rPr/>
            </w:pPr>
            <w:r>
              <w:rPr/>
              <w:t>Kevin M. Sheehan</w:t>
            </w:r>
          </w:p>
        </w:tc>
        <w:tc>
          <w:tcPr>
            <w:tcW w:w="60" w:type="dxa"/>
            <w:tcBorders/>
            <w:shd w:fill="auto" w:val="clear"/>
            <w:vAlign w:val="center"/>
          </w:tcPr>
          <w:p>
            <w:pPr>
              <w:pStyle w:val="TableContents"/>
              <w:spacing w:before="0" w:after="283"/>
              <w:rPr/>
            </w:pPr>
            <w:r>
              <w:rPr/>
              <w:t> </w:t>
            </w:r>
          </w:p>
        </w:tc>
        <w:tc>
          <w:tcPr>
            <w:tcW w:w="815" w:type="dxa"/>
            <w:tcBorders/>
            <w:shd w:fill="auto" w:val="clear"/>
            <w:vAlign w:val="center"/>
          </w:tcPr>
          <w:p>
            <w:pPr>
              <w:pStyle w:val="TableContents"/>
              <w:spacing w:before="0" w:after="283"/>
              <w:rPr>
                <w:sz w:val="4"/>
                <w:szCs w:val="4"/>
              </w:rPr>
            </w:pPr>
            <w:r>
              <w:rPr>
                <w:sz w:val="4"/>
                <w:szCs w:val="4"/>
              </w:rPr>
            </w:r>
          </w:p>
        </w:tc>
      </w:tr>
      <w:tr>
        <w:trPr/>
        <w:tc>
          <w:tcPr>
            <w:tcW w:w="380" w:type="dxa"/>
            <w:tcBorders/>
            <w:shd w:fill="auto" w:val="clear"/>
            <w:vAlign w:val="center"/>
          </w:tcPr>
          <w:p>
            <w:pPr>
              <w:pStyle w:val="TableContents"/>
              <w:spacing w:before="0" w:after="283"/>
              <w:rPr>
                <w:sz w:val="4"/>
                <w:szCs w:val="4"/>
              </w:rPr>
            </w:pPr>
            <w:r>
              <w:rPr>
                <w:sz w:val="4"/>
                <w:szCs w:val="4"/>
              </w:rPr>
            </w:r>
          </w:p>
        </w:tc>
        <w:tc>
          <w:tcPr>
            <w:tcW w:w="1880" w:type="dxa"/>
            <w:gridSpan w:val="2"/>
            <w:tcBorders/>
            <w:shd w:fill="auto" w:val="clear"/>
            <w:vAlign w:val="center"/>
          </w:tcPr>
          <w:p>
            <w:pPr>
              <w:pStyle w:val="TableContents"/>
              <w:spacing w:before="0" w:after="283"/>
              <w:rPr>
                <w:sz w:val="4"/>
                <w:szCs w:val="4"/>
              </w:rPr>
            </w:pPr>
            <w:r>
              <w:rPr>
                <w:sz w:val="4"/>
                <w:szCs w:val="4"/>
              </w:rPr>
            </w:r>
          </w:p>
        </w:tc>
        <w:tc>
          <w:tcPr>
            <w:tcW w:w="875" w:type="dxa"/>
            <w:gridSpan w:val="2"/>
            <w:tcBorders/>
            <w:shd w:fill="auto" w:val="clear"/>
            <w:vAlign w:val="center"/>
          </w:tcPr>
          <w:p>
            <w:pPr>
              <w:pStyle w:val="TableContents"/>
              <w:spacing w:before="0" w:after="283"/>
              <w:rPr>
                <w:sz w:val="4"/>
                <w:szCs w:val="4"/>
              </w:rPr>
            </w:pPr>
            <w:r>
              <w:rPr>
                <w:sz w:val="4"/>
                <w:szCs w:val="4"/>
              </w:rPr>
            </w:r>
          </w:p>
        </w:tc>
      </w:tr>
      <w:tr>
        <w:trPr/>
        <w:tc>
          <w:tcPr>
            <w:tcW w:w="380" w:type="dxa"/>
            <w:tcBorders/>
            <w:shd w:fill="auto" w:val="clear"/>
            <w:vAlign w:val="center"/>
          </w:tcPr>
          <w:p>
            <w:pPr>
              <w:pStyle w:val="TableContents"/>
              <w:spacing w:before="0" w:after="283"/>
              <w:rPr/>
            </w:pPr>
            <w:r>
              <w:rPr/>
              <w:t>By:</w:t>
            </w:r>
          </w:p>
        </w:tc>
        <w:tc>
          <w:tcPr>
            <w:tcW w:w="60" w:type="dxa"/>
            <w:tcBorders/>
            <w:shd w:fill="auto" w:val="clear"/>
            <w:vAlign w:val="center"/>
          </w:tcPr>
          <w:p>
            <w:pPr>
              <w:pStyle w:val="TableContents"/>
              <w:spacing w:before="0" w:after="283"/>
              <w:rPr/>
            </w:pPr>
            <w:r>
              <w:rPr/>
              <w:t> </w:t>
            </w:r>
          </w:p>
        </w:tc>
        <w:tc>
          <w:tcPr>
            <w:tcW w:w="1820" w:type="dxa"/>
            <w:tcBorders/>
            <w:shd w:fill="auto" w:val="clear"/>
            <w:vAlign w:val="center"/>
          </w:tcPr>
          <w:p>
            <w:pPr>
              <w:pStyle w:val="TableContents"/>
              <w:spacing w:before="0" w:after="20"/>
              <w:rPr>
                <w:rFonts w:ascii="Times New Roman" w:hAnsi="Times New Roman"/>
                <w:spacing w:val="0"/>
                <w:sz w:val="20"/>
                <w:bdr w:val="single" w:sz="2" w:space="1" w:color="000000"/>
              </w:rPr>
            </w:pPr>
            <w:r>
              <w:rPr>
                <w:rFonts w:ascii="Times New Roman" w:hAnsi="Times New Roman"/>
                <w:spacing w:val="0"/>
                <w:sz w:val="20"/>
                <w:bdr w:val="single" w:sz="2" w:space="1" w:color="000000"/>
              </w:rPr>
              <w:t>/s/ Jennifer Storms</w:t>
            </w:r>
          </w:p>
        </w:tc>
        <w:tc>
          <w:tcPr>
            <w:tcW w:w="60" w:type="dxa"/>
            <w:tcBorders/>
            <w:shd w:fill="auto" w:val="clear"/>
            <w:vAlign w:val="center"/>
          </w:tcPr>
          <w:p>
            <w:pPr>
              <w:pStyle w:val="TableContents"/>
              <w:spacing w:before="0" w:after="283"/>
              <w:rPr/>
            </w:pPr>
            <w:r>
              <w:rPr/>
              <w:t> </w:t>
            </w:r>
          </w:p>
        </w:tc>
        <w:tc>
          <w:tcPr>
            <w:tcW w:w="815" w:type="dxa"/>
            <w:tcBorders/>
            <w:shd w:fill="auto" w:val="clear"/>
            <w:vAlign w:val="center"/>
          </w:tcPr>
          <w:p>
            <w:pPr>
              <w:pStyle w:val="TableContents"/>
              <w:spacing w:before="0" w:after="283"/>
              <w:rPr/>
            </w:pPr>
            <w:r>
              <w:rPr/>
              <w:t>Director</w:t>
            </w:r>
          </w:p>
        </w:tc>
      </w:tr>
      <w:tr>
        <w:trPr/>
        <w:tc>
          <w:tcPr>
            <w:tcW w:w="3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pPr>
            <w:r>
              <w:rPr/>
              <w:t> </w:t>
            </w:r>
          </w:p>
        </w:tc>
        <w:tc>
          <w:tcPr>
            <w:tcW w:w="1820" w:type="dxa"/>
            <w:tcBorders/>
            <w:shd w:fill="auto" w:val="clear"/>
            <w:vAlign w:val="center"/>
          </w:tcPr>
          <w:p>
            <w:pPr>
              <w:pStyle w:val="TableContents"/>
              <w:spacing w:before="0" w:after="283"/>
              <w:rPr/>
            </w:pPr>
            <w:r>
              <w:rPr/>
              <w:t>Jennifer Storms</w:t>
            </w:r>
          </w:p>
        </w:tc>
        <w:tc>
          <w:tcPr>
            <w:tcW w:w="60" w:type="dxa"/>
            <w:tcBorders/>
            <w:shd w:fill="auto" w:val="clear"/>
            <w:vAlign w:val="center"/>
          </w:tcPr>
          <w:p>
            <w:pPr>
              <w:pStyle w:val="TableContents"/>
              <w:spacing w:before="0" w:after="283"/>
              <w:rPr/>
            </w:pPr>
            <w:r>
              <w:rPr/>
              <w:t> </w:t>
            </w:r>
          </w:p>
        </w:tc>
        <w:tc>
          <w:tcPr>
            <w:tcW w:w="815"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59 </w:t>
      </w:r>
    </w:p>
    <w:p>
      <w:pPr>
        <w:pStyle w:val="HorizontalLine"/>
        <w:rPr/>
      </w:pPr>
      <w:r>
        <w:rPr/>
      </w:r>
    </w:p>
    <w:p>
      <w:pPr>
        <w:pStyle w:val="TextBody"/>
        <w:spacing w:before="0" w:after="0"/>
        <w:rPr/>
      </w:pPr>
      <w:hyperlink w:anchor="toc">
        <w:r>
          <w:rPr>
            <w:rStyle w:val="InternetLink"/>
            <w:b/>
            <w:sz w:val="20"/>
          </w:rPr>
          <w:t>Table of Contents</w:t>
        </w:r>
      </w:hyperlink>
    </w:p>
    <w:p>
      <w:pPr>
        <w:pStyle w:val="TextBody"/>
        <w:spacing w:before="0" w:after="0"/>
        <w:jc w:val="center"/>
        <w:rPr>
          <w:rFonts w:ascii="Times New Roman" w:hAnsi="Times New Roman"/>
          <w:b/>
          <w:spacing w:val="0"/>
          <w:sz w:val="20"/>
        </w:rPr>
      </w:pPr>
      <w:r>
        <w:rPr>
          <w:rFonts w:ascii="Times New Roman" w:hAnsi="Times New Roman"/>
          <w:b/>
          <w:spacing w:val="0"/>
          <w:sz w:val="20"/>
        </w:rPr>
        <w:t xml:space="preserve">Report of Independent Registered Public Accounting Firm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To the Stockholders and Board of Directors </w:t>
      </w:r>
    </w:p>
    <w:p>
      <w:pPr>
        <w:pStyle w:val="TextBody"/>
        <w:spacing w:before="0" w:after="0"/>
        <w:jc w:val="left"/>
        <w:rPr>
          <w:rFonts w:ascii="Times New Roman" w:hAnsi="Times New Roman"/>
          <w:spacing w:val="0"/>
          <w:sz w:val="20"/>
        </w:rPr>
      </w:pPr>
      <w:r>
        <w:rPr>
          <w:rFonts w:ascii="Times New Roman" w:hAnsi="Times New Roman"/>
          <w:spacing w:val="0"/>
          <w:sz w:val="20"/>
        </w:rPr>
        <w:t xml:space="preserve">Dave &amp; Buster’s Entertainment, Inc.: </w:t>
      </w:r>
    </w:p>
    <w:p>
      <w:pPr>
        <w:pStyle w:val="TextBody"/>
        <w:spacing w:before="12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Opinion on Internal Control Over Financial Reporting </w:t>
      </w:r>
    </w:p>
    <w:p>
      <w:pPr>
        <w:pStyle w:val="TextBody"/>
        <w:spacing w:before="120" w:after="0"/>
        <w:jc w:val="left"/>
        <w:rPr>
          <w:rFonts w:ascii="Times New Roman" w:hAnsi="Times New Roman"/>
          <w:sz w:val="20"/>
        </w:rPr>
      </w:pPr>
      <w:r>
        <w:rPr>
          <w:rFonts w:ascii="Times New Roman" w:hAnsi="Times New Roman"/>
          <w:sz w:val="20"/>
        </w:rPr>
        <w:t xml:space="preserve">We have audited Dave &amp; Buster’s Entertainment, Inc.’s and subsidiaries’ (the Company) internal control over financial reporting as of January 31, 2021, based on criteria established in </w:t>
      </w:r>
    </w:p>
    <w:p>
      <w:pPr>
        <w:pStyle w:val="TextBody"/>
        <w:spacing w:before="12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Internal Control – Integrated Framework (2013)</w:t>
      </w:r>
    </w:p>
    <w:p>
      <w:pPr>
        <w:pStyle w:val="TextBody"/>
        <w:spacing w:before="120" w:after="0"/>
        <w:jc w:val="left"/>
        <w:rPr/>
      </w:pPr>
      <w:r>
        <w:rPr/>
        <w:t> </w:t>
      </w:r>
      <w:r>
        <w:rPr>
          <w:rFonts w:ascii="Times New Roman" w:hAnsi="Times New Roman"/>
          <w:sz w:val="20"/>
        </w:rPr>
        <w:t xml:space="preserve">issued by the Committee of Sponsoring Organizations of the Treadway Commission. In our opinion, the Company maintained, in all material respects, effective internal control over financial reporting as of January 31, 2021, based on criteria established in </w:t>
      </w:r>
    </w:p>
    <w:p>
      <w:pPr>
        <w:pStyle w:val="TextBody"/>
        <w:spacing w:before="12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Internal Control – Integrated Framework (2013)</w:t>
      </w:r>
    </w:p>
    <w:p>
      <w:pPr>
        <w:pStyle w:val="TextBody"/>
        <w:spacing w:before="120" w:after="0"/>
        <w:jc w:val="left"/>
        <w:rPr/>
      </w:pPr>
      <w:r>
        <w:rPr/>
        <w:t> </w:t>
      </w:r>
      <w:r>
        <w:rPr>
          <w:rFonts w:ascii="Times New Roman" w:hAnsi="Times New Roman"/>
          <w:sz w:val="20"/>
        </w:rPr>
        <w:t xml:space="preserve">issued by the Committee of Sponsoring Organizations of the Treadway Commission.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We also have audited, in accordance with the standards of the Public Company Accounting Oversight Board (United States) (PCAOB), the consolidated balance sheets of the Company as January 31, 2021 and February 2, 2020, the related consolidated statements of comprehensive income (loss), stockholders’ equity, and cash flows for each of the fiscal years in the three-year period ended January 31, 2021 and the related notes (collectively, the consolidated financial statements), and our report dated March 31, 2021 expressed an unqualified opinion on those consolidated financial statements. </w:t>
      </w:r>
    </w:p>
    <w:p>
      <w:pPr>
        <w:pStyle w:val="TextBody"/>
        <w:spacing w:before="36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Basis for Opinion </w:t>
      </w:r>
    </w:p>
    <w:p>
      <w:pPr>
        <w:pStyle w:val="TextBody"/>
        <w:spacing w:before="120" w:after="0"/>
        <w:jc w:val="left"/>
        <w:rPr>
          <w:rFonts w:ascii="Times New Roman" w:hAnsi="Times New Roman"/>
          <w:sz w:val="20"/>
        </w:rPr>
      </w:pPr>
      <w:r>
        <w:rPr>
          <w:rFonts w:ascii="Times New Roman" w:hAnsi="Times New Roman"/>
          <w:sz w:val="20"/>
        </w:rPr>
        <w:t xml:space="preserve">The Company’s management is responsible for maintaining effective internal control over financial reporting and for its assessment of the effectiveness of internal control over financial reporting, included in the accompanying </w:t>
      </w:r>
    </w:p>
    <w:p>
      <w:pPr>
        <w:pStyle w:val="TextBody"/>
        <w:spacing w:before="12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Management’s Report on Internal Control over Financial Reporting</w:t>
      </w:r>
    </w:p>
    <w:p>
      <w:pPr>
        <w:pStyle w:val="TextBody"/>
        <w:spacing w:before="120" w:after="0"/>
        <w:jc w:val="left"/>
        <w:rPr>
          <w:rFonts w:ascii="Times New Roman" w:hAnsi="Times New Roman"/>
          <w:sz w:val="20"/>
        </w:rPr>
      </w:pPr>
      <w:r>
        <w:rPr>
          <w:rFonts w:ascii="Times New Roman" w:hAnsi="Times New Roman"/>
          <w:sz w:val="20"/>
        </w:rPr>
        <w:t xml:space="preserve">.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 </w:t>
      </w:r>
    </w:p>
    <w:p>
      <w:pPr>
        <w:pStyle w:val="TextBody"/>
        <w:spacing w:before="36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Definition and Limitations of Internal Control Over Financial Reporting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/s/ KPMG LLP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Dallas, Texas </w:t>
      </w:r>
    </w:p>
    <w:p>
      <w:pPr>
        <w:pStyle w:val="TextBody"/>
        <w:spacing w:before="0" w:after="0"/>
        <w:jc w:val="left"/>
        <w:rPr>
          <w:rFonts w:ascii="Times New Roman" w:hAnsi="Times New Roman"/>
          <w:spacing w:val="0"/>
          <w:sz w:val="20"/>
        </w:rPr>
      </w:pPr>
      <w:r>
        <w:rPr>
          <w:rFonts w:ascii="Times New Roman" w:hAnsi="Times New Roman"/>
          <w:spacing w:val="0"/>
          <w:sz w:val="20"/>
        </w:rPr>
        <w:t xml:space="preserve">March 31, 2021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F-1 </w:t>
      </w:r>
    </w:p>
    <w:p>
      <w:pPr>
        <w:pStyle w:val="HorizontalLine"/>
        <w:rPr/>
      </w:pPr>
      <w:r>
        <w:rPr/>
      </w:r>
    </w:p>
    <w:p>
      <w:pPr>
        <w:pStyle w:val="TextBody"/>
        <w:spacing w:before="0" w:after="0"/>
        <w:rPr/>
      </w:pPr>
      <w:hyperlink w:anchor="toc">
        <w:r>
          <w:rPr>
            <w:rStyle w:val="InternetLink"/>
            <w:b/>
            <w:sz w:val="20"/>
          </w:rPr>
          <w:t>Table of Contents</w:t>
        </w:r>
      </w:hyperlink>
    </w:p>
    <w:p>
      <w:pPr>
        <w:pStyle w:val="TextBody"/>
        <w:spacing w:before="0" w:after="0"/>
        <w:jc w:val="center"/>
        <w:rPr>
          <w:rFonts w:ascii="Times New Roman" w:hAnsi="Times New Roman"/>
          <w:b/>
          <w:spacing w:val="0"/>
          <w:sz w:val="20"/>
        </w:rPr>
      </w:pPr>
      <w:r>
        <w:rPr>
          <w:rFonts w:ascii="Times New Roman" w:hAnsi="Times New Roman"/>
          <w:b/>
          <w:spacing w:val="0"/>
          <w:sz w:val="20"/>
        </w:rPr>
        <w:t xml:space="preserve">Report of Independent Registered Public Accounting Firm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To the Stockholders and Board of Directors </w:t>
      </w:r>
    </w:p>
    <w:p>
      <w:pPr>
        <w:pStyle w:val="TextBody"/>
        <w:spacing w:before="0" w:after="0"/>
        <w:jc w:val="left"/>
        <w:rPr>
          <w:rFonts w:ascii="Times New Roman" w:hAnsi="Times New Roman"/>
          <w:spacing w:val="0"/>
          <w:sz w:val="20"/>
        </w:rPr>
      </w:pPr>
      <w:r>
        <w:rPr>
          <w:rFonts w:ascii="Times New Roman" w:hAnsi="Times New Roman"/>
          <w:spacing w:val="0"/>
          <w:sz w:val="20"/>
        </w:rPr>
        <w:t xml:space="preserve">Dave &amp; Buster’s Entertainment, Inc.: </w:t>
      </w:r>
    </w:p>
    <w:p>
      <w:pPr>
        <w:pStyle w:val="TextBody"/>
        <w:spacing w:before="24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Opinion on the Consolidated Financial Statements </w:t>
      </w:r>
    </w:p>
    <w:p>
      <w:pPr>
        <w:pStyle w:val="TextBody"/>
        <w:spacing w:before="120" w:after="0"/>
        <w:jc w:val="left"/>
        <w:rPr>
          <w:rFonts w:ascii="Times New Roman" w:hAnsi="Times New Roman"/>
          <w:sz w:val="20"/>
        </w:rPr>
      </w:pPr>
      <w:r>
        <w:rPr>
          <w:rFonts w:ascii="Times New Roman" w:hAnsi="Times New Roman"/>
          <w:sz w:val="20"/>
        </w:rPr>
        <w:t xml:space="preserve">We have audited the accompanying consolidated balance sheets of Dave &amp; Buster’s Entertainment, Inc. and subsidiaries (the Company) as of January 31, 2021 and February 2, 2020, the related consolidated statements of comprehensive income (loss), stockholders’ equity, and cash flows for each of the fiscal years in the </w:t>
      </w:r>
    </w:p>
    <w:p>
      <w:pPr>
        <w:pStyle w:val="TextBody"/>
        <w:spacing w:before="120" w:after="0"/>
        <w:jc w:val="left"/>
        <w:rPr>
          <w:rFonts w:ascii="Times New Roman" w:hAnsi="Times New Roman"/>
          <w:spacing w:val="0"/>
          <w:sz w:val="20"/>
        </w:rPr>
      </w:pPr>
      <w:r>
        <w:rPr>
          <w:rFonts w:ascii="Times New Roman" w:hAnsi="Times New Roman"/>
          <w:spacing w:val="0"/>
          <w:sz w:val="20"/>
        </w:rPr>
        <w:t>three-year</w:t>
      </w:r>
    </w:p>
    <w:p>
      <w:pPr>
        <w:pStyle w:val="TextBody"/>
        <w:spacing w:before="120" w:after="0"/>
        <w:jc w:val="left"/>
        <w:rPr>
          <w:rFonts w:ascii="Times New Roman" w:hAnsi="Times New Roman"/>
          <w:sz w:val="20"/>
        </w:rPr>
      </w:pPr>
      <w:r>
        <w:rPr>
          <w:rFonts w:ascii="Times New Roman" w:hAnsi="Times New Roman"/>
          <w:sz w:val="20"/>
        </w:rPr>
        <w:t xml:space="preserve">period ended January 31, 2021, and the related notes (collectively, the consolidated financial statements). In our opinion, the consolidated financial statements present fairly, in all material respects, the financial position of the Company as of January 31, 2021 and February 2, 2020, and the results of its operations and its cash flows for each of the fiscal years in the </w:t>
      </w:r>
    </w:p>
    <w:p>
      <w:pPr>
        <w:pStyle w:val="TextBody"/>
        <w:spacing w:before="120" w:after="0"/>
        <w:jc w:val="left"/>
        <w:rPr>
          <w:rFonts w:ascii="Times New Roman" w:hAnsi="Times New Roman"/>
          <w:spacing w:val="0"/>
          <w:sz w:val="20"/>
        </w:rPr>
      </w:pPr>
      <w:r>
        <w:rPr>
          <w:rFonts w:ascii="Times New Roman" w:hAnsi="Times New Roman"/>
          <w:spacing w:val="0"/>
          <w:sz w:val="20"/>
        </w:rPr>
        <w:t>three-year</w:t>
      </w:r>
    </w:p>
    <w:p>
      <w:pPr>
        <w:pStyle w:val="TextBody"/>
        <w:spacing w:before="120" w:after="0"/>
        <w:jc w:val="left"/>
        <w:rPr>
          <w:rFonts w:ascii="Times New Roman" w:hAnsi="Times New Roman"/>
          <w:sz w:val="20"/>
        </w:rPr>
      </w:pPr>
      <w:r>
        <w:rPr>
          <w:rFonts w:ascii="Times New Roman" w:hAnsi="Times New Roman"/>
          <w:sz w:val="20"/>
        </w:rPr>
        <w:t xml:space="preserve">period ended January 31, 2021, in conformity with U.S. generally accepted accounting principles. </w:t>
      </w:r>
    </w:p>
    <w:p>
      <w:pPr>
        <w:pStyle w:val="TextBody"/>
        <w:spacing w:before="240" w:after="0"/>
        <w:jc w:val="left"/>
        <w:rPr>
          <w:rFonts w:ascii="Times New Roman" w:hAnsi="Times New Roman"/>
          <w:sz w:val="20"/>
        </w:rPr>
      </w:pPr>
      <w:r>
        <w:rPr>
          <w:rFonts w:ascii="Times New Roman" w:hAnsi="Times New Roman"/>
          <w:sz w:val="20"/>
        </w:rPr>
        <w:t xml:space="preserve">We also have audited, in accordance with the standards of the Public Company Accounting Oversight Board (United States) (PCAOB), the Company’s internal control over financial reporting as of January 31, 2021, based on criteria established in </w:t>
      </w:r>
    </w:p>
    <w:p>
      <w:pPr>
        <w:pStyle w:val="TextBody"/>
        <w:spacing w:before="24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Internal Control – Integrated Framework (2013)</w:t>
      </w:r>
    </w:p>
    <w:p>
      <w:pPr>
        <w:pStyle w:val="TextBody"/>
        <w:spacing w:before="240" w:after="0"/>
        <w:jc w:val="left"/>
        <w:rPr/>
      </w:pPr>
      <w:r>
        <w:rPr/>
        <w:t> </w:t>
      </w:r>
      <w:r>
        <w:rPr>
          <w:rFonts w:ascii="Times New Roman" w:hAnsi="Times New Roman"/>
          <w:sz w:val="20"/>
        </w:rPr>
        <w:t xml:space="preserve">issued by the Committee of Sponsoring Organizations of the Treadway Commission, and our report dated March 31, 2021 expressed an unqualified opinion on the effectiveness of the Company’s internal control over financial reporting. </w:t>
      </w:r>
    </w:p>
    <w:p>
      <w:pPr>
        <w:pStyle w:val="TextBody"/>
        <w:spacing w:before="36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Change in Accounting Principle </w:t>
      </w:r>
    </w:p>
    <w:p>
      <w:pPr>
        <w:pStyle w:val="TextBody"/>
        <w:spacing w:before="120" w:after="0"/>
        <w:jc w:val="left"/>
        <w:rPr>
          <w:rFonts w:ascii="Times New Roman" w:hAnsi="Times New Roman"/>
          <w:sz w:val="20"/>
        </w:rPr>
      </w:pPr>
      <w:r>
        <w:rPr>
          <w:rFonts w:ascii="Times New Roman" w:hAnsi="Times New Roman"/>
          <w:sz w:val="20"/>
        </w:rPr>
        <w:t xml:space="preserve">As discussed in Note 1 to the consolidated financial statements, the Company has changed its method of accounting for leasing transactions as of February 4, 2019 due to the adoption of Accounting Standards Update </w:t>
      </w:r>
    </w:p>
    <w:p>
      <w:pPr>
        <w:pStyle w:val="TextBody"/>
        <w:spacing w:before="120" w:after="0"/>
        <w:jc w:val="left"/>
        <w:rPr>
          <w:rFonts w:ascii="Times New Roman" w:hAnsi="Times New Roman"/>
          <w:spacing w:val="0"/>
          <w:sz w:val="20"/>
        </w:rPr>
      </w:pPr>
      <w:r>
        <w:rPr>
          <w:rFonts w:ascii="Times New Roman" w:hAnsi="Times New Roman"/>
          <w:spacing w:val="0"/>
          <w:sz w:val="20"/>
        </w:rPr>
        <w:t>2016-02,</w:t>
      </w:r>
    </w:p>
    <w:p>
      <w:pPr>
        <w:pStyle w:val="TextBody"/>
        <w:spacing w:before="12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Leases (Topic 842)</w:t>
      </w:r>
    </w:p>
    <w:p>
      <w:pPr>
        <w:pStyle w:val="TextBody"/>
        <w:spacing w:before="120" w:after="0"/>
        <w:jc w:val="left"/>
        <w:rPr>
          <w:rFonts w:ascii="Times New Roman" w:hAnsi="Times New Roman"/>
          <w:sz w:val="20"/>
        </w:rPr>
      </w:pPr>
      <w:r>
        <w:rPr>
          <w:rFonts w:ascii="Times New Roman" w:hAnsi="Times New Roman"/>
          <w:sz w:val="20"/>
        </w:rPr>
        <w:t xml:space="preserve">. </w:t>
      </w:r>
    </w:p>
    <w:p>
      <w:pPr>
        <w:pStyle w:val="TextBody"/>
        <w:spacing w:before="36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Basis for Opinion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These consolidated financial statements are the responsibility of the Company’s management. Our responsibility is to express an opinion on these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 </w:t>
      </w:r>
    </w:p>
    <w:p>
      <w:pPr>
        <w:pStyle w:val="TextBody"/>
        <w:spacing w:before="24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Critical Audit Matters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The critical audit matters communicated below are matters arising from the current period audit of the consolidated financial statements that were communicated or required to be communicated to the audit committee and that: (1) relate to accounts or disclosures that are material to the consolidated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 </w:t>
      </w:r>
    </w:p>
    <w:p>
      <w:pPr>
        <w:pStyle w:val="TextBody"/>
        <w:spacing w:before="24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Deferred amusement revenue for unused game play credits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As discussed in Notes 1 and 4 to the consolidated financial statements, the Company defers a portion of amusement revenues for the estimated unfulfilled performance obligations related to unused game play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F-2 </w:t>
      </w:r>
    </w:p>
    <w:p>
      <w:pPr>
        <w:pStyle w:val="HorizontalLine"/>
        <w:rPr/>
      </w:pPr>
      <w:r>
        <w:rPr/>
      </w:r>
    </w:p>
    <w:p>
      <w:pPr>
        <w:pStyle w:val="TextBody"/>
        <w:spacing w:before="0" w:after="0"/>
        <w:rPr/>
      </w:pPr>
      <w:hyperlink w:anchor="toc">
        <w:r>
          <w:rPr>
            <w:rStyle w:val="InternetLink"/>
            <w:b/>
            <w:sz w:val="20"/>
          </w:rPr>
          <w:t>Table of Contents</w:t>
        </w:r>
      </w:hyperlink>
    </w:p>
    <w:p>
      <w:pPr>
        <w:pStyle w:val="TextBody"/>
        <w:spacing w:before="0" w:after="0"/>
        <w:jc w:val="left"/>
        <w:rPr>
          <w:rFonts w:ascii="Times New Roman" w:hAnsi="Times New Roman"/>
          <w:spacing w:val="0"/>
          <w:sz w:val="20"/>
        </w:rPr>
      </w:pPr>
      <w:r>
        <w:rPr>
          <w:rFonts w:ascii="Times New Roman" w:hAnsi="Times New Roman"/>
          <w:spacing w:val="0"/>
          <w:sz w:val="20"/>
        </w:rPr>
        <w:t xml:space="preserve">credits which they believe their customers will utilize in the future. The Company recorded deferred amusement revenue of $78.9 million as of January 31, 2021, which is included in accrued liabilities on the consolidated balance sheet and disclosed as deferred amusement revenue. This balance includes deferred revenue related to unused game play credits. The deferral is based on an estimated rate of future use by customers. The Company applies judgment to determine the estimated rate of future use by customers using information about game play credits outstanding and historical customer utilization patterns. </w:t>
      </w:r>
    </w:p>
    <w:p>
      <w:pPr>
        <w:pStyle w:val="TextBody"/>
        <w:spacing w:before="120" w:after="0"/>
        <w:jc w:val="left"/>
        <w:rPr>
          <w:rFonts w:ascii="Times New Roman" w:hAnsi="Times New Roman"/>
          <w:sz w:val="20"/>
        </w:rPr>
      </w:pPr>
      <w:r>
        <w:rPr>
          <w:rFonts w:ascii="Times New Roman" w:hAnsi="Times New Roman"/>
          <w:sz w:val="20"/>
        </w:rPr>
        <w:t xml:space="preserve">We identified the evaluation of the estimated rate of future use assumption used to determine deferred amusement revenue for unused game play credits as a critical audit matter. Subjective auditor judgment was required to evaluate the effect of historical customer usage patterns on the estimated rate of future use assumption, including consideration of the impacts of customer usage patterns during the </w:t>
      </w:r>
    </w:p>
    <w:p>
      <w:pPr>
        <w:pStyle w:val="TextBody"/>
        <w:spacing w:before="120" w:after="0"/>
        <w:jc w:val="left"/>
        <w:rPr>
          <w:rFonts w:ascii="Times New Roman" w:hAnsi="Times New Roman"/>
          <w:spacing w:val="0"/>
          <w:sz w:val="20"/>
        </w:rPr>
      </w:pPr>
      <w:r>
        <w:rPr>
          <w:rFonts w:ascii="Times New Roman" w:hAnsi="Times New Roman"/>
          <w:spacing w:val="0"/>
          <w:sz w:val="20"/>
        </w:rPr>
        <w:t>COVID-19</w:t>
      </w:r>
    </w:p>
    <w:p>
      <w:pPr>
        <w:pStyle w:val="TextBody"/>
        <w:spacing w:before="120" w:after="0"/>
        <w:jc w:val="left"/>
        <w:rPr>
          <w:rFonts w:ascii="Times New Roman" w:hAnsi="Times New Roman"/>
          <w:sz w:val="20"/>
        </w:rPr>
      </w:pPr>
      <w:r>
        <w:rPr>
          <w:rFonts w:ascii="Times New Roman" w:hAnsi="Times New Roman"/>
          <w:sz w:val="20"/>
        </w:rPr>
        <w:t xml:space="preserve">pandemic on management’s assumption. </w:t>
      </w:r>
    </w:p>
    <w:p>
      <w:pPr>
        <w:pStyle w:val="TextBody"/>
        <w:spacing w:before="120" w:after="0"/>
        <w:jc w:val="left"/>
        <w:rPr>
          <w:rFonts w:ascii="Times New Roman" w:hAnsi="Times New Roman"/>
          <w:sz w:val="20"/>
        </w:rPr>
      </w:pPr>
      <w:r>
        <w:rPr>
          <w:rFonts w:ascii="Times New Roman" w:hAnsi="Times New Roman"/>
          <w:sz w:val="20"/>
        </w:rPr>
        <w:t xml:space="preserve">The following are the primary procedures we performed to address this critical audit matter. We evaluated the design and tested the operating effectiveness of certain internal controls over the Company’s deferred amusement revenue process, including controls related to the development of the estimated rate of future use assumption. We evaluated historical periods’ game play credit activity for indication of significant changes in customer behavior and to determine whether changes in the historical activity were consistent with changes in the Company’s business that impact the estimated rate of future usage assumption, including changes in customer usage patterns during the </w:t>
      </w:r>
    </w:p>
    <w:p>
      <w:pPr>
        <w:pStyle w:val="TextBody"/>
        <w:spacing w:before="120" w:after="0"/>
        <w:jc w:val="left"/>
        <w:rPr>
          <w:rFonts w:ascii="Times New Roman" w:hAnsi="Times New Roman"/>
          <w:spacing w:val="0"/>
          <w:sz w:val="20"/>
        </w:rPr>
      </w:pPr>
      <w:r>
        <w:rPr>
          <w:rFonts w:ascii="Times New Roman" w:hAnsi="Times New Roman"/>
          <w:spacing w:val="0"/>
          <w:sz w:val="20"/>
        </w:rPr>
        <w:t>COVID-19</w:t>
      </w:r>
    </w:p>
    <w:p>
      <w:pPr>
        <w:pStyle w:val="TextBody"/>
        <w:spacing w:before="120" w:after="0"/>
        <w:jc w:val="left"/>
        <w:rPr>
          <w:rFonts w:ascii="Times New Roman" w:hAnsi="Times New Roman"/>
          <w:sz w:val="20"/>
        </w:rPr>
      </w:pPr>
      <w:r>
        <w:rPr>
          <w:rFonts w:ascii="Times New Roman" w:hAnsi="Times New Roman"/>
          <w:sz w:val="20"/>
        </w:rPr>
        <w:t xml:space="preserve">pandemic. We compared trends of customers’ historical use patterns to the Company’s estimated rate of future use assumption. We assessed the outstanding game play credit data utilized by the Company to derive the estimated rate of future use assumption by comparing it to relevant underlying documentation. </w:t>
      </w:r>
    </w:p>
    <w:p>
      <w:pPr>
        <w:pStyle w:val="TextBody"/>
        <w:spacing w:before="36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Deferred amusement revenue for unredeemed tickets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As discussed in Notes 1 and 4 to the consolidated financial statements, the Company defers a portion of amusement revenue for the material right provided to customers to redeem tickets in the future for prizes. The Company recorded deferred amusement revenue of $78.9 million as of January 31, 2021, which is included in accrued liabilities on the consolidated balance sheet and disclosed as deferred amusement revenue. This balance includes deferred revenue related to the material right to redeem tickets in the future. The deferral is based on an estimated redemption rate of outstanding tickets that will be redeemed in subsequent periods. The Company applies judgment to determine the redemption rate assumption using information about tickets outstanding and historical customer utilization patterns. </w:t>
      </w:r>
    </w:p>
    <w:p>
      <w:pPr>
        <w:pStyle w:val="TextBody"/>
        <w:spacing w:before="120" w:after="0"/>
        <w:jc w:val="left"/>
        <w:rPr>
          <w:rFonts w:ascii="Times New Roman" w:hAnsi="Times New Roman"/>
          <w:sz w:val="20"/>
        </w:rPr>
      </w:pPr>
      <w:r>
        <w:rPr>
          <w:rFonts w:ascii="Times New Roman" w:hAnsi="Times New Roman"/>
          <w:sz w:val="20"/>
        </w:rPr>
        <w:t xml:space="preserve">We identified the evaluation of the estimated redemption rate assumption used to determine deferred amusement revenue for unredeemed tickets as a critical audit matter. Subjective auditor judgment was required to evaluate the effect of historical customer usage patterns on the estimated rate of future use assumption, including consideration of the impacts of customer usage patterns during the </w:t>
      </w:r>
    </w:p>
    <w:p>
      <w:pPr>
        <w:pStyle w:val="TextBody"/>
        <w:spacing w:before="120" w:after="0"/>
        <w:jc w:val="left"/>
        <w:rPr>
          <w:rFonts w:ascii="Times New Roman" w:hAnsi="Times New Roman"/>
          <w:spacing w:val="0"/>
          <w:sz w:val="20"/>
        </w:rPr>
      </w:pPr>
      <w:r>
        <w:rPr>
          <w:rFonts w:ascii="Times New Roman" w:hAnsi="Times New Roman"/>
          <w:spacing w:val="0"/>
          <w:sz w:val="20"/>
        </w:rPr>
        <w:t>COVID-19</w:t>
      </w:r>
    </w:p>
    <w:p>
      <w:pPr>
        <w:pStyle w:val="TextBody"/>
        <w:spacing w:before="120" w:after="0"/>
        <w:jc w:val="left"/>
        <w:rPr>
          <w:rFonts w:ascii="Times New Roman" w:hAnsi="Times New Roman"/>
          <w:sz w:val="20"/>
        </w:rPr>
      </w:pPr>
      <w:r>
        <w:rPr>
          <w:rFonts w:ascii="Times New Roman" w:hAnsi="Times New Roman"/>
          <w:sz w:val="20"/>
        </w:rPr>
        <w:t xml:space="preserve">pandemic on management’s assumption. </w:t>
      </w:r>
    </w:p>
    <w:p>
      <w:pPr>
        <w:pStyle w:val="TextBody"/>
        <w:spacing w:before="120" w:after="0"/>
        <w:jc w:val="left"/>
        <w:rPr>
          <w:rFonts w:ascii="Times New Roman" w:hAnsi="Times New Roman"/>
          <w:sz w:val="20"/>
        </w:rPr>
      </w:pPr>
      <w:r>
        <w:rPr>
          <w:rFonts w:ascii="Times New Roman" w:hAnsi="Times New Roman"/>
          <w:sz w:val="20"/>
        </w:rPr>
        <w:t xml:space="preserve">The following are the primary procedures we performed to address this critical audit matter. We evaluated the design and tested the operating effectiveness of certain internal controls over the Company’s deferred amusement revenue process, including controls related to the development of the redemption rate assumption. We evaluated historical periods’ ticket redemption activity for indication of significant changes in customer behavior and to determine whether changes in the historical activity were consistent with changes in the Company’s business that impact the estimated redemption rate assumption, including changes in customer redemption patterns during the </w:t>
      </w:r>
    </w:p>
    <w:p>
      <w:pPr>
        <w:pStyle w:val="TextBody"/>
        <w:spacing w:before="120" w:after="0"/>
        <w:jc w:val="left"/>
        <w:rPr>
          <w:rFonts w:ascii="Times New Roman" w:hAnsi="Times New Roman"/>
          <w:spacing w:val="0"/>
          <w:sz w:val="20"/>
        </w:rPr>
      </w:pPr>
      <w:r>
        <w:rPr>
          <w:rFonts w:ascii="Times New Roman" w:hAnsi="Times New Roman"/>
          <w:spacing w:val="0"/>
          <w:sz w:val="20"/>
        </w:rPr>
        <w:t>COVID-19</w:t>
      </w:r>
    </w:p>
    <w:p>
      <w:pPr>
        <w:pStyle w:val="TextBody"/>
        <w:spacing w:before="120" w:after="0"/>
        <w:jc w:val="left"/>
        <w:rPr>
          <w:rFonts w:ascii="Times New Roman" w:hAnsi="Times New Roman"/>
          <w:sz w:val="20"/>
        </w:rPr>
      </w:pPr>
      <w:r>
        <w:rPr>
          <w:rFonts w:ascii="Times New Roman" w:hAnsi="Times New Roman"/>
          <w:sz w:val="20"/>
        </w:rPr>
        <w:t xml:space="preserve">pandemic. We compared trends of customers’ historical redemption patterns to the Company’s estimated redemption rate assumption. We assessed the outstanding ticket data utilized by the Company to derive the redemption rate assumption by comparing it to relevant underlying documentation.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/s/ KPMG LLP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We have served as the Company’s auditor since 2010.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Dallas, Texas </w:t>
      </w:r>
    </w:p>
    <w:p>
      <w:pPr>
        <w:pStyle w:val="TextBody"/>
        <w:spacing w:before="0" w:after="0"/>
        <w:jc w:val="left"/>
        <w:rPr>
          <w:rFonts w:ascii="Times New Roman" w:hAnsi="Times New Roman"/>
          <w:spacing w:val="0"/>
          <w:sz w:val="20"/>
        </w:rPr>
      </w:pPr>
      <w:r>
        <w:rPr>
          <w:rFonts w:ascii="Times New Roman" w:hAnsi="Times New Roman"/>
          <w:spacing w:val="0"/>
          <w:sz w:val="20"/>
        </w:rPr>
        <w:t xml:space="preserve">March 31, 2021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F-3 </w:t>
      </w:r>
    </w:p>
    <w:p>
      <w:pPr>
        <w:pStyle w:val="HorizontalLine"/>
        <w:rPr/>
      </w:pPr>
      <w:r>
        <w:rPr/>
      </w:r>
    </w:p>
    <w:p>
      <w:pPr>
        <w:pStyle w:val="TextBody"/>
        <w:spacing w:before="0" w:after="0"/>
        <w:rPr/>
      </w:pPr>
      <w:hyperlink w:anchor="toc">
        <w:r>
          <w:rPr>
            <w:rStyle w:val="InternetLink"/>
            <w:b/>
            <w:sz w:val="20"/>
          </w:rPr>
          <w:t>Table of Contents</w:t>
        </w:r>
      </w:hyperlink>
    </w:p>
    <w:p>
      <w:pPr>
        <w:pStyle w:val="TextBody"/>
        <w:spacing w:before="0" w:after="0"/>
        <w:jc w:val="center"/>
        <w:rPr>
          <w:rFonts w:ascii="Times New Roman" w:hAnsi="Times New Roman"/>
          <w:b/>
          <w:spacing w:val="0"/>
          <w:sz w:val="20"/>
        </w:rPr>
      </w:pPr>
      <w:r>
        <w:rPr>
          <w:rFonts w:ascii="Times New Roman" w:hAnsi="Times New Roman"/>
          <w:b/>
          <w:spacing w:val="0"/>
          <w:sz w:val="20"/>
        </w:rPr>
        <w:t xml:space="preserve">DAVE &amp; BUSTER’S ENTERTAINMENT, INC. </w:t>
      </w:r>
    </w:p>
    <w:p>
      <w:pPr>
        <w:pStyle w:val="TextBody"/>
        <w:spacing w:before="120" w:after="0"/>
        <w:jc w:val="center"/>
        <w:rPr>
          <w:rFonts w:ascii="Times New Roman" w:hAnsi="Times New Roman"/>
          <w:b/>
          <w:spacing w:val="0"/>
          <w:sz w:val="20"/>
        </w:rPr>
      </w:pPr>
      <w:r>
        <w:rPr>
          <w:rFonts w:ascii="Times New Roman" w:hAnsi="Times New Roman"/>
          <w:b/>
          <w:spacing w:val="0"/>
          <w:sz w:val="20"/>
        </w:rPr>
        <w:t xml:space="preserve">CONSOLIDATED BALANCE SHEETS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(in thousands, except share and per share amounts) </w:t>
      </w:r>
    </w:p>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7460"/>
        <w:gridCol w:w="120"/>
        <w:gridCol w:w="140"/>
        <w:gridCol w:w="980"/>
        <w:gridCol w:w="155"/>
        <w:gridCol w:w="60"/>
        <w:gridCol w:w="140"/>
        <w:gridCol w:w="980"/>
        <w:gridCol w:w="170"/>
      </w:tblGrid>
      <w:tr>
        <w:trPr/>
        <w:tc>
          <w:tcPr>
            <w:tcW w:w="74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r>
      <w:tr>
        <w:trPr/>
        <w:tc>
          <w:tcPr>
            <w:tcW w:w="7460" w:type="dxa"/>
            <w:tcBorders/>
            <w:shd w:fill="auto" w:val="clear"/>
            <w:vAlign w:val="center"/>
          </w:tcPr>
          <w:p>
            <w:pPr>
              <w:pStyle w:val="TableContents"/>
              <w:spacing w:lineRule="atLeast" w:line="160" w:before="0" w:after="0"/>
              <w:rPr>
                <w:spacing w:val="0"/>
              </w:rPr>
            </w:pPr>
            <w:r>
              <w:rPr>
                <w:spacing w:val="0"/>
              </w:rPr>
              <w:t> </w:t>
            </w:r>
          </w:p>
        </w:tc>
        <w:tc>
          <w:tcPr>
            <w:tcW w:w="120" w:type="dxa"/>
            <w:tcBorders/>
            <w:shd w:fill="auto" w:val="clear"/>
            <w:vAlign w:val="center"/>
          </w:tcPr>
          <w:p>
            <w:pPr>
              <w:pStyle w:val="TableContents"/>
              <w:spacing w:lineRule="atLeast" w:line="160" w:before="0" w:after="0"/>
              <w:rPr>
                <w:spacing w:val="0"/>
              </w:rPr>
            </w:pPr>
            <w:r>
              <w:rPr>
                <w:spacing w:val="0"/>
              </w:rPr>
              <w:t>  </w:t>
            </w:r>
          </w:p>
        </w:tc>
        <w:tc>
          <w:tcPr>
            <w:tcW w:w="1120" w:type="dxa"/>
            <w:gridSpan w:val="2"/>
            <w:tcBorders/>
            <w:shd w:fill="auto" w:val="clear"/>
            <w:vAlign w:val="center"/>
          </w:tcPr>
          <w:p>
            <w:pPr>
              <w:pStyle w:val="TableContents"/>
              <w:spacing w:lineRule="atLeast" w:line="160" w:before="0" w:after="0"/>
              <w:jc w:val="center"/>
              <w:rPr>
                <w:b/>
                <w:spacing w:val="0"/>
                <w:sz w:val="16"/>
              </w:rPr>
            </w:pPr>
            <w:r>
              <w:rPr>
                <w:b/>
                <w:spacing w:val="0"/>
                <w:sz w:val="16"/>
              </w:rPr>
              <w:t>January 31,</w:t>
            </w:r>
          </w:p>
        </w:tc>
        <w:tc>
          <w:tcPr>
            <w:tcW w:w="155" w:type="dxa"/>
            <w:tcBorders/>
            <w:shd w:fill="auto" w:val="clear"/>
            <w:vAlign w:val="center"/>
          </w:tcPr>
          <w:p>
            <w:pPr>
              <w:pStyle w:val="TableContents"/>
              <w:spacing w:lineRule="atLeast" w:line="160" w:before="0" w:after="0"/>
              <w:rPr>
                <w:spacing w:val="0"/>
              </w:rPr>
            </w:pPr>
            <w:r>
              <w:rPr>
                <w:spacing w:val="0"/>
              </w:rPr>
              <w:t> </w:t>
            </w:r>
          </w:p>
        </w:tc>
        <w:tc>
          <w:tcPr>
            <w:tcW w:w="60" w:type="dxa"/>
            <w:tcBorders/>
            <w:shd w:fill="auto" w:val="clear"/>
            <w:vAlign w:val="center"/>
          </w:tcPr>
          <w:p>
            <w:pPr>
              <w:pStyle w:val="TableContents"/>
              <w:spacing w:lineRule="atLeast" w:line="160" w:before="0" w:after="0"/>
              <w:rPr>
                <w:spacing w:val="0"/>
              </w:rPr>
            </w:pPr>
            <w:r>
              <w:rPr>
                <w:spacing w:val="0"/>
              </w:rPr>
              <w:t> </w:t>
            </w:r>
          </w:p>
        </w:tc>
        <w:tc>
          <w:tcPr>
            <w:tcW w:w="1120" w:type="dxa"/>
            <w:gridSpan w:val="2"/>
            <w:tcBorders/>
            <w:shd w:fill="auto" w:val="clear"/>
            <w:vAlign w:val="center"/>
          </w:tcPr>
          <w:p>
            <w:pPr>
              <w:pStyle w:val="TableContents"/>
              <w:spacing w:lineRule="atLeast" w:line="160" w:before="0" w:after="0"/>
              <w:jc w:val="center"/>
              <w:rPr>
                <w:b/>
                <w:spacing w:val="0"/>
                <w:sz w:val="16"/>
              </w:rPr>
            </w:pPr>
            <w:r>
              <w:rPr>
                <w:b/>
                <w:spacing w:val="0"/>
                <w:sz w:val="16"/>
              </w:rPr>
              <w:t>February 2,</w:t>
            </w:r>
          </w:p>
        </w:tc>
        <w:tc>
          <w:tcPr>
            <w:tcW w:w="170" w:type="dxa"/>
            <w:tcBorders/>
            <w:shd w:fill="auto" w:val="clear"/>
            <w:vAlign w:val="center"/>
          </w:tcPr>
          <w:p>
            <w:pPr>
              <w:pStyle w:val="TableContents"/>
              <w:spacing w:lineRule="atLeast" w:line="160" w:before="0" w:after="0"/>
              <w:rPr>
                <w:spacing w:val="0"/>
              </w:rPr>
            </w:pPr>
            <w:r>
              <w:rPr>
                <w:spacing w:val="0"/>
              </w:rPr>
              <w:t> </w:t>
            </w:r>
          </w:p>
        </w:tc>
      </w:tr>
      <w:tr>
        <w:trPr/>
        <w:tc>
          <w:tcPr>
            <w:tcW w:w="7460" w:type="dxa"/>
            <w:tcBorders/>
            <w:shd w:fill="auto" w:val="clear"/>
            <w:vAlign w:val="center"/>
          </w:tcPr>
          <w:p>
            <w:pPr>
              <w:pStyle w:val="TableContents"/>
              <w:spacing w:lineRule="atLeast" w:line="160" w:before="0" w:after="0"/>
              <w:jc w:val="center"/>
              <w:rPr/>
            </w:pPr>
            <w:r>
              <w:rPr/>
              <w:t> </w:t>
            </w:r>
          </w:p>
        </w:tc>
        <w:tc>
          <w:tcPr>
            <w:tcW w:w="120" w:type="dxa"/>
            <w:tcBorders/>
            <w:shd w:fill="auto" w:val="clear"/>
            <w:vAlign w:val="center"/>
          </w:tcPr>
          <w:p>
            <w:pPr>
              <w:pStyle w:val="TableContents"/>
              <w:spacing w:lineRule="atLeast" w:line="160" w:before="0" w:after="0"/>
              <w:rPr/>
            </w:pPr>
            <w:r>
              <w:rPr/>
              <w:t> </w:t>
            </w:r>
          </w:p>
        </w:tc>
        <w:tc>
          <w:tcPr>
            <w:tcW w:w="1120" w:type="dxa"/>
            <w:gridSpan w:val="2"/>
            <w:tcBorders>
              <w:bottom w:val="single" w:sz="6" w:space="0" w:color="000000"/>
            </w:tcBorders>
            <w:shd w:fill="auto" w:val="clear"/>
            <w:tcMar>
              <w:bottom w:w="28" w:type="dxa"/>
            </w:tcMar>
            <w:vAlign w:val="center"/>
          </w:tcPr>
          <w:p>
            <w:pPr>
              <w:pStyle w:val="TableContents"/>
              <w:spacing w:lineRule="atLeast" w:line="160" w:before="0" w:after="0"/>
              <w:jc w:val="center"/>
              <w:rPr>
                <w:rFonts w:ascii="Times New Roman" w:hAnsi="Times New Roman"/>
                <w:b/>
                <w:spacing w:val="0"/>
                <w:sz w:val="16"/>
              </w:rPr>
            </w:pPr>
            <w:r>
              <w:rPr>
                <w:rFonts w:ascii="Times New Roman" w:hAnsi="Times New Roman"/>
                <w:b/>
                <w:spacing w:val="0"/>
                <w:sz w:val="16"/>
              </w:rPr>
              <w:t>2021</w:t>
            </w:r>
          </w:p>
        </w:tc>
        <w:tc>
          <w:tcPr>
            <w:tcW w:w="155" w:type="dxa"/>
            <w:tcBorders/>
            <w:shd w:fill="auto" w:val="clear"/>
            <w:vAlign w:val="center"/>
          </w:tcPr>
          <w:p>
            <w:pPr>
              <w:pStyle w:val="TableContents"/>
              <w:spacing w:lineRule="atLeast" w:line="160" w:before="0" w:after="0"/>
              <w:rPr/>
            </w:pPr>
            <w:r>
              <w:rPr/>
              <w:t> </w:t>
            </w:r>
          </w:p>
        </w:tc>
        <w:tc>
          <w:tcPr>
            <w:tcW w:w="60" w:type="dxa"/>
            <w:tcBorders/>
            <w:shd w:fill="auto" w:val="clear"/>
            <w:vAlign w:val="center"/>
          </w:tcPr>
          <w:p>
            <w:pPr>
              <w:pStyle w:val="TableContents"/>
              <w:spacing w:lineRule="atLeast" w:line="160" w:before="0" w:after="0"/>
              <w:rPr/>
            </w:pPr>
            <w:r>
              <w:rPr/>
              <w:t> </w:t>
            </w:r>
          </w:p>
        </w:tc>
        <w:tc>
          <w:tcPr>
            <w:tcW w:w="1120" w:type="dxa"/>
            <w:gridSpan w:val="2"/>
            <w:tcBorders>
              <w:bottom w:val="single" w:sz="6" w:space="0" w:color="000000"/>
            </w:tcBorders>
            <w:shd w:fill="auto" w:val="clear"/>
            <w:tcMar>
              <w:bottom w:w="28" w:type="dxa"/>
            </w:tcMar>
            <w:vAlign w:val="center"/>
          </w:tcPr>
          <w:p>
            <w:pPr>
              <w:pStyle w:val="TableContents"/>
              <w:spacing w:lineRule="atLeast" w:line="200" w:before="0" w:after="0"/>
              <w:jc w:val="center"/>
              <w:rPr>
                <w:rFonts w:ascii="Times New Roman" w:hAnsi="Times New Roman"/>
                <w:b/>
                <w:spacing w:val="0"/>
                <w:sz w:val="16"/>
              </w:rPr>
            </w:pPr>
            <w:r>
              <w:rPr>
                <w:rFonts w:ascii="Times New Roman" w:hAnsi="Times New Roman"/>
                <w:b/>
                <w:spacing w:val="0"/>
                <w:sz w:val="16"/>
              </w:rPr>
              <w:t>2020</w:t>
            </w:r>
          </w:p>
        </w:tc>
        <w:tc>
          <w:tcPr>
            <w:tcW w:w="170" w:type="dxa"/>
            <w:tcBorders/>
            <w:shd w:fill="auto" w:val="clear"/>
            <w:vAlign w:val="center"/>
          </w:tcPr>
          <w:p>
            <w:pPr>
              <w:pStyle w:val="TableContents"/>
              <w:spacing w:lineRule="atLeast" w:line="160" w:before="0" w:after="0"/>
              <w:rPr/>
            </w:pPr>
            <w:r>
              <w:rPr/>
              <w:t> </w:t>
            </w:r>
          </w:p>
        </w:tc>
      </w:tr>
      <w:tr>
        <w:trPr/>
        <w:tc>
          <w:tcPr>
            <w:tcW w:w="7460" w:type="dxa"/>
            <w:tcBorders/>
            <w:shd w:fill="CCEEFF" w:val="clear"/>
            <w:vAlign w:val="center"/>
          </w:tcPr>
          <w:p>
            <w:pPr>
              <w:pStyle w:val="TableContents"/>
              <w:spacing w:before="0" w:after="0"/>
              <w:jc w:val="center"/>
              <w:rPr>
                <w:b/>
                <w:spacing w:val="0"/>
              </w:rPr>
            </w:pPr>
            <w:r>
              <w:rPr>
                <w:b/>
                <w:spacing w:val="0"/>
              </w:rPr>
              <w:t>ASSETS</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rPr/>
            </w:pPr>
            <w:r>
              <w:rPr/>
              <w:t> </w:t>
            </w:r>
          </w:p>
        </w:tc>
        <w:tc>
          <w:tcPr>
            <w:tcW w:w="170" w:type="dxa"/>
            <w:tcBorders/>
            <w:shd w:fill="CCEEFF" w:val="clear"/>
            <w:vAlign w:val="center"/>
          </w:tcPr>
          <w:p>
            <w:pPr>
              <w:pStyle w:val="TableContents"/>
              <w:spacing w:before="0" w:after="283"/>
              <w:rPr/>
            </w:pPr>
            <w:r>
              <w:rPr/>
              <w:t> </w:t>
            </w:r>
          </w:p>
        </w:tc>
      </w:tr>
      <w:tr>
        <w:trPr/>
        <w:tc>
          <w:tcPr>
            <w:tcW w:w="746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Current assets:</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 </w:t>
            </w:r>
          </w:p>
        </w:tc>
      </w:tr>
      <w:tr>
        <w:trPr/>
        <w:tc>
          <w:tcPr>
            <w:tcW w:w="746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Cash and cash equivalents</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980" w:type="dxa"/>
            <w:tcBorders/>
            <w:shd w:fill="CCEEFF" w:val="clear"/>
            <w:vAlign w:val="center"/>
          </w:tcPr>
          <w:p>
            <w:pPr>
              <w:pStyle w:val="TableContents"/>
              <w:spacing w:before="0" w:after="283"/>
              <w:jc w:val="right"/>
              <w:rPr/>
            </w:pPr>
            <w:r>
              <w:rPr/>
              <w:t>11,891</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980" w:type="dxa"/>
            <w:tcBorders/>
            <w:shd w:fill="CCEEFF" w:val="clear"/>
            <w:vAlign w:val="center"/>
          </w:tcPr>
          <w:p>
            <w:pPr>
              <w:pStyle w:val="TableContents"/>
              <w:spacing w:before="0" w:after="283"/>
              <w:jc w:val="right"/>
              <w:rPr/>
            </w:pPr>
            <w:r>
              <w:rPr/>
              <w:t>24,655</w:t>
            </w:r>
          </w:p>
        </w:tc>
        <w:tc>
          <w:tcPr>
            <w:tcW w:w="170" w:type="dxa"/>
            <w:tcBorders/>
            <w:shd w:fill="CCEEFF" w:val="clear"/>
            <w:vAlign w:val="center"/>
          </w:tcPr>
          <w:p>
            <w:pPr>
              <w:pStyle w:val="TableContents"/>
              <w:spacing w:before="0" w:after="283"/>
              <w:rPr/>
            </w:pPr>
            <w:r>
              <w:rPr/>
              <w:t> </w:t>
            </w:r>
          </w:p>
        </w:tc>
      </w:tr>
      <w:tr>
        <w:trPr/>
        <w:tc>
          <w:tcPr>
            <w:tcW w:w="746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Inventories</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23,807</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34,477</w:t>
            </w:r>
          </w:p>
        </w:tc>
        <w:tc>
          <w:tcPr>
            <w:tcW w:w="170" w:type="dxa"/>
            <w:tcBorders/>
            <w:shd w:fill="auto" w:val="clear"/>
            <w:vAlign w:val="center"/>
          </w:tcPr>
          <w:p>
            <w:pPr>
              <w:pStyle w:val="TableContents"/>
              <w:spacing w:before="0" w:after="283"/>
              <w:rPr/>
            </w:pPr>
            <w:r>
              <w:rPr/>
              <w:t> </w:t>
            </w:r>
          </w:p>
        </w:tc>
      </w:tr>
      <w:tr>
        <w:trPr/>
        <w:tc>
          <w:tcPr>
            <w:tcW w:w="746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Prepaid expenses</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11,878</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14,269</w:t>
            </w:r>
          </w:p>
        </w:tc>
        <w:tc>
          <w:tcPr>
            <w:tcW w:w="170" w:type="dxa"/>
            <w:tcBorders/>
            <w:shd w:fill="CCEEFF" w:val="clear"/>
            <w:vAlign w:val="center"/>
          </w:tcPr>
          <w:p>
            <w:pPr>
              <w:pStyle w:val="TableContents"/>
              <w:spacing w:before="0" w:after="283"/>
              <w:rPr/>
            </w:pPr>
            <w:r>
              <w:rPr/>
              <w:t> </w:t>
            </w:r>
          </w:p>
        </w:tc>
      </w:tr>
      <w:tr>
        <w:trPr/>
        <w:tc>
          <w:tcPr>
            <w:tcW w:w="746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Income taxes receivable</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70,064</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2,331</w:t>
            </w:r>
          </w:p>
        </w:tc>
        <w:tc>
          <w:tcPr>
            <w:tcW w:w="170" w:type="dxa"/>
            <w:tcBorders/>
            <w:shd w:fill="auto" w:val="clear"/>
            <w:vAlign w:val="center"/>
          </w:tcPr>
          <w:p>
            <w:pPr>
              <w:pStyle w:val="TableContents"/>
              <w:spacing w:before="0" w:after="283"/>
              <w:rPr/>
            </w:pPr>
            <w:r>
              <w:rPr/>
              <w:t> </w:t>
            </w:r>
          </w:p>
        </w:tc>
      </w:tr>
      <w:tr>
        <w:trPr/>
        <w:tc>
          <w:tcPr>
            <w:tcW w:w="746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Other current assets</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1,231</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3,245</w:t>
            </w:r>
          </w:p>
        </w:tc>
        <w:tc>
          <w:tcPr>
            <w:tcW w:w="170" w:type="dxa"/>
            <w:tcBorders/>
            <w:shd w:fill="CCEEFF" w:val="clear"/>
            <w:vAlign w:val="center"/>
          </w:tcPr>
          <w:p>
            <w:pPr>
              <w:pStyle w:val="TableContents"/>
              <w:spacing w:before="0" w:after="283"/>
              <w:rPr/>
            </w:pPr>
            <w:r>
              <w:rPr/>
              <w:t> </w:t>
            </w:r>
          </w:p>
        </w:tc>
      </w:tr>
      <w:tr>
        <w:trPr/>
        <w:tc>
          <w:tcPr>
            <w:tcW w:w="74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single" w:sz="2" w:space="1" w:color="000000"/>
              </w:rPr>
            </w:pPr>
            <w:r>
              <w:rPr>
                <w:bdr w:val="single" w:sz="2" w:space="1" w:color="000000"/>
              </w:rPr>
              <w:t> </w:t>
            </w:r>
          </w:p>
        </w:tc>
        <w:tc>
          <w:tcPr>
            <w:tcW w:w="980"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single" w:sz="2" w:space="1" w:color="000000"/>
              </w:rPr>
            </w:pPr>
            <w:r>
              <w:rPr>
                <w:bdr w:val="single" w:sz="2" w:space="1" w:color="000000"/>
              </w:rPr>
              <w:t> </w:t>
            </w:r>
          </w:p>
        </w:tc>
        <w:tc>
          <w:tcPr>
            <w:tcW w:w="980" w:type="dxa"/>
            <w:tcBorders/>
            <w:shd w:fill="auto" w:val="clear"/>
            <w:vAlign w:val="center"/>
          </w:tcPr>
          <w:p>
            <w:pPr>
              <w:pStyle w:val="TableContents"/>
              <w:spacing w:before="0" w:after="0"/>
              <w:rPr>
                <w:bdr w:val="single" w:sz="2" w:space="1" w:color="000000"/>
              </w:rPr>
            </w:pPr>
            <w:r>
              <w:rPr>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746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Total current assets</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118,871</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78,977</w:t>
            </w:r>
          </w:p>
        </w:tc>
        <w:tc>
          <w:tcPr>
            <w:tcW w:w="170" w:type="dxa"/>
            <w:tcBorders/>
            <w:shd w:fill="auto" w:val="clear"/>
            <w:vAlign w:val="center"/>
          </w:tcPr>
          <w:p>
            <w:pPr>
              <w:pStyle w:val="TableContents"/>
              <w:spacing w:before="0" w:after="283"/>
              <w:rPr/>
            </w:pPr>
            <w:r>
              <w:rPr/>
              <w:t> </w:t>
            </w:r>
          </w:p>
        </w:tc>
      </w:tr>
      <w:tr>
        <w:trPr/>
        <w:tc>
          <w:tcPr>
            <w:tcW w:w="746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Property and equipment (net of $798,804 and $686,824 accumulated depreciation as of January 31, 2021 and February 2, 2020, respectively)</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815,027</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900,637</w:t>
            </w:r>
          </w:p>
        </w:tc>
        <w:tc>
          <w:tcPr>
            <w:tcW w:w="170" w:type="dxa"/>
            <w:tcBorders/>
            <w:shd w:fill="CCEEFF" w:val="clear"/>
            <w:vAlign w:val="center"/>
          </w:tcPr>
          <w:p>
            <w:pPr>
              <w:pStyle w:val="TableContents"/>
              <w:spacing w:before="0" w:after="283"/>
              <w:rPr/>
            </w:pPr>
            <w:r>
              <w:rPr/>
              <w:t> </w:t>
            </w:r>
          </w:p>
        </w:tc>
      </w:tr>
      <w:tr>
        <w:trPr/>
        <w:tc>
          <w:tcPr>
            <w:tcW w:w="746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Operating lease right of use assets, net</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1,037,569</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1,011,568</w:t>
            </w:r>
          </w:p>
        </w:tc>
        <w:tc>
          <w:tcPr>
            <w:tcW w:w="170" w:type="dxa"/>
            <w:tcBorders/>
            <w:shd w:fill="auto" w:val="clear"/>
            <w:vAlign w:val="center"/>
          </w:tcPr>
          <w:p>
            <w:pPr>
              <w:pStyle w:val="TableContents"/>
              <w:spacing w:before="0" w:after="283"/>
              <w:rPr/>
            </w:pPr>
            <w:r>
              <w:rPr/>
              <w:t> </w:t>
            </w:r>
          </w:p>
        </w:tc>
      </w:tr>
      <w:tr>
        <w:trPr/>
        <w:tc>
          <w:tcPr>
            <w:tcW w:w="746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Deferred tax assets</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5,874</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7,639</w:t>
            </w:r>
          </w:p>
        </w:tc>
        <w:tc>
          <w:tcPr>
            <w:tcW w:w="170" w:type="dxa"/>
            <w:tcBorders/>
            <w:shd w:fill="CCEEFF" w:val="clear"/>
            <w:vAlign w:val="center"/>
          </w:tcPr>
          <w:p>
            <w:pPr>
              <w:pStyle w:val="TableContents"/>
              <w:spacing w:before="0" w:after="283"/>
              <w:rPr/>
            </w:pPr>
            <w:r>
              <w:rPr/>
              <w:t> </w:t>
            </w:r>
          </w:p>
        </w:tc>
      </w:tr>
      <w:tr>
        <w:trPr/>
        <w:tc>
          <w:tcPr>
            <w:tcW w:w="746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Tradenames</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79,000</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79,000</w:t>
            </w:r>
          </w:p>
        </w:tc>
        <w:tc>
          <w:tcPr>
            <w:tcW w:w="170" w:type="dxa"/>
            <w:tcBorders/>
            <w:shd w:fill="auto" w:val="clear"/>
            <w:vAlign w:val="center"/>
          </w:tcPr>
          <w:p>
            <w:pPr>
              <w:pStyle w:val="TableContents"/>
              <w:spacing w:before="0" w:after="283"/>
              <w:rPr/>
            </w:pPr>
            <w:r>
              <w:rPr/>
              <w:t> </w:t>
            </w:r>
          </w:p>
        </w:tc>
      </w:tr>
      <w:tr>
        <w:trPr/>
        <w:tc>
          <w:tcPr>
            <w:tcW w:w="746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Goodwill</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272,597</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272,636</w:t>
            </w:r>
          </w:p>
        </w:tc>
        <w:tc>
          <w:tcPr>
            <w:tcW w:w="170" w:type="dxa"/>
            <w:tcBorders/>
            <w:shd w:fill="CCEEFF" w:val="clear"/>
            <w:vAlign w:val="center"/>
          </w:tcPr>
          <w:p>
            <w:pPr>
              <w:pStyle w:val="TableContents"/>
              <w:spacing w:before="0" w:after="283"/>
              <w:rPr/>
            </w:pPr>
            <w:r>
              <w:rPr/>
              <w:t> </w:t>
            </w:r>
          </w:p>
        </w:tc>
      </w:tr>
      <w:tr>
        <w:trPr/>
        <w:tc>
          <w:tcPr>
            <w:tcW w:w="746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Other assets and deferred charges</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23,886</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19,682</w:t>
            </w:r>
          </w:p>
        </w:tc>
        <w:tc>
          <w:tcPr>
            <w:tcW w:w="170" w:type="dxa"/>
            <w:tcBorders/>
            <w:shd w:fill="auto" w:val="clear"/>
            <w:vAlign w:val="center"/>
          </w:tcPr>
          <w:p>
            <w:pPr>
              <w:pStyle w:val="TableContents"/>
              <w:spacing w:before="0" w:after="283"/>
              <w:rPr/>
            </w:pPr>
            <w:r>
              <w:rPr/>
              <w:t> </w:t>
            </w:r>
          </w:p>
        </w:tc>
      </w:tr>
      <w:tr>
        <w:trPr/>
        <w:tc>
          <w:tcPr>
            <w:tcW w:w="74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single" w:sz="2" w:space="1" w:color="000000"/>
              </w:rPr>
            </w:pPr>
            <w:r>
              <w:rPr>
                <w:bdr w:val="single" w:sz="2" w:space="1" w:color="000000"/>
              </w:rPr>
              <w:t> </w:t>
            </w:r>
          </w:p>
        </w:tc>
        <w:tc>
          <w:tcPr>
            <w:tcW w:w="980"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single" w:sz="2" w:space="1" w:color="000000"/>
              </w:rPr>
            </w:pPr>
            <w:r>
              <w:rPr>
                <w:bdr w:val="single" w:sz="2" w:space="1" w:color="000000"/>
              </w:rPr>
              <w:t> </w:t>
            </w:r>
          </w:p>
        </w:tc>
        <w:tc>
          <w:tcPr>
            <w:tcW w:w="980" w:type="dxa"/>
            <w:tcBorders/>
            <w:shd w:fill="auto" w:val="clear"/>
            <w:vAlign w:val="center"/>
          </w:tcPr>
          <w:p>
            <w:pPr>
              <w:pStyle w:val="TableContents"/>
              <w:spacing w:before="0" w:after="0"/>
              <w:rPr>
                <w:bdr w:val="single" w:sz="2" w:space="1" w:color="000000"/>
              </w:rPr>
            </w:pPr>
            <w:r>
              <w:rPr>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746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Total assets</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980" w:type="dxa"/>
            <w:tcBorders/>
            <w:shd w:fill="CCEEFF" w:val="clear"/>
            <w:vAlign w:val="center"/>
          </w:tcPr>
          <w:p>
            <w:pPr>
              <w:pStyle w:val="TableContents"/>
              <w:spacing w:before="0" w:after="283"/>
              <w:jc w:val="right"/>
              <w:rPr/>
            </w:pPr>
            <w:r>
              <w:rPr/>
              <w:t>2,352,824</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980" w:type="dxa"/>
            <w:tcBorders/>
            <w:shd w:fill="CCEEFF" w:val="clear"/>
            <w:vAlign w:val="center"/>
          </w:tcPr>
          <w:p>
            <w:pPr>
              <w:pStyle w:val="TableContents"/>
              <w:spacing w:before="0" w:after="283"/>
              <w:jc w:val="right"/>
              <w:rPr/>
            </w:pPr>
            <w:r>
              <w:rPr/>
              <w:t>2,370,139</w:t>
            </w:r>
          </w:p>
        </w:tc>
        <w:tc>
          <w:tcPr>
            <w:tcW w:w="170" w:type="dxa"/>
            <w:tcBorders/>
            <w:shd w:fill="CCEEFF" w:val="clear"/>
            <w:vAlign w:val="center"/>
          </w:tcPr>
          <w:p>
            <w:pPr>
              <w:pStyle w:val="TableContents"/>
              <w:spacing w:before="0" w:after="283"/>
              <w:rPr/>
            </w:pPr>
            <w:r>
              <w:rPr/>
              <w:t> </w:t>
            </w:r>
          </w:p>
        </w:tc>
      </w:tr>
      <w:tr>
        <w:trPr/>
        <w:tc>
          <w:tcPr>
            <w:tcW w:w="74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double" w:sz="6" w:space="1" w:color="000000"/>
              </w:rPr>
            </w:pPr>
            <w:r>
              <w:rPr>
                <w:bdr w:val="double" w:sz="6" w:space="1" w:color="000000"/>
              </w:rPr>
              <w:t> </w:t>
            </w:r>
          </w:p>
        </w:tc>
        <w:tc>
          <w:tcPr>
            <w:tcW w:w="980" w:type="dxa"/>
            <w:tcBorders/>
            <w:shd w:fill="auto" w:val="clear"/>
            <w:vAlign w:val="center"/>
          </w:tcPr>
          <w:p>
            <w:pPr>
              <w:pStyle w:val="TableContents"/>
              <w:spacing w:before="0" w:after="0"/>
              <w:rPr>
                <w:bdr w:val="double" w:sz="6" w:space="1" w:color="000000"/>
              </w:rPr>
            </w:pPr>
            <w:r>
              <w:rPr>
                <w:bdr w:val="double" w:sz="6"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double" w:sz="6" w:space="1" w:color="000000"/>
              </w:rPr>
            </w:pPr>
            <w:r>
              <w:rPr>
                <w:bdr w:val="double" w:sz="6" w:space="1" w:color="000000"/>
              </w:rPr>
              <w:t> </w:t>
            </w:r>
          </w:p>
        </w:tc>
        <w:tc>
          <w:tcPr>
            <w:tcW w:w="980" w:type="dxa"/>
            <w:tcBorders/>
            <w:shd w:fill="auto" w:val="clear"/>
            <w:vAlign w:val="center"/>
          </w:tcPr>
          <w:p>
            <w:pPr>
              <w:pStyle w:val="TableContents"/>
              <w:spacing w:before="0" w:after="0"/>
              <w:rPr>
                <w:bdr w:val="double" w:sz="6" w:space="1" w:color="000000"/>
              </w:rPr>
            </w:pPr>
            <w:r>
              <w:rPr>
                <w:bdr w:val="double" w:sz="6" w:space="1" w:color="000000"/>
              </w:rPr>
              <w:t> </w:t>
            </w:r>
          </w:p>
        </w:tc>
        <w:tc>
          <w:tcPr>
            <w:tcW w:w="170" w:type="dxa"/>
            <w:tcBorders/>
            <w:shd w:fill="auto" w:val="clear"/>
            <w:vAlign w:val="center"/>
          </w:tcPr>
          <w:p>
            <w:pPr>
              <w:pStyle w:val="TableContents"/>
              <w:spacing w:before="0" w:after="283"/>
              <w:rPr/>
            </w:pPr>
            <w:r>
              <w:rPr/>
              <w:t> </w:t>
            </w:r>
          </w:p>
        </w:tc>
      </w:tr>
      <w:tr>
        <w:trPr/>
        <w:tc>
          <w:tcPr>
            <w:tcW w:w="7460" w:type="dxa"/>
            <w:tcBorders/>
            <w:shd w:fill="auto" w:val="clear"/>
            <w:vAlign w:val="center"/>
          </w:tcPr>
          <w:p>
            <w:pPr>
              <w:pStyle w:val="TableContents"/>
              <w:spacing w:before="0" w:after="283"/>
              <w:rPr/>
            </w:pPr>
            <w:r>
              <w:rPr/>
              <w:t> </w:t>
            </w:r>
          </w:p>
        </w:tc>
        <w:tc>
          <w:tcPr>
            <w:tcW w:w="1395" w:type="dxa"/>
            <w:gridSpan w:val="4"/>
            <w:tcBorders/>
            <w:shd w:fill="auto" w:val="clear"/>
            <w:vAlign w:val="center"/>
          </w:tcPr>
          <w:p>
            <w:pPr>
              <w:pStyle w:val="TableContents"/>
              <w:spacing w:before="0" w:after="283"/>
              <w:rPr/>
            </w:pPr>
            <w:r>
              <w:rPr/>
              <w:t> </w:t>
            </w:r>
          </w:p>
        </w:tc>
        <w:tc>
          <w:tcPr>
            <w:tcW w:w="1350" w:type="dxa"/>
            <w:gridSpan w:val="4"/>
            <w:tcBorders/>
            <w:shd w:fill="auto" w:val="clear"/>
            <w:vAlign w:val="center"/>
          </w:tcPr>
          <w:p>
            <w:pPr>
              <w:pStyle w:val="TableContents"/>
              <w:spacing w:before="0" w:after="283"/>
              <w:rPr/>
            </w:pPr>
            <w:r>
              <w:rPr/>
              <w:t> </w:t>
            </w:r>
          </w:p>
        </w:tc>
      </w:tr>
      <w:tr>
        <w:trPr/>
        <w:tc>
          <w:tcPr>
            <w:tcW w:w="7460" w:type="dxa"/>
            <w:tcBorders/>
            <w:shd w:fill="auto" w:val="clear"/>
            <w:vAlign w:val="center"/>
          </w:tcPr>
          <w:p>
            <w:pPr>
              <w:pStyle w:val="TableContents"/>
              <w:spacing w:before="0" w:after="0"/>
              <w:jc w:val="center"/>
              <w:rPr>
                <w:b/>
                <w:spacing w:val="0"/>
              </w:rPr>
            </w:pPr>
            <w:r>
              <w:rPr>
                <w:b/>
                <w:spacing w:val="0"/>
              </w:rPr>
              <w:t>LIABILITIES AND STOCKHOLDERS’ EQUITY</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 </w:t>
            </w:r>
          </w:p>
        </w:tc>
      </w:tr>
      <w:tr>
        <w:trPr/>
        <w:tc>
          <w:tcPr>
            <w:tcW w:w="746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Current liabilities:</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rPr/>
            </w:pPr>
            <w:r>
              <w:rPr/>
              <w:t> </w:t>
            </w:r>
          </w:p>
        </w:tc>
        <w:tc>
          <w:tcPr>
            <w:tcW w:w="170" w:type="dxa"/>
            <w:tcBorders/>
            <w:shd w:fill="CCEEFF" w:val="clear"/>
            <w:vAlign w:val="center"/>
          </w:tcPr>
          <w:p>
            <w:pPr>
              <w:pStyle w:val="TableContents"/>
              <w:spacing w:before="0" w:after="283"/>
              <w:rPr/>
            </w:pPr>
            <w:r>
              <w:rPr/>
              <w:t> </w:t>
            </w:r>
          </w:p>
        </w:tc>
      </w:tr>
      <w:tr>
        <w:trPr/>
        <w:tc>
          <w:tcPr>
            <w:tcW w:w="746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Current installments of long-term debt</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980"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980" w:type="dxa"/>
            <w:tcBorders/>
            <w:shd w:fill="auto" w:val="clear"/>
            <w:vAlign w:val="center"/>
          </w:tcPr>
          <w:p>
            <w:pPr>
              <w:pStyle w:val="TableContents"/>
              <w:spacing w:before="0" w:after="283"/>
              <w:jc w:val="right"/>
              <w:rPr/>
            </w:pPr>
            <w:r>
              <w:rPr/>
              <w:t>15,000</w:t>
            </w:r>
          </w:p>
        </w:tc>
        <w:tc>
          <w:tcPr>
            <w:tcW w:w="170" w:type="dxa"/>
            <w:tcBorders/>
            <w:shd w:fill="auto" w:val="clear"/>
            <w:vAlign w:val="center"/>
          </w:tcPr>
          <w:p>
            <w:pPr>
              <w:pStyle w:val="TableContents"/>
              <w:spacing w:before="0" w:after="283"/>
              <w:rPr/>
            </w:pPr>
            <w:r>
              <w:rPr/>
              <w:t> </w:t>
            </w:r>
          </w:p>
        </w:tc>
      </w:tr>
      <w:tr>
        <w:trPr/>
        <w:tc>
          <w:tcPr>
            <w:tcW w:w="746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Accounts payable</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36,400</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65,359</w:t>
            </w:r>
          </w:p>
        </w:tc>
        <w:tc>
          <w:tcPr>
            <w:tcW w:w="170" w:type="dxa"/>
            <w:tcBorders/>
            <w:shd w:fill="CCEEFF" w:val="clear"/>
            <w:vAlign w:val="center"/>
          </w:tcPr>
          <w:p>
            <w:pPr>
              <w:pStyle w:val="TableContents"/>
              <w:spacing w:before="0" w:after="283"/>
              <w:rPr/>
            </w:pPr>
            <w:r>
              <w:rPr/>
              <w:t> </w:t>
            </w:r>
          </w:p>
        </w:tc>
      </w:tr>
      <w:tr>
        <w:trPr/>
        <w:tc>
          <w:tcPr>
            <w:tcW w:w="746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Accrued liabilities</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234,790</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207,452</w:t>
            </w:r>
          </w:p>
        </w:tc>
        <w:tc>
          <w:tcPr>
            <w:tcW w:w="170" w:type="dxa"/>
            <w:tcBorders/>
            <w:shd w:fill="auto" w:val="clear"/>
            <w:vAlign w:val="center"/>
          </w:tcPr>
          <w:p>
            <w:pPr>
              <w:pStyle w:val="TableContents"/>
              <w:spacing w:before="0" w:after="283"/>
              <w:rPr/>
            </w:pPr>
            <w:r>
              <w:rPr/>
              <w:t> </w:t>
            </w:r>
          </w:p>
        </w:tc>
      </w:tr>
      <w:tr>
        <w:trPr/>
        <w:tc>
          <w:tcPr>
            <w:tcW w:w="746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Income taxes payable</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446</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3,054</w:t>
            </w:r>
          </w:p>
        </w:tc>
        <w:tc>
          <w:tcPr>
            <w:tcW w:w="170" w:type="dxa"/>
            <w:tcBorders/>
            <w:shd w:fill="CCEEFF" w:val="clear"/>
            <w:vAlign w:val="center"/>
          </w:tcPr>
          <w:p>
            <w:pPr>
              <w:pStyle w:val="TableContents"/>
              <w:spacing w:before="0" w:after="283"/>
              <w:rPr/>
            </w:pPr>
            <w:r>
              <w:rPr/>
              <w:t> </w:t>
            </w:r>
          </w:p>
        </w:tc>
      </w:tr>
      <w:tr>
        <w:trPr/>
        <w:tc>
          <w:tcPr>
            <w:tcW w:w="74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single" w:sz="2" w:space="1" w:color="000000"/>
              </w:rPr>
            </w:pPr>
            <w:r>
              <w:rPr>
                <w:bdr w:val="single" w:sz="2" w:space="1" w:color="000000"/>
              </w:rPr>
              <w:t> </w:t>
            </w:r>
          </w:p>
        </w:tc>
        <w:tc>
          <w:tcPr>
            <w:tcW w:w="980"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single" w:sz="2" w:space="1" w:color="000000"/>
              </w:rPr>
            </w:pPr>
            <w:r>
              <w:rPr>
                <w:bdr w:val="single" w:sz="2" w:space="1" w:color="000000"/>
              </w:rPr>
              <w:t> </w:t>
            </w:r>
          </w:p>
        </w:tc>
        <w:tc>
          <w:tcPr>
            <w:tcW w:w="980" w:type="dxa"/>
            <w:tcBorders/>
            <w:shd w:fill="auto" w:val="clear"/>
            <w:vAlign w:val="center"/>
          </w:tcPr>
          <w:p>
            <w:pPr>
              <w:pStyle w:val="TableContents"/>
              <w:spacing w:before="0" w:after="0"/>
              <w:rPr>
                <w:bdr w:val="single" w:sz="2" w:space="1" w:color="000000"/>
              </w:rPr>
            </w:pPr>
            <w:r>
              <w:rPr>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746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Total current liabilities</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271,636</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290,865</w:t>
            </w:r>
          </w:p>
        </w:tc>
        <w:tc>
          <w:tcPr>
            <w:tcW w:w="170" w:type="dxa"/>
            <w:tcBorders/>
            <w:shd w:fill="auto" w:val="clear"/>
            <w:vAlign w:val="center"/>
          </w:tcPr>
          <w:p>
            <w:pPr>
              <w:pStyle w:val="TableContents"/>
              <w:spacing w:before="0" w:after="283"/>
              <w:rPr/>
            </w:pPr>
            <w:r>
              <w:rPr/>
              <w:t> </w:t>
            </w:r>
          </w:p>
        </w:tc>
      </w:tr>
      <w:tr>
        <w:trPr/>
        <w:tc>
          <w:tcPr>
            <w:tcW w:w="746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Deferred income taxes</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13,658</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19,102</w:t>
            </w:r>
          </w:p>
        </w:tc>
        <w:tc>
          <w:tcPr>
            <w:tcW w:w="170" w:type="dxa"/>
            <w:tcBorders/>
            <w:shd w:fill="CCEEFF" w:val="clear"/>
            <w:vAlign w:val="center"/>
          </w:tcPr>
          <w:p>
            <w:pPr>
              <w:pStyle w:val="TableContents"/>
              <w:spacing w:before="0" w:after="283"/>
              <w:rPr/>
            </w:pPr>
            <w:r>
              <w:rPr/>
              <w:t> </w:t>
            </w:r>
          </w:p>
        </w:tc>
      </w:tr>
      <w:tr>
        <w:trPr/>
        <w:tc>
          <w:tcPr>
            <w:tcW w:w="746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Operating lease liabilities</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1,267,791</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1,222,054</w:t>
            </w:r>
          </w:p>
        </w:tc>
        <w:tc>
          <w:tcPr>
            <w:tcW w:w="170" w:type="dxa"/>
            <w:tcBorders/>
            <w:shd w:fill="auto" w:val="clear"/>
            <w:vAlign w:val="center"/>
          </w:tcPr>
          <w:p>
            <w:pPr>
              <w:pStyle w:val="TableContents"/>
              <w:spacing w:before="0" w:after="283"/>
              <w:rPr/>
            </w:pPr>
            <w:r>
              <w:rPr/>
              <w:t> </w:t>
            </w:r>
          </w:p>
        </w:tc>
      </w:tr>
      <w:tr>
        <w:trPr/>
        <w:tc>
          <w:tcPr>
            <w:tcW w:w="746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Other liabilities</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50,119</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35,779</w:t>
            </w:r>
          </w:p>
        </w:tc>
        <w:tc>
          <w:tcPr>
            <w:tcW w:w="170" w:type="dxa"/>
            <w:tcBorders/>
            <w:shd w:fill="CCEEFF" w:val="clear"/>
            <w:vAlign w:val="center"/>
          </w:tcPr>
          <w:p>
            <w:pPr>
              <w:pStyle w:val="TableContents"/>
              <w:spacing w:before="0" w:after="283"/>
              <w:rPr/>
            </w:pPr>
            <w:r>
              <w:rPr/>
              <w:t> </w:t>
            </w:r>
          </w:p>
        </w:tc>
      </w:tr>
      <w:tr>
        <w:trPr/>
        <w:tc>
          <w:tcPr>
            <w:tcW w:w="746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Long-term debt, net</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596,388</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632,689</w:t>
            </w:r>
          </w:p>
        </w:tc>
        <w:tc>
          <w:tcPr>
            <w:tcW w:w="170" w:type="dxa"/>
            <w:tcBorders/>
            <w:shd w:fill="auto" w:val="clear"/>
            <w:vAlign w:val="center"/>
          </w:tcPr>
          <w:p>
            <w:pPr>
              <w:pStyle w:val="TableContents"/>
              <w:spacing w:before="0" w:after="283"/>
              <w:rPr/>
            </w:pPr>
            <w:r>
              <w:rPr/>
              <w:t> </w:t>
            </w:r>
          </w:p>
        </w:tc>
      </w:tr>
      <w:tr>
        <w:trPr/>
        <w:tc>
          <w:tcPr>
            <w:tcW w:w="746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Commitments and contingencies</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rPr/>
            </w:pPr>
            <w:r>
              <w:rPr/>
              <w:t> </w:t>
            </w:r>
          </w:p>
        </w:tc>
        <w:tc>
          <w:tcPr>
            <w:tcW w:w="170" w:type="dxa"/>
            <w:tcBorders/>
            <w:shd w:fill="CCEEFF" w:val="clear"/>
            <w:vAlign w:val="center"/>
          </w:tcPr>
          <w:p>
            <w:pPr>
              <w:pStyle w:val="TableContents"/>
              <w:spacing w:before="0" w:after="283"/>
              <w:rPr/>
            </w:pPr>
            <w:r>
              <w:rPr/>
              <w:t> </w:t>
            </w:r>
          </w:p>
        </w:tc>
      </w:tr>
      <w:tr>
        <w:trPr/>
        <w:tc>
          <w:tcPr>
            <w:tcW w:w="746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Stockholders’ equity:</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 </w:t>
            </w:r>
          </w:p>
        </w:tc>
      </w:tr>
      <w:tr>
        <w:trPr/>
        <w:tc>
          <w:tcPr>
            <w:tcW w:w="746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Common stock, par value $0.01; authorized: 400,000,000 shares; issued: 60,488,833 shares at January 31, 2021 and 43,386,852 shares at February 2, 2020; outstanding: 47,646,606 shares at January 31, 2021 and 30,603,340 shares at February 2, 2020</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605</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434</w:t>
            </w:r>
          </w:p>
        </w:tc>
        <w:tc>
          <w:tcPr>
            <w:tcW w:w="170" w:type="dxa"/>
            <w:tcBorders/>
            <w:shd w:fill="CCEEFF" w:val="clear"/>
            <w:vAlign w:val="center"/>
          </w:tcPr>
          <w:p>
            <w:pPr>
              <w:pStyle w:val="TableContents"/>
              <w:spacing w:before="0" w:after="283"/>
              <w:rPr/>
            </w:pPr>
            <w:r>
              <w:rPr/>
              <w:t> </w:t>
            </w:r>
          </w:p>
        </w:tc>
      </w:tr>
      <w:tr>
        <w:trPr/>
        <w:tc>
          <w:tcPr>
            <w:tcW w:w="746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Preferred stock, 50,000,000 authorized; none issued</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  </w:t>
            </w:r>
          </w:p>
        </w:tc>
        <w:tc>
          <w:tcPr>
            <w:tcW w:w="170" w:type="dxa"/>
            <w:tcBorders/>
            <w:shd w:fill="auto" w:val="clear"/>
            <w:vAlign w:val="center"/>
          </w:tcPr>
          <w:p>
            <w:pPr>
              <w:pStyle w:val="TableContents"/>
              <w:spacing w:before="0" w:after="283"/>
              <w:rPr/>
            </w:pPr>
            <w:r>
              <w:rPr/>
              <w:t> </w:t>
            </w:r>
          </w:p>
        </w:tc>
      </w:tr>
      <w:tr>
        <w:trPr/>
        <w:tc>
          <w:tcPr>
            <w:tcW w:w="746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Paid-in</w:t>
            </w:r>
          </w:p>
          <w:p>
            <w:pPr>
              <w:pStyle w:val="TableContents"/>
              <w:spacing w:before="0" w:after="0"/>
              <w:rPr>
                <w:rFonts w:ascii="Times New Roman" w:hAnsi="Times New Roman"/>
                <w:sz w:val="20"/>
              </w:rPr>
            </w:pPr>
            <w:r>
              <w:rPr>
                <w:rFonts w:ascii="Times New Roman" w:hAnsi="Times New Roman"/>
                <w:sz w:val="20"/>
              </w:rPr>
              <w:t>capital</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531,191</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339,161</w:t>
            </w:r>
          </w:p>
        </w:tc>
        <w:tc>
          <w:tcPr>
            <w:tcW w:w="170" w:type="dxa"/>
            <w:tcBorders/>
            <w:shd w:fill="CCEEFF" w:val="clear"/>
            <w:vAlign w:val="center"/>
          </w:tcPr>
          <w:p>
            <w:pPr>
              <w:pStyle w:val="TableContents"/>
              <w:spacing w:before="0" w:after="283"/>
              <w:rPr/>
            </w:pPr>
            <w:r>
              <w:rPr/>
              <w:t> </w:t>
            </w:r>
          </w:p>
        </w:tc>
      </w:tr>
      <w:tr>
        <w:trPr/>
        <w:tc>
          <w:tcPr>
            <w:tcW w:w="746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Treasury stock, 12,842,227 and 12,783,512 shares as of January 31, 2021 and February 2, 2020, respectively</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(595,970</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(595,041</w:t>
            </w:r>
          </w:p>
        </w:tc>
        <w:tc>
          <w:tcPr>
            <w:tcW w:w="170" w:type="dxa"/>
            <w:tcBorders/>
            <w:shd w:fill="auto" w:val="clear"/>
            <w:vAlign w:val="center"/>
          </w:tcPr>
          <w:p>
            <w:pPr>
              <w:pStyle w:val="TableContents"/>
              <w:spacing w:before="0" w:after="283"/>
              <w:rPr/>
            </w:pPr>
            <w:r>
              <w:rPr/>
              <w:t>) </w:t>
            </w:r>
          </w:p>
        </w:tc>
      </w:tr>
      <w:tr>
        <w:trPr/>
        <w:tc>
          <w:tcPr>
            <w:tcW w:w="746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Accumulated other comprehensive loss</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(9,085</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(8,369</w:t>
            </w:r>
          </w:p>
        </w:tc>
        <w:tc>
          <w:tcPr>
            <w:tcW w:w="170" w:type="dxa"/>
            <w:tcBorders/>
            <w:shd w:fill="CCEEFF" w:val="clear"/>
            <w:vAlign w:val="center"/>
          </w:tcPr>
          <w:p>
            <w:pPr>
              <w:pStyle w:val="TableContents"/>
              <w:spacing w:before="0" w:after="283"/>
              <w:rPr/>
            </w:pPr>
            <w:r>
              <w:rPr/>
              <w:t>) </w:t>
            </w:r>
          </w:p>
        </w:tc>
      </w:tr>
      <w:tr>
        <w:trPr/>
        <w:tc>
          <w:tcPr>
            <w:tcW w:w="746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Retained earnings</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226,491</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433,465</w:t>
            </w:r>
          </w:p>
        </w:tc>
        <w:tc>
          <w:tcPr>
            <w:tcW w:w="170" w:type="dxa"/>
            <w:tcBorders/>
            <w:shd w:fill="auto" w:val="clear"/>
            <w:vAlign w:val="center"/>
          </w:tcPr>
          <w:p>
            <w:pPr>
              <w:pStyle w:val="TableContents"/>
              <w:spacing w:before="0" w:after="283"/>
              <w:rPr/>
            </w:pPr>
            <w:r>
              <w:rPr/>
              <w:t> </w:t>
            </w:r>
          </w:p>
        </w:tc>
      </w:tr>
      <w:tr>
        <w:trPr/>
        <w:tc>
          <w:tcPr>
            <w:tcW w:w="74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single" w:sz="2" w:space="1" w:color="000000"/>
              </w:rPr>
            </w:pPr>
            <w:r>
              <w:rPr>
                <w:bdr w:val="single" w:sz="2" w:space="1" w:color="000000"/>
              </w:rPr>
              <w:t> </w:t>
            </w:r>
          </w:p>
        </w:tc>
        <w:tc>
          <w:tcPr>
            <w:tcW w:w="980"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single" w:sz="2" w:space="1" w:color="000000"/>
              </w:rPr>
            </w:pPr>
            <w:r>
              <w:rPr>
                <w:bdr w:val="single" w:sz="2" w:space="1" w:color="000000"/>
              </w:rPr>
              <w:t> </w:t>
            </w:r>
          </w:p>
        </w:tc>
        <w:tc>
          <w:tcPr>
            <w:tcW w:w="980" w:type="dxa"/>
            <w:tcBorders/>
            <w:shd w:fill="auto" w:val="clear"/>
            <w:vAlign w:val="center"/>
          </w:tcPr>
          <w:p>
            <w:pPr>
              <w:pStyle w:val="TableContents"/>
              <w:spacing w:before="0" w:after="0"/>
              <w:rPr>
                <w:bdr w:val="single" w:sz="2" w:space="1" w:color="000000"/>
              </w:rPr>
            </w:pPr>
            <w:r>
              <w:rPr>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746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Total stockholders’ equity</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153,232</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169,650</w:t>
            </w:r>
          </w:p>
        </w:tc>
        <w:tc>
          <w:tcPr>
            <w:tcW w:w="170" w:type="dxa"/>
            <w:tcBorders/>
            <w:shd w:fill="CCEEFF" w:val="clear"/>
            <w:vAlign w:val="center"/>
          </w:tcPr>
          <w:p>
            <w:pPr>
              <w:pStyle w:val="TableContents"/>
              <w:spacing w:before="0" w:after="283"/>
              <w:rPr/>
            </w:pPr>
            <w:r>
              <w:rPr/>
              <w:t> </w:t>
            </w:r>
          </w:p>
        </w:tc>
      </w:tr>
      <w:tr>
        <w:trPr/>
        <w:tc>
          <w:tcPr>
            <w:tcW w:w="74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single" w:sz="2" w:space="1" w:color="000000"/>
              </w:rPr>
            </w:pPr>
            <w:r>
              <w:rPr>
                <w:bdr w:val="single" w:sz="2" w:space="1" w:color="000000"/>
              </w:rPr>
              <w:t> </w:t>
            </w:r>
          </w:p>
        </w:tc>
        <w:tc>
          <w:tcPr>
            <w:tcW w:w="980"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single" w:sz="2" w:space="1" w:color="000000"/>
              </w:rPr>
            </w:pPr>
            <w:r>
              <w:rPr>
                <w:bdr w:val="single" w:sz="2" w:space="1" w:color="000000"/>
              </w:rPr>
              <w:t> </w:t>
            </w:r>
          </w:p>
        </w:tc>
        <w:tc>
          <w:tcPr>
            <w:tcW w:w="980" w:type="dxa"/>
            <w:tcBorders/>
            <w:shd w:fill="auto" w:val="clear"/>
            <w:vAlign w:val="center"/>
          </w:tcPr>
          <w:p>
            <w:pPr>
              <w:pStyle w:val="TableContents"/>
              <w:spacing w:before="0" w:after="0"/>
              <w:rPr>
                <w:bdr w:val="single" w:sz="2" w:space="1" w:color="000000"/>
              </w:rPr>
            </w:pPr>
            <w:r>
              <w:rPr>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746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Total liabilities and stockholders’ equity</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980" w:type="dxa"/>
            <w:tcBorders/>
            <w:shd w:fill="auto" w:val="clear"/>
            <w:vAlign w:val="center"/>
          </w:tcPr>
          <w:p>
            <w:pPr>
              <w:pStyle w:val="TableContents"/>
              <w:spacing w:before="0" w:after="283"/>
              <w:jc w:val="right"/>
              <w:rPr/>
            </w:pPr>
            <w:r>
              <w:rPr/>
              <w:t>2,352,824</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980" w:type="dxa"/>
            <w:tcBorders/>
            <w:shd w:fill="auto" w:val="clear"/>
            <w:vAlign w:val="center"/>
          </w:tcPr>
          <w:p>
            <w:pPr>
              <w:pStyle w:val="TableContents"/>
              <w:spacing w:before="0" w:after="283"/>
              <w:jc w:val="right"/>
              <w:rPr/>
            </w:pPr>
            <w:r>
              <w:rPr/>
              <w:t>2,370,139</w:t>
            </w:r>
          </w:p>
        </w:tc>
        <w:tc>
          <w:tcPr>
            <w:tcW w:w="170" w:type="dxa"/>
            <w:tcBorders/>
            <w:shd w:fill="auto" w:val="clear"/>
            <w:vAlign w:val="center"/>
          </w:tcPr>
          <w:p>
            <w:pPr>
              <w:pStyle w:val="TableContents"/>
              <w:spacing w:before="0" w:after="283"/>
              <w:rPr/>
            </w:pPr>
            <w:r>
              <w:rPr/>
              <w:t> </w:t>
            </w:r>
          </w:p>
        </w:tc>
      </w:tr>
      <w:tr>
        <w:trPr/>
        <w:tc>
          <w:tcPr>
            <w:tcW w:w="74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double" w:sz="6" w:space="1" w:color="000000"/>
              </w:rPr>
            </w:pPr>
            <w:r>
              <w:rPr>
                <w:bdr w:val="double" w:sz="6" w:space="1" w:color="000000"/>
              </w:rPr>
              <w:t> </w:t>
            </w:r>
          </w:p>
        </w:tc>
        <w:tc>
          <w:tcPr>
            <w:tcW w:w="980" w:type="dxa"/>
            <w:tcBorders/>
            <w:shd w:fill="auto" w:val="clear"/>
            <w:vAlign w:val="center"/>
          </w:tcPr>
          <w:p>
            <w:pPr>
              <w:pStyle w:val="TableContents"/>
              <w:spacing w:before="0" w:after="0"/>
              <w:rPr>
                <w:bdr w:val="double" w:sz="6" w:space="1" w:color="000000"/>
              </w:rPr>
            </w:pPr>
            <w:r>
              <w:rPr>
                <w:bdr w:val="double" w:sz="6"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double" w:sz="6" w:space="1" w:color="000000"/>
              </w:rPr>
            </w:pPr>
            <w:r>
              <w:rPr>
                <w:bdr w:val="double" w:sz="6" w:space="1" w:color="000000"/>
              </w:rPr>
              <w:t> </w:t>
            </w:r>
          </w:p>
        </w:tc>
        <w:tc>
          <w:tcPr>
            <w:tcW w:w="980" w:type="dxa"/>
            <w:tcBorders/>
            <w:shd w:fill="auto" w:val="clear"/>
            <w:vAlign w:val="center"/>
          </w:tcPr>
          <w:p>
            <w:pPr>
              <w:pStyle w:val="TableContents"/>
              <w:spacing w:before="0" w:after="0"/>
              <w:rPr>
                <w:bdr w:val="double" w:sz="6" w:space="1" w:color="000000"/>
              </w:rPr>
            </w:pPr>
            <w:r>
              <w:rPr>
                <w:bdr w:val="double" w:sz="6" w:space="1" w:color="000000"/>
              </w:rPr>
              <w:t> </w:t>
            </w:r>
          </w:p>
        </w:tc>
        <w:tc>
          <w:tcPr>
            <w:tcW w:w="170" w:type="dxa"/>
            <w:tcBorders/>
            <w:shd w:fill="auto" w:val="clear"/>
            <w:vAlign w:val="center"/>
          </w:tcPr>
          <w:p>
            <w:pPr>
              <w:pStyle w:val="TableContents"/>
              <w:spacing w:before="0" w:after="283"/>
              <w:rPr/>
            </w:pPr>
            <w:r>
              <w:rPr/>
              <w:t> </w:t>
            </w:r>
          </w:p>
        </w:tc>
      </w:tr>
    </w:tbl>
    <w:p>
      <w:pPr>
        <w:pStyle w:val="TextBody"/>
        <w:spacing w:before="240" w:after="0"/>
        <w:jc w:val="center"/>
        <w:rPr>
          <w:rFonts w:ascii="Times New Roman" w:hAnsi="Times New Roman"/>
          <w:spacing w:val="0"/>
          <w:sz w:val="20"/>
        </w:rPr>
      </w:pPr>
      <w:r>
        <w:rPr>
          <w:rFonts w:ascii="Times New Roman" w:hAnsi="Times New Roman"/>
          <w:spacing w:val="0"/>
          <w:sz w:val="20"/>
        </w:rPr>
        <w:t xml:space="preserve">See accompanying notes to consolidated financial statements.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F-4 </w:t>
      </w:r>
    </w:p>
    <w:p>
      <w:pPr>
        <w:pStyle w:val="HorizontalLine"/>
        <w:rPr/>
      </w:pPr>
      <w:r>
        <w:rPr/>
      </w:r>
    </w:p>
    <w:p>
      <w:pPr>
        <w:pStyle w:val="TextBody"/>
        <w:spacing w:before="0" w:after="0"/>
        <w:rPr/>
      </w:pPr>
      <w:hyperlink w:anchor="toc">
        <w:r>
          <w:rPr>
            <w:rStyle w:val="InternetLink"/>
            <w:b/>
            <w:sz w:val="20"/>
          </w:rPr>
          <w:t>Table of Contents</w:t>
        </w:r>
      </w:hyperlink>
    </w:p>
    <w:p>
      <w:pPr>
        <w:pStyle w:val="TextBody"/>
        <w:spacing w:before="0" w:after="0"/>
        <w:jc w:val="center"/>
        <w:rPr>
          <w:rFonts w:ascii="Times New Roman" w:hAnsi="Times New Roman"/>
          <w:b/>
          <w:spacing w:val="0"/>
          <w:sz w:val="20"/>
        </w:rPr>
      </w:pPr>
      <w:r>
        <w:rPr>
          <w:rFonts w:ascii="Times New Roman" w:hAnsi="Times New Roman"/>
          <w:b/>
          <w:spacing w:val="0"/>
          <w:sz w:val="20"/>
        </w:rPr>
        <w:t xml:space="preserve">DAVE &amp; BUSTER’S ENTERTAINMENT, INC. </w:t>
      </w:r>
    </w:p>
    <w:p>
      <w:pPr>
        <w:pStyle w:val="TextBody"/>
        <w:spacing w:before="120" w:after="0"/>
        <w:jc w:val="center"/>
        <w:rPr>
          <w:rFonts w:ascii="Times New Roman" w:hAnsi="Times New Roman"/>
          <w:b/>
          <w:spacing w:val="0"/>
          <w:sz w:val="20"/>
        </w:rPr>
      </w:pPr>
      <w:r>
        <w:rPr>
          <w:rFonts w:ascii="Times New Roman" w:hAnsi="Times New Roman"/>
          <w:b/>
          <w:spacing w:val="0"/>
          <w:sz w:val="20"/>
        </w:rPr>
        <w:t xml:space="preserve">CONSOLIDATED STATEMENTS OF COMPREHENSIVE INCOME (LOSS)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(in thousands, except share and per share amounts) </w:t>
      </w:r>
    </w:p>
    <w:p>
      <w:pPr>
        <w:pStyle w:val="TextBody"/>
        <w:spacing w:before="0" w:after="0"/>
        <w:jc w:val="left"/>
        <w:rPr>
          <w:spacing w:val="0"/>
        </w:rPr>
      </w:pPr>
      <w:r>
        <w:rPr>
          <w:spacing w:val="0"/>
        </w:rPr>
        <w:t> </w:t>
      </w:r>
    </w:p>
    <w:tbl>
      <w:tblPr>
        <w:tblW w:w="9050" w:type="dxa"/>
        <w:jc w:val="left"/>
        <w:tblInd w:w="0" w:type="dxa"/>
        <w:tblCellMar>
          <w:top w:w="0" w:type="dxa"/>
          <w:left w:w="0" w:type="dxa"/>
          <w:bottom w:w="0" w:type="dxa"/>
          <w:right w:w="0" w:type="dxa"/>
        </w:tblCellMar>
      </w:tblPr>
      <w:tblGrid>
        <w:gridCol w:w="4610"/>
        <w:gridCol w:w="120"/>
        <w:gridCol w:w="140"/>
        <w:gridCol w:w="1100"/>
        <w:gridCol w:w="155"/>
        <w:gridCol w:w="60"/>
        <w:gridCol w:w="140"/>
        <w:gridCol w:w="1100"/>
        <w:gridCol w:w="155"/>
        <w:gridCol w:w="60"/>
        <w:gridCol w:w="140"/>
        <w:gridCol w:w="1100"/>
        <w:gridCol w:w="170"/>
      </w:tblGrid>
      <w:tr>
        <w:trPr/>
        <w:tc>
          <w:tcPr>
            <w:tcW w:w="461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100"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100"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100"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r>
      <w:tr>
        <w:trPr/>
        <w:tc>
          <w:tcPr>
            <w:tcW w:w="461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240" w:type="dxa"/>
            <w:gridSpan w:val="2"/>
            <w:tcBorders/>
            <w:shd w:fill="auto" w:val="clear"/>
            <w:vAlign w:val="center"/>
          </w:tcPr>
          <w:p>
            <w:pPr>
              <w:pStyle w:val="TableContents"/>
              <w:spacing w:before="0" w:after="0"/>
              <w:jc w:val="center"/>
              <w:rPr>
                <w:b/>
                <w:spacing w:val="0"/>
              </w:rPr>
            </w:pPr>
            <w:r>
              <w:rPr>
                <w:b/>
                <w:spacing w:val="0"/>
              </w:rPr>
              <w:t>Fiscal Year</w:t>
              <w:br/>
              <w:t>Ended</w:t>
              <w:br/>
              <w:t>January 31,</w:t>
              <w:br/>
              <w:t>2021</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40" w:type="dxa"/>
            <w:gridSpan w:val="2"/>
            <w:tcBorders/>
            <w:shd w:fill="auto" w:val="clear"/>
            <w:vAlign w:val="center"/>
          </w:tcPr>
          <w:p>
            <w:pPr>
              <w:pStyle w:val="TableContents"/>
              <w:spacing w:before="0" w:after="0"/>
              <w:jc w:val="center"/>
              <w:rPr>
                <w:b/>
                <w:spacing w:val="0"/>
              </w:rPr>
            </w:pPr>
            <w:r>
              <w:rPr>
                <w:b/>
                <w:spacing w:val="0"/>
              </w:rPr>
              <w:t>Fiscal Year</w:t>
              <w:br/>
              <w:t>Ended</w:t>
              <w:br/>
              <w:t>February 2,</w:t>
              <w:br/>
              <w:t>2020</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40" w:type="dxa"/>
            <w:gridSpan w:val="2"/>
            <w:tcBorders/>
            <w:shd w:fill="auto" w:val="clear"/>
            <w:vAlign w:val="center"/>
          </w:tcPr>
          <w:p>
            <w:pPr>
              <w:pStyle w:val="TableContents"/>
              <w:spacing w:before="0" w:after="0"/>
              <w:jc w:val="center"/>
              <w:rPr>
                <w:b/>
                <w:spacing w:val="0"/>
              </w:rPr>
            </w:pPr>
            <w:r>
              <w:rPr>
                <w:b/>
                <w:spacing w:val="0"/>
              </w:rPr>
              <w:t>Fiscal Year</w:t>
              <w:br/>
              <w:t>Ended</w:t>
              <w:br/>
              <w:t>February 3,</w:t>
              <w:br/>
              <w:t>2019</w:t>
            </w:r>
          </w:p>
        </w:tc>
        <w:tc>
          <w:tcPr>
            <w:tcW w:w="170" w:type="dxa"/>
            <w:tcBorders/>
            <w:shd w:fill="auto" w:val="clear"/>
            <w:vAlign w:val="center"/>
          </w:tcPr>
          <w:p>
            <w:pPr>
              <w:pStyle w:val="TableContents"/>
              <w:spacing w:before="0" w:after="283"/>
              <w:rPr/>
            </w:pPr>
            <w:r>
              <w:rPr/>
              <w:t> </w:t>
            </w:r>
          </w:p>
        </w:tc>
      </w:tr>
      <w:tr>
        <w:trPr/>
        <w:tc>
          <w:tcPr>
            <w:tcW w:w="461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Food and beverage revenues</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1100" w:type="dxa"/>
            <w:tcBorders/>
            <w:shd w:fill="CCEEFF" w:val="clear"/>
            <w:vAlign w:val="center"/>
          </w:tcPr>
          <w:p>
            <w:pPr>
              <w:pStyle w:val="TableContents"/>
              <w:spacing w:before="0" w:after="283"/>
              <w:jc w:val="right"/>
              <w:rPr/>
            </w:pPr>
            <w:r>
              <w:rPr/>
              <w:t>159,501</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1100" w:type="dxa"/>
            <w:tcBorders/>
            <w:shd w:fill="CCEEFF" w:val="clear"/>
            <w:vAlign w:val="center"/>
          </w:tcPr>
          <w:p>
            <w:pPr>
              <w:pStyle w:val="TableContents"/>
              <w:spacing w:before="0" w:after="283"/>
              <w:jc w:val="right"/>
              <w:rPr/>
            </w:pPr>
            <w:r>
              <w:rPr/>
              <w:t>563,576</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1100" w:type="dxa"/>
            <w:tcBorders/>
            <w:shd w:fill="CCEEFF" w:val="clear"/>
            <w:vAlign w:val="center"/>
          </w:tcPr>
          <w:p>
            <w:pPr>
              <w:pStyle w:val="TableContents"/>
              <w:spacing w:before="0" w:after="283"/>
              <w:jc w:val="right"/>
              <w:rPr/>
            </w:pPr>
            <w:r>
              <w:rPr/>
              <w:t>536,469</w:t>
            </w:r>
          </w:p>
        </w:tc>
        <w:tc>
          <w:tcPr>
            <w:tcW w:w="170" w:type="dxa"/>
            <w:tcBorders/>
            <w:shd w:fill="CCEEFF" w:val="clear"/>
            <w:vAlign w:val="center"/>
          </w:tcPr>
          <w:p>
            <w:pPr>
              <w:pStyle w:val="TableContents"/>
              <w:spacing w:before="0" w:after="283"/>
              <w:rPr/>
            </w:pPr>
            <w:r>
              <w:rPr/>
              <w:t> </w:t>
            </w:r>
          </w:p>
        </w:tc>
      </w:tr>
      <w:tr>
        <w:trPr/>
        <w:tc>
          <w:tcPr>
            <w:tcW w:w="461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Amusement and other revenues</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277,011</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791,115</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728,832</w:t>
            </w:r>
          </w:p>
        </w:tc>
        <w:tc>
          <w:tcPr>
            <w:tcW w:w="170" w:type="dxa"/>
            <w:tcBorders/>
            <w:shd w:fill="auto" w:val="clear"/>
            <w:vAlign w:val="center"/>
          </w:tcPr>
          <w:p>
            <w:pPr>
              <w:pStyle w:val="TableContents"/>
              <w:spacing w:before="0" w:after="283"/>
              <w:rPr/>
            </w:pPr>
            <w:r>
              <w:rPr/>
              <w:t> </w:t>
            </w:r>
          </w:p>
        </w:tc>
      </w:tr>
      <w:tr>
        <w:trPr/>
        <w:tc>
          <w:tcPr>
            <w:tcW w:w="461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single" w:sz="2" w:space="1" w:color="000000"/>
              </w:rPr>
            </w:pPr>
            <w:r>
              <w:rPr>
                <w:bdr w:val="single" w:sz="2" w:space="1" w:color="000000"/>
              </w:rPr>
              <w:t> </w:t>
            </w:r>
          </w:p>
        </w:tc>
        <w:tc>
          <w:tcPr>
            <w:tcW w:w="1100"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single" w:sz="2" w:space="1" w:color="000000"/>
              </w:rPr>
            </w:pPr>
            <w:r>
              <w:rPr>
                <w:bdr w:val="single" w:sz="2" w:space="1" w:color="000000"/>
              </w:rPr>
              <w:t> </w:t>
            </w:r>
          </w:p>
        </w:tc>
        <w:tc>
          <w:tcPr>
            <w:tcW w:w="1100"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single" w:sz="2" w:space="1" w:color="000000"/>
              </w:rPr>
            </w:pPr>
            <w:r>
              <w:rPr>
                <w:bdr w:val="single" w:sz="2" w:space="1" w:color="000000"/>
              </w:rPr>
              <w:t> </w:t>
            </w:r>
          </w:p>
        </w:tc>
        <w:tc>
          <w:tcPr>
            <w:tcW w:w="1100" w:type="dxa"/>
            <w:tcBorders/>
            <w:shd w:fill="auto" w:val="clear"/>
            <w:vAlign w:val="center"/>
          </w:tcPr>
          <w:p>
            <w:pPr>
              <w:pStyle w:val="TableContents"/>
              <w:spacing w:before="0" w:after="0"/>
              <w:rPr>
                <w:bdr w:val="single" w:sz="2" w:space="1" w:color="000000"/>
              </w:rPr>
            </w:pPr>
            <w:r>
              <w:rPr>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461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Total revenues</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436,512</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1,354,691</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1,265,301</w:t>
            </w:r>
          </w:p>
        </w:tc>
        <w:tc>
          <w:tcPr>
            <w:tcW w:w="170" w:type="dxa"/>
            <w:tcBorders/>
            <w:shd w:fill="CCEEFF" w:val="clear"/>
            <w:vAlign w:val="center"/>
          </w:tcPr>
          <w:p>
            <w:pPr>
              <w:pStyle w:val="TableContents"/>
              <w:spacing w:before="0" w:after="283"/>
              <w:rPr/>
            </w:pPr>
            <w:r>
              <w:rPr/>
              <w:t> </w:t>
            </w:r>
          </w:p>
        </w:tc>
      </w:tr>
      <w:tr>
        <w:trPr/>
        <w:tc>
          <w:tcPr>
            <w:tcW w:w="461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Cost of food and beverage</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45,207</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148,196</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139,199</w:t>
            </w:r>
          </w:p>
        </w:tc>
        <w:tc>
          <w:tcPr>
            <w:tcW w:w="170" w:type="dxa"/>
            <w:tcBorders/>
            <w:shd w:fill="auto" w:val="clear"/>
            <w:vAlign w:val="center"/>
          </w:tcPr>
          <w:p>
            <w:pPr>
              <w:pStyle w:val="TableContents"/>
              <w:spacing w:before="0" w:after="283"/>
              <w:rPr/>
            </w:pPr>
            <w:r>
              <w:rPr/>
              <w:t> </w:t>
            </w:r>
          </w:p>
        </w:tc>
      </w:tr>
      <w:tr>
        <w:trPr/>
        <w:tc>
          <w:tcPr>
            <w:tcW w:w="461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Cost of amusement and other</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29,698</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85,115</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81,064</w:t>
            </w:r>
          </w:p>
        </w:tc>
        <w:tc>
          <w:tcPr>
            <w:tcW w:w="170" w:type="dxa"/>
            <w:tcBorders/>
            <w:shd w:fill="CCEEFF" w:val="clear"/>
            <w:vAlign w:val="center"/>
          </w:tcPr>
          <w:p>
            <w:pPr>
              <w:pStyle w:val="TableContents"/>
              <w:spacing w:before="0" w:after="283"/>
              <w:rPr/>
            </w:pPr>
            <w:r>
              <w:rPr/>
              <w:t> </w:t>
            </w:r>
          </w:p>
        </w:tc>
      </w:tr>
      <w:tr>
        <w:trPr/>
        <w:tc>
          <w:tcPr>
            <w:tcW w:w="461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single" w:sz="2" w:space="1" w:color="000000"/>
              </w:rPr>
            </w:pPr>
            <w:r>
              <w:rPr>
                <w:bdr w:val="single" w:sz="2" w:space="1" w:color="000000"/>
              </w:rPr>
              <w:t> </w:t>
            </w:r>
          </w:p>
        </w:tc>
        <w:tc>
          <w:tcPr>
            <w:tcW w:w="1100"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single" w:sz="2" w:space="1" w:color="000000"/>
              </w:rPr>
            </w:pPr>
            <w:r>
              <w:rPr>
                <w:bdr w:val="single" w:sz="2" w:space="1" w:color="000000"/>
              </w:rPr>
              <w:t> </w:t>
            </w:r>
          </w:p>
        </w:tc>
        <w:tc>
          <w:tcPr>
            <w:tcW w:w="1100"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single" w:sz="2" w:space="1" w:color="000000"/>
              </w:rPr>
            </w:pPr>
            <w:r>
              <w:rPr>
                <w:bdr w:val="single" w:sz="2" w:space="1" w:color="000000"/>
              </w:rPr>
              <w:t> </w:t>
            </w:r>
          </w:p>
        </w:tc>
        <w:tc>
          <w:tcPr>
            <w:tcW w:w="1100" w:type="dxa"/>
            <w:tcBorders/>
            <w:shd w:fill="auto" w:val="clear"/>
            <w:vAlign w:val="center"/>
          </w:tcPr>
          <w:p>
            <w:pPr>
              <w:pStyle w:val="TableContents"/>
              <w:spacing w:before="0" w:after="0"/>
              <w:rPr>
                <w:bdr w:val="single" w:sz="2" w:space="1" w:color="000000"/>
              </w:rPr>
            </w:pPr>
            <w:r>
              <w:rPr>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461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Total cost of products</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74,905</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233,311</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220,263</w:t>
            </w:r>
          </w:p>
        </w:tc>
        <w:tc>
          <w:tcPr>
            <w:tcW w:w="170" w:type="dxa"/>
            <w:tcBorders/>
            <w:shd w:fill="auto" w:val="clear"/>
            <w:vAlign w:val="center"/>
          </w:tcPr>
          <w:p>
            <w:pPr>
              <w:pStyle w:val="TableContents"/>
              <w:spacing w:before="0" w:after="283"/>
              <w:rPr/>
            </w:pPr>
            <w:r>
              <w:rPr/>
              <w:t> </w:t>
            </w:r>
          </w:p>
        </w:tc>
      </w:tr>
      <w:tr>
        <w:trPr/>
        <w:tc>
          <w:tcPr>
            <w:tcW w:w="461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Operating payroll and benefits</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117,475</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322,970</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296,924</w:t>
            </w:r>
          </w:p>
        </w:tc>
        <w:tc>
          <w:tcPr>
            <w:tcW w:w="170" w:type="dxa"/>
            <w:tcBorders/>
            <w:shd w:fill="CCEEFF" w:val="clear"/>
            <w:vAlign w:val="center"/>
          </w:tcPr>
          <w:p>
            <w:pPr>
              <w:pStyle w:val="TableContents"/>
              <w:spacing w:before="0" w:after="283"/>
              <w:rPr/>
            </w:pPr>
            <w:r>
              <w:rPr/>
              <w:t> </w:t>
            </w:r>
          </w:p>
        </w:tc>
      </w:tr>
      <w:tr>
        <w:trPr/>
        <w:tc>
          <w:tcPr>
            <w:tcW w:w="461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Other store operating expenses</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299,464</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429,431</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384,155</w:t>
            </w:r>
          </w:p>
        </w:tc>
        <w:tc>
          <w:tcPr>
            <w:tcW w:w="170" w:type="dxa"/>
            <w:tcBorders/>
            <w:shd w:fill="auto" w:val="clear"/>
            <w:vAlign w:val="center"/>
          </w:tcPr>
          <w:p>
            <w:pPr>
              <w:pStyle w:val="TableContents"/>
              <w:spacing w:before="0" w:after="283"/>
              <w:rPr/>
            </w:pPr>
            <w:r>
              <w:rPr/>
              <w:t> </w:t>
            </w:r>
          </w:p>
        </w:tc>
      </w:tr>
      <w:tr>
        <w:trPr/>
        <w:tc>
          <w:tcPr>
            <w:tcW w:w="461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General and administrative expenses</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47,215</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69,469</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61,521</w:t>
            </w:r>
          </w:p>
        </w:tc>
        <w:tc>
          <w:tcPr>
            <w:tcW w:w="170" w:type="dxa"/>
            <w:tcBorders/>
            <w:shd w:fill="CCEEFF" w:val="clear"/>
            <w:vAlign w:val="center"/>
          </w:tcPr>
          <w:p>
            <w:pPr>
              <w:pStyle w:val="TableContents"/>
              <w:spacing w:before="0" w:after="283"/>
              <w:rPr/>
            </w:pPr>
            <w:r>
              <w:rPr/>
              <w:t> </w:t>
            </w:r>
          </w:p>
        </w:tc>
      </w:tr>
      <w:tr>
        <w:trPr/>
        <w:tc>
          <w:tcPr>
            <w:tcW w:w="461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Depreciation and amortization expense</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138,789</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132,460</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118,275</w:t>
            </w:r>
          </w:p>
        </w:tc>
        <w:tc>
          <w:tcPr>
            <w:tcW w:w="170" w:type="dxa"/>
            <w:tcBorders/>
            <w:shd w:fill="auto" w:val="clear"/>
            <w:vAlign w:val="center"/>
          </w:tcPr>
          <w:p>
            <w:pPr>
              <w:pStyle w:val="TableContents"/>
              <w:spacing w:before="0" w:after="283"/>
              <w:rPr/>
            </w:pPr>
            <w:r>
              <w:rPr/>
              <w:t> </w:t>
            </w:r>
          </w:p>
        </w:tc>
      </w:tr>
      <w:tr>
        <w:trPr/>
        <w:tc>
          <w:tcPr>
            <w:tcW w:w="461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Pre-opening</w:t>
            </w:r>
          </w:p>
          <w:p>
            <w:pPr>
              <w:pStyle w:val="TableContents"/>
              <w:spacing w:before="0" w:after="0"/>
              <w:rPr>
                <w:rFonts w:ascii="Times New Roman" w:hAnsi="Times New Roman"/>
                <w:sz w:val="20"/>
              </w:rPr>
            </w:pPr>
            <w:r>
              <w:rPr>
                <w:rFonts w:ascii="Times New Roman" w:hAnsi="Times New Roman"/>
                <w:sz w:val="20"/>
              </w:rPr>
              <w:t>costs</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11,276</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18,971</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23,163</w:t>
            </w:r>
          </w:p>
        </w:tc>
        <w:tc>
          <w:tcPr>
            <w:tcW w:w="170" w:type="dxa"/>
            <w:tcBorders/>
            <w:shd w:fill="CCEEFF" w:val="clear"/>
            <w:vAlign w:val="center"/>
          </w:tcPr>
          <w:p>
            <w:pPr>
              <w:pStyle w:val="TableContents"/>
              <w:spacing w:before="0" w:after="283"/>
              <w:rPr/>
            </w:pPr>
            <w:r>
              <w:rPr/>
              <w:t> </w:t>
            </w:r>
          </w:p>
        </w:tc>
      </w:tr>
      <w:tr>
        <w:trPr/>
        <w:tc>
          <w:tcPr>
            <w:tcW w:w="461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single" w:sz="2" w:space="1" w:color="000000"/>
              </w:rPr>
            </w:pPr>
            <w:r>
              <w:rPr>
                <w:bdr w:val="single" w:sz="2" w:space="1" w:color="000000"/>
              </w:rPr>
              <w:t> </w:t>
            </w:r>
          </w:p>
        </w:tc>
        <w:tc>
          <w:tcPr>
            <w:tcW w:w="1100"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single" w:sz="2" w:space="1" w:color="000000"/>
              </w:rPr>
            </w:pPr>
            <w:r>
              <w:rPr>
                <w:bdr w:val="single" w:sz="2" w:space="1" w:color="000000"/>
              </w:rPr>
              <w:t> </w:t>
            </w:r>
          </w:p>
        </w:tc>
        <w:tc>
          <w:tcPr>
            <w:tcW w:w="1100"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single" w:sz="2" w:space="1" w:color="000000"/>
              </w:rPr>
            </w:pPr>
            <w:r>
              <w:rPr>
                <w:bdr w:val="single" w:sz="2" w:space="1" w:color="000000"/>
              </w:rPr>
              <w:t> </w:t>
            </w:r>
          </w:p>
        </w:tc>
        <w:tc>
          <w:tcPr>
            <w:tcW w:w="1100" w:type="dxa"/>
            <w:tcBorders/>
            <w:shd w:fill="auto" w:val="clear"/>
            <w:vAlign w:val="center"/>
          </w:tcPr>
          <w:p>
            <w:pPr>
              <w:pStyle w:val="TableContents"/>
              <w:spacing w:before="0" w:after="0"/>
              <w:rPr>
                <w:bdr w:val="single" w:sz="2" w:space="1" w:color="000000"/>
              </w:rPr>
            </w:pPr>
            <w:r>
              <w:rPr>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461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Total operating costs</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689,124</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1,206,612</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1,104,301</w:t>
            </w:r>
          </w:p>
        </w:tc>
        <w:tc>
          <w:tcPr>
            <w:tcW w:w="170" w:type="dxa"/>
            <w:tcBorders/>
            <w:shd w:fill="auto" w:val="clear"/>
            <w:vAlign w:val="center"/>
          </w:tcPr>
          <w:p>
            <w:pPr>
              <w:pStyle w:val="TableContents"/>
              <w:spacing w:before="0" w:after="283"/>
              <w:rPr/>
            </w:pPr>
            <w:r>
              <w:rPr/>
              <w:t> </w:t>
            </w:r>
          </w:p>
        </w:tc>
      </w:tr>
      <w:tr>
        <w:trPr/>
        <w:tc>
          <w:tcPr>
            <w:tcW w:w="461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single" w:sz="2" w:space="1" w:color="000000"/>
              </w:rPr>
            </w:pPr>
            <w:r>
              <w:rPr>
                <w:bdr w:val="single" w:sz="2" w:space="1" w:color="000000"/>
              </w:rPr>
              <w:t> </w:t>
            </w:r>
          </w:p>
        </w:tc>
        <w:tc>
          <w:tcPr>
            <w:tcW w:w="1100"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single" w:sz="2" w:space="1" w:color="000000"/>
              </w:rPr>
            </w:pPr>
            <w:r>
              <w:rPr>
                <w:bdr w:val="single" w:sz="2" w:space="1" w:color="000000"/>
              </w:rPr>
              <w:t> </w:t>
            </w:r>
          </w:p>
        </w:tc>
        <w:tc>
          <w:tcPr>
            <w:tcW w:w="1100"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single" w:sz="2" w:space="1" w:color="000000"/>
              </w:rPr>
            </w:pPr>
            <w:r>
              <w:rPr>
                <w:bdr w:val="single" w:sz="2" w:space="1" w:color="000000"/>
              </w:rPr>
              <w:t> </w:t>
            </w:r>
          </w:p>
        </w:tc>
        <w:tc>
          <w:tcPr>
            <w:tcW w:w="1100" w:type="dxa"/>
            <w:tcBorders/>
            <w:shd w:fill="auto" w:val="clear"/>
            <w:vAlign w:val="center"/>
          </w:tcPr>
          <w:p>
            <w:pPr>
              <w:pStyle w:val="TableContents"/>
              <w:spacing w:before="0" w:after="0"/>
              <w:rPr>
                <w:bdr w:val="single" w:sz="2" w:space="1" w:color="000000"/>
              </w:rPr>
            </w:pPr>
            <w:r>
              <w:rPr>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461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Operating income (loss)</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(252,612</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148,079</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161,000</w:t>
            </w:r>
          </w:p>
        </w:tc>
        <w:tc>
          <w:tcPr>
            <w:tcW w:w="170" w:type="dxa"/>
            <w:tcBorders/>
            <w:shd w:fill="CCEEFF" w:val="clear"/>
            <w:vAlign w:val="center"/>
          </w:tcPr>
          <w:p>
            <w:pPr>
              <w:pStyle w:val="TableContents"/>
              <w:spacing w:before="0" w:after="283"/>
              <w:rPr/>
            </w:pPr>
            <w:r>
              <w:rPr/>
              <w:t> </w:t>
            </w:r>
          </w:p>
        </w:tc>
      </w:tr>
      <w:tr>
        <w:trPr/>
        <w:tc>
          <w:tcPr>
            <w:tcW w:w="461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Interest expense, net</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36,890</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20,937</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13,113</w:t>
            </w:r>
          </w:p>
        </w:tc>
        <w:tc>
          <w:tcPr>
            <w:tcW w:w="170" w:type="dxa"/>
            <w:tcBorders/>
            <w:shd w:fill="auto" w:val="clear"/>
            <w:vAlign w:val="center"/>
          </w:tcPr>
          <w:p>
            <w:pPr>
              <w:pStyle w:val="TableContents"/>
              <w:spacing w:before="0" w:after="283"/>
              <w:rPr/>
            </w:pPr>
            <w:r>
              <w:rPr/>
              <w:t> </w:t>
            </w:r>
          </w:p>
        </w:tc>
      </w:tr>
      <w:tr>
        <w:trPr/>
        <w:tc>
          <w:tcPr>
            <w:tcW w:w="461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Loss on debt refinance</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904</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  </w:t>
            </w:r>
          </w:p>
        </w:tc>
        <w:tc>
          <w:tcPr>
            <w:tcW w:w="170" w:type="dxa"/>
            <w:tcBorders/>
            <w:shd w:fill="CCEEFF" w:val="clear"/>
            <w:vAlign w:val="center"/>
          </w:tcPr>
          <w:p>
            <w:pPr>
              <w:pStyle w:val="TableContents"/>
              <w:spacing w:before="0" w:after="283"/>
              <w:rPr/>
            </w:pPr>
            <w:r>
              <w:rPr/>
              <w:t> </w:t>
            </w:r>
          </w:p>
        </w:tc>
      </w:tr>
      <w:tr>
        <w:trPr/>
        <w:tc>
          <w:tcPr>
            <w:tcW w:w="461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single" w:sz="2" w:space="1" w:color="000000"/>
              </w:rPr>
            </w:pPr>
            <w:r>
              <w:rPr>
                <w:bdr w:val="single" w:sz="2" w:space="1" w:color="000000"/>
              </w:rPr>
              <w:t> </w:t>
            </w:r>
          </w:p>
        </w:tc>
        <w:tc>
          <w:tcPr>
            <w:tcW w:w="1100"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single" w:sz="2" w:space="1" w:color="000000"/>
              </w:rPr>
            </w:pPr>
            <w:r>
              <w:rPr>
                <w:bdr w:val="single" w:sz="2" w:space="1" w:color="000000"/>
              </w:rPr>
              <w:t> </w:t>
            </w:r>
          </w:p>
        </w:tc>
        <w:tc>
          <w:tcPr>
            <w:tcW w:w="1100"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single" w:sz="2" w:space="1" w:color="000000"/>
              </w:rPr>
            </w:pPr>
            <w:r>
              <w:rPr>
                <w:bdr w:val="single" w:sz="2" w:space="1" w:color="000000"/>
              </w:rPr>
              <w:t> </w:t>
            </w:r>
          </w:p>
        </w:tc>
        <w:tc>
          <w:tcPr>
            <w:tcW w:w="1100" w:type="dxa"/>
            <w:tcBorders/>
            <w:shd w:fill="auto" w:val="clear"/>
            <w:vAlign w:val="center"/>
          </w:tcPr>
          <w:p>
            <w:pPr>
              <w:pStyle w:val="TableContents"/>
              <w:spacing w:before="0" w:after="0"/>
              <w:rPr>
                <w:bdr w:val="single" w:sz="2" w:space="1" w:color="000000"/>
              </w:rPr>
            </w:pPr>
            <w:r>
              <w:rPr>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461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Income (loss) before provision (benefit) for income taxes</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(290,406</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127,142</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147,887</w:t>
            </w:r>
          </w:p>
        </w:tc>
        <w:tc>
          <w:tcPr>
            <w:tcW w:w="170" w:type="dxa"/>
            <w:tcBorders/>
            <w:shd w:fill="auto" w:val="clear"/>
            <w:vAlign w:val="center"/>
          </w:tcPr>
          <w:p>
            <w:pPr>
              <w:pStyle w:val="TableContents"/>
              <w:spacing w:before="0" w:after="283"/>
              <w:rPr/>
            </w:pPr>
            <w:r>
              <w:rPr/>
              <w:t> </w:t>
            </w:r>
          </w:p>
        </w:tc>
      </w:tr>
      <w:tr>
        <w:trPr/>
        <w:tc>
          <w:tcPr>
            <w:tcW w:w="461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Provision (benefit) for income taxes</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(83,432</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26,879</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30,666</w:t>
            </w:r>
          </w:p>
        </w:tc>
        <w:tc>
          <w:tcPr>
            <w:tcW w:w="170" w:type="dxa"/>
            <w:tcBorders/>
            <w:shd w:fill="CCEEFF" w:val="clear"/>
            <w:vAlign w:val="center"/>
          </w:tcPr>
          <w:p>
            <w:pPr>
              <w:pStyle w:val="TableContents"/>
              <w:spacing w:before="0" w:after="283"/>
              <w:rPr/>
            </w:pPr>
            <w:r>
              <w:rPr/>
              <w:t> </w:t>
            </w:r>
          </w:p>
        </w:tc>
      </w:tr>
      <w:tr>
        <w:trPr/>
        <w:tc>
          <w:tcPr>
            <w:tcW w:w="461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single" w:sz="2" w:space="1" w:color="000000"/>
              </w:rPr>
            </w:pPr>
            <w:r>
              <w:rPr>
                <w:bdr w:val="single" w:sz="2" w:space="1" w:color="000000"/>
              </w:rPr>
              <w:t> </w:t>
            </w:r>
          </w:p>
        </w:tc>
        <w:tc>
          <w:tcPr>
            <w:tcW w:w="1100"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single" w:sz="2" w:space="1" w:color="000000"/>
              </w:rPr>
            </w:pPr>
            <w:r>
              <w:rPr>
                <w:bdr w:val="single" w:sz="2" w:space="1" w:color="000000"/>
              </w:rPr>
              <w:t> </w:t>
            </w:r>
          </w:p>
        </w:tc>
        <w:tc>
          <w:tcPr>
            <w:tcW w:w="1100"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single" w:sz="2" w:space="1" w:color="000000"/>
              </w:rPr>
            </w:pPr>
            <w:r>
              <w:rPr>
                <w:bdr w:val="single" w:sz="2" w:space="1" w:color="000000"/>
              </w:rPr>
              <w:t> </w:t>
            </w:r>
          </w:p>
        </w:tc>
        <w:tc>
          <w:tcPr>
            <w:tcW w:w="1100" w:type="dxa"/>
            <w:tcBorders/>
            <w:shd w:fill="auto" w:val="clear"/>
            <w:vAlign w:val="center"/>
          </w:tcPr>
          <w:p>
            <w:pPr>
              <w:pStyle w:val="TableContents"/>
              <w:spacing w:before="0" w:after="0"/>
              <w:rPr>
                <w:bdr w:val="single" w:sz="2" w:space="1" w:color="000000"/>
              </w:rPr>
            </w:pPr>
            <w:r>
              <w:rPr>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461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Net income (loss)</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(206,974</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100,263</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117,221</w:t>
            </w:r>
          </w:p>
        </w:tc>
        <w:tc>
          <w:tcPr>
            <w:tcW w:w="170" w:type="dxa"/>
            <w:tcBorders/>
            <w:shd w:fill="auto" w:val="clear"/>
            <w:vAlign w:val="center"/>
          </w:tcPr>
          <w:p>
            <w:pPr>
              <w:pStyle w:val="TableContents"/>
              <w:spacing w:before="0" w:after="283"/>
              <w:rPr/>
            </w:pPr>
            <w:r>
              <w:rPr/>
              <w:t> </w:t>
            </w:r>
          </w:p>
        </w:tc>
      </w:tr>
      <w:tr>
        <w:trPr/>
        <w:tc>
          <w:tcPr>
            <w:tcW w:w="461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single" w:sz="2" w:space="1" w:color="000000"/>
              </w:rPr>
            </w:pPr>
            <w:r>
              <w:rPr>
                <w:bdr w:val="single" w:sz="2" w:space="1" w:color="000000"/>
              </w:rPr>
              <w:t> </w:t>
            </w:r>
          </w:p>
        </w:tc>
        <w:tc>
          <w:tcPr>
            <w:tcW w:w="1100"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single" w:sz="2" w:space="1" w:color="000000"/>
              </w:rPr>
            </w:pPr>
            <w:r>
              <w:rPr>
                <w:bdr w:val="single" w:sz="2" w:space="1" w:color="000000"/>
              </w:rPr>
              <w:t> </w:t>
            </w:r>
          </w:p>
        </w:tc>
        <w:tc>
          <w:tcPr>
            <w:tcW w:w="1100"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single" w:sz="2" w:space="1" w:color="000000"/>
              </w:rPr>
            </w:pPr>
            <w:r>
              <w:rPr>
                <w:bdr w:val="single" w:sz="2" w:space="1" w:color="000000"/>
              </w:rPr>
              <w:t> </w:t>
            </w:r>
          </w:p>
        </w:tc>
        <w:tc>
          <w:tcPr>
            <w:tcW w:w="1100" w:type="dxa"/>
            <w:tcBorders/>
            <w:shd w:fill="auto" w:val="clear"/>
            <w:vAlign w:val="center"/>
          </w:tcPr>
          <w:p>
            <w:pPr>
              <w:pStyle w:val="TableContents"/>
              <w:spacing w:before="0" w:after="0"/>
              <w:rPr>
                <w:bdr w:val="single" w:sz="2" w:space="1" w:color="000000"/>
              </w:rPr>
            </w:pPr>
            <w:r>
              <w:rPr>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461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Unrealized foreign currency translation gain (loss)</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119</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(65</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(434</w:t>
            </w:r>
          </w:p>
        </w:tc>
        <w:tc>
          <w:tcPr>
            <w:tcW w:w="170" w:type="dxa"/>
            <w:tcBorders/>
            <w:shd w:fill="CCEEFF" w:val="clear"/>
            <w:vAlign w:val="center"/>
          </w:tcPr>
          <w:p>
            <w:pPr>
              <w:pStyle w:val="TableContents"/>
              <w:spacing w:before="0" w:after="283"/>
              <w:rPr/>
            </w:pPr>
            <w:r>
              <w:rPr/>
              <w:t>) </w:t>
            </w:r>
          </w:p>
        </w:tc>
      </w:tr>
      <w:tr>
        <w:trPr/>
        <w:tc>
          <w:tcPr>
            <w:tcW w:w="4610"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Unrealized loss on derivatives, net of tax</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(835</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(7,621</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  </w:t>
            </w:r>
          </w:p>
        </w:tc>
        <w:tc>
          <w:tcPr>
            <w:tcW w:w="170" w:type="dxa"/>
            <w:tcBorders/>
            <w:shd w:fill="auto" w:val="clear"/>
            <w:vAlign w:val="center"/>
          </w:tcPr>
          <w:p>
            <w:pPr>
              <w:pStyle w:val="TableContents"/>
              <w:spacing w:before="0" w:after="283"/>
              <w:rPr/>
            </w:pPr>
            <w:r>
              <w:rPr/>
              <w:t> </w:t>
            </w:r>
          </w:p>
        </w:tc>
      </w:tr>
      <w:tr>
        <w:trPr/>
        <w:tc>
          <w:tcPr>
            <w:tcW w:w="461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single" w:sz="2" w:space="1" w:color="000000"/>
              </w:rPr>
            </w:pPr>
            <w:r>
              <w:rPr>
                <w:bdr w:val="single" w:sz="2" w:space="1" w:color="000000"/>
              </w:rPr>
              <w:t> </w:t>
            </w:r>
          </w:p>
        </w:tc>
        <w:tc>
          <w:tcPr>
            <w:tcW w:w="1100"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single" w:sz="2" w:space="1" w:color="000000"/>
              </w:rPr>
            </w:pPr>
            <w:r>
              <w:rPr>
                <w:bdr w:val="single" w:sz="2" w:space="1" w:color="000000"/>
              </w:rPr>
              <w:t> </w:t>
            </w:r>
          </w:p>
        </w:tc>
        <w:tc>
          <w:tcPr>
            <w:tcW w:w="1100"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single" w:sz="2" w:space="1" w:color="000000"/>
              </w:rPr>
            </w:pPr>
            <w:r>
              <w:rPr>
                <w:bdr w:val="single" w:sz="2" w:space="1" w:color="000000"/>
              </w:rPr>
              <w:t> </w:t>
            </w:r>
          </w:p>
        </w:tc>
        <w:tc>
          <w:tcPr>
            <w:tcW w:w="1100" w:type="dxa"/>
            <w:tcBorders/>
            <w:shd w:fill="auto" w:val="clear"/>
            <w:vAlign w:val="center"/>
          </w:tcPr>
          <w:p>
            <w:pPr>
              <w:pStyle w:val="TableContents"/>
              <w:spacing w:before="0" w:after="0"/>
              <w:rPr>
                <w:bdr w:val="single" w:sz="2" w:space="1" w:color="000000"/>
              </w:rPr>
            </w:pPr>
            <w:r>
              <w:rPr>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4610"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Total other comprehensive loss</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(716</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(7,686</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(434</w:t>
            </w:r>
          </w:p>
        </w:tc>
        <w:tc>
          <w:tcPr>
            <w:tcW w:w="170" w:type="dxa"/>
            <w:tcBorders/>
            <w:shd w:fill="CCEEFF" w:val="clear"/>
            <w:vAlign w:val="center"/>
          </w:tcPr>
          <w:p>
            <w:pPr>
              <w:pStyle w:val="TableContents"/>
              <w:spacing w:before="0" w:after="283"/>
              <w:rPr/>
            </w:pPr>
            <w:r>
              <w:rPr/>
              <w:t>) </w:t>
            </w:r>
          </w:p>
        </w:tc>
      </w:tr>
      <w:tr>
        <w:trPr/>
        <w:tc>
          <w:tcPr>
            <w:tcW w:w="461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single" w:sz="2" w:space="1" w:color="000000"/>
              </w:rPr>
            </w:pPr>
            <w:r>
              <w:rPr>
                <w:bdr w:val="single" w:sz="2" w:space="1" w:color="000000"/>
              </w:rPr>
              <w:t> </w:t>
            </w:r>
          </w:p>
        </w:tc>
        <w:tc>
          <w:tcPr>
            <w:tcW w:w="1100"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single" w:sz="2" w:space="1" w:color="000000"/>
              </w:rPr>
            </w:pPr>
            <w:r>
              <w:rPr>
                <w:bdr w:val="single" w:sz="2" w:space="1" w:color="000000"/>
              </w:rPr>
              <w:t> </w:t>
            </w:r>
          </w:p>
        </w:tc>
        <w:tc>
          <w:tcPr>
            <w:tcW w:w="1100"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single" w:sz="2" w:space="1" w:color="000000"/>
              </w:rPr>
            </w:pPr>
            <w:r>
              <w:rPr>
                <w:bdr w:val="single" w:sz="2" w:space="1" w:color="000000"/>
              </w:rPr>
              <w:t> </w:t>
            </w:r>
          </w:p>
        </w:tc>
        <w:tc>
          <w:tcPr>
            <w:tcW w:w="1100" w:type="dxa"/>
            <w:tcBorders/>
            <w:shd w:fill="auto" w:val="clear"/>
            <w:vAlign w:val="center"/>
          </w:tcPr>
          <w:p>
            <w:pPr>
              <w:pStyle w:val="TableContents"/>
              <w:spacing w:before="0" w:after="0"/>
              <w:rPr>
                <w:bdr w:val="single" w:sz="2" w:space="1" w:color="000000"/>
              </w:rPr>
            </w:pPr>
            <w:r>
              <w:rPr>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461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Total comprehensive income (loss)</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1100" w:type="dxa"/>
            <w:tcBorders/>
            <w:shd w:fill="auto" w:val="clear"/>
            <w:vAlign w:val="center"/>
          </w:tcPr>
          <w:p>
            <w:pPr>
              <w:pStyle w:val="TableContents"/>
              <w:spacing w:before="0" w:after="283"/>
              <w:jc w:val="right"/>
              <w:rPr/>
            </w:pPr>
            <w:r>
              <w:rPr/>
              <w:t>(207,690</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1100" w:type="dxa"/>
            <w:tcBorders/>
            <w:shd w:fill="auto" w:val="clear"/>
            <w:vAlign w:val="center"/>
          </w:tcPr>
          <w:p>
            <w:pPr>
              <w:pStyle w:val="TableContents"/>
              <w:spacing w:before="0" w:after="283"/>
              <w:jc w:val="right"/>
              <w:rPr/>
            </w:pPr>
            <w:r>
              <w:rPr/>
              <w:t>92,577</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1100" w:type="dxa"/>
            <w:tcBorders/>
            <w:shd w:fill="auto" w:val="clear"/>
            <w:vAlign w:val="center"/>
          </w:tcPr>
          <w:p>
            <w:pPr>
              <w:pStyle w:val="TableContents"/>
              <w:spacing w:before="0" w:after="283"/>
              <w:jc w:val="right"/>
              <w:rPr/>
            </w:pPr>
            <w:r>
              <w:rPr/>
              <w:t>116,787</w:t>
            </w:r>
          </w:p>
        </w:tc>
        <w:tc>
          <w:tcPr>
            <w:tcW w:w="170" w:type="dxa"/>
            <w:tcBorders/>
            <w:shd w:fill="auto" w:val="clear"/>
            <w:vAlign w:val="center"/>
          </w:tcPr>
          <w:p>
            <w:pPr>
              <w:pStyle w:val="TableContents"/>
              <w:spacing w:before="0" w:after="283"/>
              <w:rPr/>
            </w:pPr>
            <w:r>
              <w:rPr/>
              <w:t> </w:t>
            </w:r>
          </w:p>
        </w:tc>
      </w:tr>
      <w:tr>
        <w:trPr/>
        <w:tc>
          <w:tcPr>
            <w:tcW w:w="461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double" w:sz="6" w:space="1" w:color="000000"/>
              </w:rPr>
            </w:pPr>
            <w:r>
              <w:rPr>
                <w:bdr w:val="double" w:sz="6" w:space="1" w:color="000000"/>
              </w:rPr>
              <w:t> </w:t>
            </w:r>
          </w:p>
        </w:tc>
        <w:tc>
          <w:tcPr>
            <w:tcW w:w="1100" w:type="dxa"/>
            <w:tcBorders/>
            <w:shd w:fill="auto" w:val="clear"/>
            <w:vAlign w:val="center"/>
          </w:tcPr>
          <w:p>
            <w:pPr>
              <w:pStyle w:val="TableContents"/>
              <w:spacing w:before="0" w:after="0"/>
              <w:rPr>
                <w:bdr w:val="double" w:sz="6" w:space="1" w:color="000000"/>
              </w:rPr>
            </w:pPr>
            <w:r>
              <w:rPr>
                <w:bdr w:val="double" w:sz="6"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double" w:sz="6" w:space="1" w:color="000000"/>
              </w:rPr>
            </w:pPr>
            <w:r>
              <w:rPr>
                <w:bdr w:val="double" w:sz="6" w:space="1" w:color="000000"/>
              </w:rPr>
              <w:t> </w:t>
            </w:r>
          </w:p>
        </w:tc>
        <w:tc>
          <w:tcPr>
            <w:tcW w:w="1100" w:type="dxa"/>
            <w:tcBorders/>
            <w:shd w:fill="auto" w:val="clear"/>
            <w:vAlign w:val="center"/>
          </w:tcPr>
          <w:p>
            <w:pPr>
              <w:pStyle w:val="TableContents"/>
              <w:spacing w:before="0" w:after="0"/>
              <w:rPr>
                <w:bdr w:val="double" w:sz="6" w:space="1" w:color="000000"/>
              </w:rPr>
            </w:pPr>
            <w:r>
              <w:rPr>
                <w:bdr w:val="double" w:sz="6"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double" w:sz="6" w:space="1" w:color="000000"/>
              </w:rPr>
            </w:pPr>
            <w:r>
              <w:rPr>
                <w:bdr w:val="double" w:sz="6" w:space="1" w:color="000000"/>
              </w:rPr>
              <w:t> </w:t>
            </w:r>
          </w:p>
        </w:tc>
        <w:tc>
          <w:tcPr>
            <w:tcW w:w="1100" w:type="dxa"/>
            <w:tcBorders/>
            <w:shd w:fill="auto" w:val="clear"/>
            <w:vAlign w:val="center"/>
          </w:tcPr>
          <w:p>
            <w:pPr>
              <w:pStyle w:val="TableContents"/>
              <w:spacing w:before="0" w:after="0"/>
              <w:rPr>
                <w:bdr w:val="double" w:sz="6" w:space="1" w:color="000000"/>
              </w:rPr>
            </w:pPr>
            <w:r>
              <w:rPr>
                <w:bdr w:val="double" w:sz="6" w:space="1" w:color="000000"/>
              </w:rPr>
              <w:t> </w:t>
            </w:r>
          </w:p>
        </w:tc>
        <w:tc>
          <w:tcPr>
            <w:tcW w:w="170" w:type="dxa"/>
            <w:tcBorders/>
            <w:shd w:fill="auto" w:val="clear"/>
            <w:vAlign w:val="center"/>
          </w:tcPr>
          <w:p>
            <w:pPr>
              <w:pStyle w:val="TableContents"/>
              <w:spacing w:before="0" w:after="283"/>
              <w:rPr/>
            </w:pPr>
            <w:r>
              <w:rPr/>
              <w:t> </w:t>
            </w:r>
          </w:p>
        </w:tc>
      </w:tr>
      <w:tr>
        <w:trPr/>
        <w:tc>
          <w:tcPr>
            <w:tcW w:w="461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Net income (loss) per share:</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rPr/>
            </w:pPr>
            <w:r>
              <w:rPr/>
              <w:t> </w:t>
            </w:r>
          </w:p>
        </w:tc>
        <w:tc>
          <w:tcPr>
            <w:tcW w:w="170" w:type="dxa"/>
            <w:tcBorders/>
            <w:shd w:fill="CCEEFF" w:val="clear"/>
            <w:vAlign w:val="center"/>
          </w:tcPr>
          <w:p>
            <w:pPr>
              <w:pStyle w:val="TableContents"/>
              <w:spacing w:before="0" w:after="283"/>
              <w:rPr/>
            </w:pPr>
            <w:r>
              <w:rPr/>
              <w:t> </w:t>
            </w:r>
          </w:p>
        </w:tc>
      </w:tr>
      <w:tr>
        <w:trPr/>
        <w:tc>
          <w:tcPr>
            <w:tcW w:w="461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Basic</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1100" w:type="dxa"/>
            <w:tcBorders/>
            <w:shd w:fill="auto" w:val="clear"/>
            <w:vAlign w:val="center"/>
          </w:tcPr>
          <w:p>
            <w:pPr>
              <w:pStyle w:val="TableContents"/>
              <w:spacing w:before="0" w:after="283"/>
              <w:jc w:val="right"/>
              <w:rPr/>
            </w:pPr>
            <w:r>
              <w:rPr/>
              <w:t>(4.75</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1100" w:type="dxa"/>
            <w:tcBorders/>
            <w:shd w:fill="auto" w:val="clear"/>
            <w:vAlign w:val="center"/>
          </w:tcPr>
          <w:p>
            <w:pPr>
              <w:pStyle w:val="TableContents"/>
              <w:spacing w:before="0" w:after="283"/>
              <w:jc w:val="right"/>
              <w:rPr/>
            </w:pPr>
            <w:r>
              <w:rPr/>
              <w:t>3.00</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1100" w:type="dxa"/>
            <w:tcBorders/>
            <w:shd w:fill="auto" w:val="clear"/>
            <w:vAlign w:val="center"/>
          </w:tcPr>
          <w:p>
            <w:pPr>
              <w:pStyle w:val="TableContents"/>
              <w:spacing w:before="0" w:after="283"/>
              <w:jc w:val="right"/>
              <w:rPr/>
            </w:pPr>
            <w:r>
              <w:rPr/>
              <w:t>3.00</w:t>
            </w:r>
          </w:p>
        </w:tc>
        <w:tc>
          <w:tcPr>
            <w:tcW w:w="170" w:type="dxa"/>
            <w:tcBorders/>
            <w:shd w:fill="auto" w:val="clear"/>
            <w:vAlign w:val="center"/>
          </w:tcPr>
          <w:p>
            <w:pPr>
              <w:pStyle w:val="TableContents"/>
              <w:spacing w:before="0" w:after="283"/>
              <w:rPr/>
            </w:pPr>
            <w:r>
              <w:rPr/>
              <w:t> </w:t>
            </w:r>
          </w:p>
        </w:tc>
      </w:tr>
      <w:tr>
        <w:trPr/>
        <w:tc>
          <w:tcPr>
            <w:tcW w:w="461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Diluted</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1100" w:type="dxa"/>
            <w:tcBorders/>
            <w:shd w:fill="CCEEFF" w:val="clear"/>
            <w:vAlign w:val="center"/>
          </w:tcPr>
          <w:p>
            <w:pPr>
              <w:pStyle w:val="TableContents"/>
              <w:spacing w:before="0" w:after="283"/>
              <w:jc w:val="right"/>
              <w:rPr/>
            </w:pPr>
            <w:r>
              <w:rPr/>
              <w:t>(4.75</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1100" w:type="dxa"/>
            <w:tcBorders/>
            <w:shd w:fill="CCEEFF" w:val="clear"/>
            <w:vAlign w:val="center"/>
          </w:tcPr>
          <w:p>
            <w:pPr>
              <w:pStyle w:val="TableContents"/>
              <w:spacing w:before="0" w:after="283"/>
              <w:jc w:val="right"/>
              <w:rPr/>
            </w:pPr>
            <w:r>
              <w:rPr/>
              <w:t>2.94</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1100" w:type="dxa"/>
            <w:tcBorders/>
            <w:shd w:fill="CCEEFF" w:val="clear"/>
            <w:vAlign w:val="center"/>
          </w:tcPr>
          <w:p>
            <w:pPr>
              <w:pStyle w:val="TableContents"/>
              <w:spacing w:before="0" w:after="283"/>
              <w:jc w:val="right"/>
              <w:rPr/>
            </w:pPr>
            <w:r>
              <w:rPr/>
              <w:t>2.93</w:t>
            </w:r>
          </w:p>
        </w:tc>
        <w:tc>
          <w:tcPr>
            <w:tcW w:w="170" w:type="dxa"/>
            <w:tcBorders/>
            <w:shd w:fill="CCEEFF" w:val="clear"/>
            <w:vAlign w:val="center"/>
          </w:tcPr>
          <w:p>
            <w:pPr>
              <w:pStyle w:val="TableContents"/>
              <w:spacing w:before="0" w:after="283"/>
              <w:rPr/>
            </w:pPr>
            <w:r>
              <w:rPr/>
              <w:t> </w:t>
            </w:r>
          </w:p>
        </w:tc>
      </w:tr>
      <w:tr>
        <w:trPr/>
        <w:tc>
          <w:tcPr>
            <w:tcW w:w="461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Weighted average shares used in per share calculations:</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 </w:t>
            </w:r>
          </w:p>
        </w:tc>
      </w:tr>
      <w:tr>
        <w:trPr/>
        <w:tc>
          <w:tcPr>
            <w:tcW w:w="461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Basic</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43,549,887</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33,450,217</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39,047,106</w:t>
            </w:r>
          </w:p>
        </w:tc>
        <w:tc>
          <w:tcPr>
            <w:tcW w:w="170" w:type="dxa"/>
            <w:tcBorders/>
            <w:shd w:fill="CCEEFF" w:val="clear"/>
            <w:vAlign w:val="center"/>
          </w:tcPr>
          <w:p>
            <w:pPr>
              <w:pStyle w:val="TableContents"/>
              <w:spacing w:before="0" w:after="283"/>
              <w:rPr/>
            </w:pPr>
            <w:r>
              <w:rPr/>
              <w:t> </w:t>
            </w:r>
          </w:p>
        </w:tc>
      </w:tr>
      <w:tr>
        <w:trPr/>
        <w:tc>
          <w:tcPr>
            <w:tcW w:w="461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Diluted</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43,549,887</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34,099,378</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39,975,122</w:t>
            </w:r>
          </w:p>
        </w:tc>
        <w:tc>
          <w:tcPr>
            <w:tcW w:w="170" w:type="dxa"/>
            <w:tcBorders/>
            <w:shd w:fill="auto" w:val="clear"/>
            <w:vAlign w:val="center"/>
          </w:tcPr>
          <w:p>
            <w:pPr>
              <w:pStyle w:val="TableContents"/>
              <w:spacing w:before="0" w:after="283"/>
              <w:rPr/>
            </w:pPr>
            <w:r>
              <w:rPr/>
              <w:t> </w:t>
            </w:r>
          </w:p>
        </w:tc>
      </w:tr>
    </w:tbl>
    <w:p>
      <w:pPr>
        <w:pStyle w:val="TextBody"/>
        <w:spacing w:before="240" w:after="0"/>
        <w:jc w:val="center"/>
        <w:rPr>
          <w:rFonts w:ascii="Times New Roman" w:hAnsi="Times New Roman"/>
          <w:spacing w:val="0"/>
          <w:sz w:val="20"/>
        </w:rPr>
      </w:pPr>
      <w:r>
        <w:rPr>
          <w:rFonts w:ascii="Times New Roman" w:hAnsi="Times New Roman"/>
          <w:spacing w:val="0"/>
          <w:sz w:val="20"/>
        </w:rPr>
        <w:t xml:space="preserve">See accompanying notes to consolidated financial statements.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F-5 </w:t>
      </w:r>
    </w:p>
    <w:p>
      <w:pPr>
        <w:pStyle w:val="HorizontalLine"/>
        <w:rPr/>
      </w:pPr>
      <w:r>
        <w:rPr/>
      </w:r>
    </w:p>
    <w:p>
      <w:pPr>
        <w:pStyle w:val="TextBody"/>
        <w:spacing w:before="0" w:after="0"/>
        <w:rPr/>
      </w:pPr>
      <w:hyperlink w:anchor="toc">
        <w:r>
          <w:rPr>
            <w:rStyle w:val="InternetLink"/>
            <w:b/>
            <w:sz w:val="20"/>
          </w:rPr>
          <w:t>Table of Contents</w:t>
        </w:r>
      </w:hyperlink>
    </w:p>
    <w:p>
      <w:pPr>
        <w:pStyle w:val="TextBody"/>
        <w:spacing w:before="0" w:after="0"/>
        <w:jc w:val="center"/>
        <w:rPr>
          <w:rFonts w:ascii="Times New Roman" w:hAnsi="Times New Roman"/>
          <w:b/>
          <w:spacing w:val="0"/>
          <w:sz w:val="20"/>
        </w:rPr>
      </w:pPr>
      <w:r>
        <w:rPr>
          <w:rFonts w:ascii="Times New Roman" w:hAnsi="Times New Roman"/>
          <w:b/>
          <w:spacing w:val="0"/>
          <w:sz w:val="20"/>
        </w:rPr>
        <w:t xml:space="preserve">DAVE &amp; BUSTER’S ENTERTAINMENT, INC. </w:t>
      </w:r>
    </w:p>
    <w:p>
      <w:pPr>
        <w:pStyle w:val="TextBody"/>
        <w:spacing w:before="120" w:after="0"/>
        <w:jc w:val="center"/>
        <w:rPr>
          <w:rFonts w:ascii="Times New Roman" w:hAnsi="Times New Roman"/>
          <w:b/>
          <w:spacing w:val="0"/>
          <w:sz w:val="20"/>
        </w:rPr>
      </w:pPr>
      <w:r>
        <w:rPr>
          <w:rFonts w:ascii="Times New Roman" w:hAnsi="Times New Roman"/>
          <w:b/>
          <w:spacing w:val="0"/>
          <w:sz w:val="20"/>
        </w:rPr>
        <w:t>CONSOLIDATED STATEMENTS OF STOCKHOLDERS’ EQUIT</w:t>
      </w:r>
    </w:p>
    <w:p>
      <w:pPr>
        <w:pStyle w:val="TextBody"/>
        <w:spacing w:before="120" w:after="0"/>
        <w:jc w:val="center"/>
        <w:rPr>
          <w:rFonts w:ascii="Times New Roman" w:hAnsi="Times New Roman"/>
          <w:b/>
          <w:spacing w:val="0"/>
          <w:sz w:val="20"/>
        </w:rPr>
      </w:pPr>
      <w:r>
        <w:rPr>
          <w:rFonts w:ascii="Times New Roman" w:hAnsi="Times New Roman"/>
          <w:b/>
          <w:spacing w:val="0"/>
          <w:sz w:val="20"/>
        </w:rPr>
        <w:t>Y</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(in thousands, except share and per share amounts) </w:t>
      </w:r>
    </w:p>
    <w:p>
      <w:pPr>
        <w:pStyle w:val="TextBody"/>
        <w:spacing w:before="0" w:after="0"/>
        <w:jc w:val="left"/>
        <w:rPr>
          <w:spacing w:val="0"/>
        </w:rPr>
      </w:pPr>
      <w:r>
        <w:rPr>
          <w:spacing w:val="0"/>
        </w:rPr>
        <w:t> </w:t>
      </w:r>
    </w:p>
    <w:tbl>
      <w:tblPr>
        <w:tblW w:w="10975" w:type="dxa"/>
        <w:jc w:val="left"/>
        <w:tblInd w:w="0" w:type="dxa"/>
        <w:tblCellMar>
          <w:top w:w="0" w:type="dxa"/>
          <w:left w:w="0" w:type="dxa"/>
          <w:bottom w:w="0" w:type="dxa"/>
          <w:right w:w="0" w:type="dxa"/>
        </w:tblCellMar>
      </w:tblPr>
      <w:tblGrid>
        <w:gridCol w:w="1175"/>
        <w:gridCol w:w="60"/>
        <w:gridCol w:w="60"/>
        <w:gridCol w:w="1100"/>
        <w:gridCol w:w="60"/>
        <w:gridCol w:w="60"/>
        <w:gridCol w:w="142"/>
        <w:gridCol w:w="388"/>
        <w:gridCol w:w="60"/>
        <w:gridCol w:w="60"/>
        <w:gridCol w:w="140"/>
        <w:gridCol w:w="800"/>
        <w:gridCol w:w="60"/>
        <w:gridCol w:w="60"/>
        <w:gridCol w:w="60"/>
        <w:gridCol w:w="1100"/>
        <w:gridCol w:w="60"/>
        <w:gridCol w:w="60"/>
        <w:gridCol w:w="140"/>
        <w:gridCol w:w="875"/>
        <w:gridCol w:w="155"/>
        <w:gridCol w:w="60"/>
        <w:gridCol w:w="290"/>
        <w:gridCol w:w="1320"/>
        <w:gridCol w:w="155"/>
        <w:gridCol w:w="60"/>
        <w:gridCol w:w="140"/>
        <w:gridCol w:w="875"/>
        <w:gridCol w:w="155"/>
        <w:gridCol w:w="60"/>
        <w:gridCol w:w="140"/>
        <w:gridCol w:w="875"/>
        <w:gridCol w:w="170"/>
      </w:tblGrid>
      <w:tr>
        <w:trPr/>
        <w:tc>
          <w:tcPr>
            <w:tcW w:w="11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1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38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8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1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87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1320"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87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875"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r>
      <w:tr>
        <w:trPr/>
        <w:tc>
          <w:tcPr>
            <w:tcW w:w="11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810" w:type="dxa"/>
            <w:gridSpan w:val="6"/>
            <w:tcBorders/>
            <w:shd w:fill="auto" w:val="clear"/>
            <w:vAlign w:val="center"/>
          </w:tcPr>
          <w:p>
            <w:pPr>
              <w:pStyle w:val="TableContents"/>
              <w:spacing w:before="0" w:after="0"/>
              <w:jc w:val="center"/>
              <w:rPr>
                <w:b/>
                <w:spacing w:val="0"/>
              </w:rPr>
            </w:pPr>
            <w:r>
              <w:rPr>
                <w:b/>
                <w:spacing w:val="0"/>
              </w:rPr>
              <w:t>Common Stock</w:t>
            </w:r>
          </w:p>
        </w:tc>
        <w:tc>
          <w:tcPr>
            <w:tcW w:w="60" w:type="dxa"/>
            <w:tcBorders/>
            <w:shd w:fill="auto" w:val="clear"/>
            <w:vAlign w:val="center"/>
          </w:tcPr>
          <w:p>
            <w:pPr>
              <w:pStyle w:val="TableContents"/>
              <w:spacing w:before="0" w:after="283"/>
              <w:rPr/>
            </w:pPr>
            <w:r>
              <w:rPr/>
              <w:t> </w:t>
            </w:r>
          </w:p>
        </w:tc>
        <w:tc>
          <w:tcPr>
            <w:tcW w:w="60" w:type="dxa"/>
            <w:vMerge w:val="restart"/>
            <w:tcBorders/>
            <w:shd w:fill="auto" w:val="clear"/>
            <w:vAlign w:val="center"/>
          </w:tcPr>
          <w:p>
            <w:pPr>
              <w:pStyle w:val="TableContents"/>
              <w:spacing w:before="0" w:after="283"/>
              <w:rPr/>
            </w:pPr>
            <w:r>
              <w:rPr/>
              <w:t> </w:t>
            </w:r>
          </w:p>
        </w:tc>
        <w:tc>
          <w:tcPr>
            <w:tcW w:w="940" w:type="dxa"/>
            <w:gridSpan w:val="2"/>
            <w:vMerge w:val="restart"/>
            <w:tcBorders/>
            <w:shd w:fill="auto" w:val="clear"/>
            <w:vAlign w:val="center"/>
          </w:tcPr>
          <w:p>
            <w:pPr>
              <w:pStyle w:val="TableContents"/>
              <w:spacing w:before="0" w:after="0"/>
              <w:jc w:val="center"/>
              <w:rPr>
                <w:b/>
                <w:spacing w:val="0"/>
              </w:rPr>
            </w:pPr>
            <w:r>
              <w:rPr>
                <w:b/>
                <w:spacing w:val="0"/>
              </w:rPr>
              <w:t>Paid-In</w:t>
            </w:r>
          </w:p>
          <w:p>
            <w:pPr>
              <w:pStyle w:val="TableContents"/>
              <w:spacing w:before="0" w:after="0"/>
              <w:jc w:val="center"/>
              <w:rPr>
                <w:b/>
                <w:spacing w:val="0"/>
              </w:rPr>
            </w:pPr>
            <w:r>
              <w:rPr>
                <w:b/>
                <w:spacing w:val="0"/>
              </w:rPr>
              <w:br/>
              <w:t>Capital</w:t>
            </w:r>
          </w:p>
        </w:tc>
        <w:tc>
          <w:tcPr>
            <w:tcW w:w="60" w:type="dxa"/>
            <w:vMerge w:val="restart"/>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295" w:type="dxa"/>
            <w:gridSpan w:val="6"/>
            <w:tcBorders/>
            <w:shd w:fill="auto" w:val="clear"/>
            <w:vAlign w:val="center"/>
          </w:tcPr>
          <w:p>
            <w:pPr>
              <w:pStyle w:val="TableContents"/>
              <w:spacing w:before="0" w:after="0"/>
              <w:jc w:val="center"/>
              <w:rPr>
                <w:b/>
                <w:spacing w:val="0"/>
              </w:rPr>
            </w:pPr>
            <w:r>
              <w:rPr>
                <w:b/>
                <w:spacing w:val="0"/>
              </w:rPr>
              <w:t>Treasury Stock</w:t>
            </w:r>
          </w:p>
          <w:p>
            <w:pPr>
              <w:pStyle w:val="TableContents"/>
              <w:spacing w:before="0" w:after="0"/>
              <w:jc w:val="center"/>
              <w:rPr/>
            </w:pPr>
            <w:r>
              <w:rPr/>
            </w:r>
          </w:p>
          <w:p>
            <w:pPr>
              <w:pStyle w:val="TableContents"/>
              <w:spacing w:before="0" w:after="0"/>
              <w:jc w:val="center"/>
              <w:rPr>
                <w:b/>
                <w:spacing w:val="0"/>
              </w:rPr>
            </w:pPr>
            <w:r>
              <w:rPr>
                <w:b/>
                <w:spacing w:val="0"/>
              </w:rPr>
              <w:t>At Cost</w:t>
            </w:r>
          </w:p>
        </w:tc>
        <w:tc>
          <w:tcPr>
            <w:tcW w:w="155" w:type="dxa"/>
            <w:tcBorders/>
            <w:shd w:fill="auto" w:val="clear"/>
            <w:vAlign w:val="center"/>
          </w:tcPr>
          <w:p>
            <w:pPr>
              <w:pStyle w:val="TableContents"/>
              <w:spacing w:before="0" w:after="283"/>
              <w:rPr/>
            </w:pPr>
            <w:r>
              <w:rPr/>
              <w:t> </w:t>
            </w:r>
          </w:p>
        </w:tc>
        <w:tc>
          <w:tcPr>
            <w:tcW w:w="60" w:type="dxa"/>
            <w:vMerge w:val="restart"/>
            <w:tcBorders/>
            <w:shd w:fill="auto" w:val="clear"/>
            <w:vAlign w:val="center"/>
          </w:tcPr>
          <w:p>
            <w:pPr>
              <w:pStyle w:val="TableContents"/>
              <w:spacing w:before="0" w:after="283"/>
              <w:rPr/>
            </w:pPr>
            <w:r>
              <w:rPr/>
              <w:t> </w:t>
            </w:r>
          </w:p>
        </w:tc>
        <w:tc>
          <w:tcPr>
            <w:tcW w:w="1610" w:type="dxa"/>
            <w:gridSpan w:val="2"/>
            <w:vMerge w:val="restart"/>
            <w:tcBorders/>
            <w:shd w:fill="auto" w:val="clear"/>
            <w:vAlign w:val="center"/>
          </w:tcPr>
          <w:p>
            <w:pPr>
              <w:pStyle w:val="TableContents"/>
              <w:spacing w:before="0" w:after="0"/>
              <w:jc w:val="center"/>
              <w:rPr>
                <w:b/>
                <w:spacing w:val="0"/>
              </w:rPr>
            </w:pPr>
            <w:r>
              <w:rPr>
                <w:b/>
                <w:spacing w:val="0"/>
              </w:rPr>
              <w:t>Accumulated</w:t>
              <w:br/>
              <w:t>Other</w:t>
              <w:br/>
              <w:t>Comprehensive</w:t>
              <w:br/>
              <w:t>Income (loss)</w:t>
            </w:r>
          </w:p>
        </w:tc>
        <w:tc>
          <w:tcPr>
            <w:tcW w:w="155" w:type="dxa"/>
            <w:vMerge w:val="restart"/>
            <w:tcBorders/>
            <w:shd w:fill="auto" w:val="clear"/>
            <w:vAlign w:val="center"/>
          </w:tcPr>
          <w:p>
            <w:pPr>
              <w:pStyle w:val="TableContents"/>
              <w:spacing w:before="0" w:after="283"/>
              <w:rPr/>
            </w:pPr>
            <w:r>
              <w:rPr/>
              <w:t> </w:t>
            </w:r>
          </w:p>
        </w:tc>
        <w:tc>
          <w:tcPr>
            <w:tcW w:w="60" w:type="dxa"/>
            <w:vMerge w:val="restart"/>
            <w:tcBorders/>
            <w:shd w:fill="auto" w:val="clear"/>
            <w:vAlign w:val="center"/>
          </w:tcPr>
          <w:p>
            <w:pPr>
              <w:pStyle w:val="TableContents"/>
              <w:spacing w:before="0" w:after="283"/>
              <w:rPr/>
            </w:pPr>
            <w:r>
              <w:rPr/>
              <w:t> </w:t>
            </w:r>
          </w:p>
        </w:tc>
        <w:tc>
          <w:tcPr>
            <w:tcW w:w="1015" w:type="dxa"/>
            <w:gridSpan w:val="2"/>
            <w:vMerge w:val="restart"/>
            <w:tcBorders/>
            <w:shd w:fill="auto" w:val="clear"/>
            <w:vAlign w:val="center"/>
          </w:tcPr>
          <w:p>
            <w:pPr>
              <w:pStyle w:val="TableContents"/>
              <w:spacing w:before="0" w:after="0"/>
              <w:jc w:val="center"/>
              <w:rPr>
                <w:b/>
                <w:spacing w:val="0"/>
              </w:rPr>
            </w:pPr>
            <w:r>
              <w:rPr>
                <w:b/>
                <w:spacing w:val="0"/>
              </w:rPr>
              <w:t>Retained</w:t>
              <w:br/>
              <w:t>Earnings</w:t>
            </w:r>
          </w:p>
        </w:tc>
        <w:tc>
          <w:tcPr>
            <w:tcW w:w="155" w:type="dxa"/>
            <w:vMerge w:val="restart"/>
            <w:tcBorders/>
            <w:shd w:fill="auto" w:val="clear"/>
            <w:vAlign w:val="center"/>
          </w:tcPr>
          <w:p>
            <w:pPr>
              <w:pStyle w:val="TableContents"/>
              <w:spacing w:before="0" w:after="283"/>
              <w:rPr/>
            </w:pPr>
            <w:r>
              <w:rPr/>
              <w:t> </w:t>
            </w:r>
          </w:p>
        </w:tc>
        <w:tc>
          <w:tcPr>
            <w:tcW w:w="60" w:type="dxa"/>
            <w:vMerge w:val="restart"/>
            <w:tcBorders/>
            <w:shd w:fill="auto" w:val="clear"/>
            <w:vAlign w:val="center"/>
          </w:tcPr>
          <w:p>
            <w:pPr>
              <w:pStyle w:val="TableContents"/>
              <w:spacing w:before="0" w:after="283"/>
              <w:rPr/>
            </w:pPr>
            <w:r>
              <w:rPr/>
              <w:t> </w:t>
            </w:r>
          </w:p>
        </w:tc>
        <w:tc>
          <w:tcPr>
            <w:tcW w:w="1015" w:type="dxa"/>
            <w:gridSpan w:val="2"/>
            <w:vMerge w:val="restart"/>
            <w:tcBorders/>
            <w:shd w:fill="auto" w:val="clear"/>
            <w:vAlign w:val="center"/>
          </w:tcPr>
          <w:p>
            <w:pPr>
              <w:pStyle w:val="TableContents"/>
              <w:spacing w:before="0" w:after="0"/>
              <w:jc w:val="center"/>
              <w:rPr>
                <w:b/>
                <w:spacing w:val="0"/>
              </w:rPr>
            </w:pPr>
            <w:r>
              <w:rPr>
                <w:b/>
                <w:spacing w:val="0"/>
              </w:rPr>
              <w:t>Total</w:t>
            </w:r>
          </w:p>
        </w:tc>
        <w:tc>
          <w:tcPr>
            <w:tcW w:w="170" w:type="dxa"/>
            <w:vMerge w:val="restart"/>
            <w:tcBorders/>
            <w:shd w:fill="auto" w:val="clear"/>
            <w:vAlign w:val="center"/>
          </w:tcPr>
          <w:p>
            <w:pPr>
              <w:pStyle w:val="TableContents"/>
              <w:spacing w:before="0" w:after="283"/>
              <w:rPr/>
            </w:pPr>
            <w:r>
              <w:rPr/>
              <w:t> </w:t>
            </w:r>
          </w:p>
        </w:tc>
      </w:tr>
      <w:tr>
        <w:trPr/>
        <w:tc>
          <w:tcPr>
            <w:tcW w:w="11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60" w:type="dxa"/>
            <w:gridSpan w:val="2"/>
            <w:tcBorders/>
            <w:shd w:fill="auto" w:val="clear"/>
            <w:vAlign w:val="center"/>
          </w:tcPr>
          <w:p>
            <w:pPr>
              <w:pStyle w:val="TableContents"/>
              <w:spacing w:before="0" w:after="0"/>
              <w:jc w:val="center"/>
              <w:rPr>
                <w:b/>
                <w:spacing w:val="0"/>
              </w:rPr>
            </w:pPr>
            <w:r>
              <w:rPr>
                <w:b/>
                <w:spacing w:val="0"/>
              </w:rPr>
              <w:t>Shares</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530" w:type="dxa"/>
            <w:gridSpan w:val="2"/>
            <w:tcBorders/>
            <w:shd w:fill="auto" w:val="clear"/>
            <w:vAlign w:val="center"/>
          </w:tcPr>
          <w:p>
            <w:pPr>
              <w:pStyle w:val="TableContents"/>
              <w:spacing w:before="0" w:after="0"/>
              <w:jc w:val="center"/>
              <w:rPr>
                <w:b/>
                <w:spacing w:val="0"/>
              </w:rPr>
            </w:pPr>
            <w:r>
              <w:rPr>
                <w:b/>
                <w:spacing w:val="0"/>
              </w:rPr>
              <w:t>Amt.</w:t>
            </w:r>
          </w:p>
        </w:tc>
        <w:tc>
          <w:tcPr>
            <w:tcW w:w="60" w:type="dxa"/>
            <w:tcBorders/>
            <w:shd w:fill="auto" w:val="clear"/>
            <w:vAlign w:val="center"/>
          </w:tcPr>
          <w:p>
            <w:pPr>
              <w:pStyle w:val="TableContents"/>
              <w:spacing w:before="0" w:after="283"/>
              <w:rPr/>
            </w:pPr>
            <w:r>
              <w:rPr/>
              <w:t> </w:t>
            </w:r>
          </w:p>
        </w:tc>
        <w:tc>
          <w:tcPr>
            <w:tcW w:w="60" w:type="dxa"/>
            <w:vMerge w:val="continue"/>
            <w:tcBorders/>
            <w:shd w:fill="auto" w:val="clear"/>
            <w:vAlign w:val="center"/>
          </w:tcPr>
          <w:p>
            <w:pPr>
              <w:pStyle w:val="Normal"/>
              <w:rPr/>
            </w:pPr>
            <w:r>
              <w:rPr/>
            </w:r>
          </w:p>
        </w:tc>
        <w:tc>
          <w:tcPr>
            <w:tcW w:w="940" w:type="dxa"/>
            <w:gridSpan w:val="2"/>
            <w:vMerge w:val="continue"/>
            <w:tcBorders/>
            <w:shd w:fill="auto" w:val="clear"/>
            <w:vAlign w:val="center"/>
          </w:tcPr>
          <w:p>
            <w:pPr>
              <w:pStyle w:val="Normal"/>
              <w:rPr/>
            </w:pPr>
            <w:r>
              <w:rPr/>
            </w:r>
          </w:p>
        </w:tc>
        <w:tc>
          <w:tcPr>
            <w:tcW w:w="60" w:type="dxa"/>
            <w:vMerge w:val="continue"/>
            <w:tcBorders/>
            <w:shd w:fill="auto" w:val="clear"/>
            <w:vAlign w:val="center"/>
          </w:tcPr>
          <w:p>
            <w:pPr>
              <w:pStyle w:val="Normal"/>
              <w:rPr/>
            </w:pPr>
            <w:r>
              <w:rPr/>
            </w:r>
          </w:p>
        </w:tc>
        <w:tc>
          <w:tcPr>
            <w:tcW w:w="60" w:type="dxa"/>
            <w:tcBorders/>
            <w:shd w:fill="auto" w:val="clear"/>
            <w:vAlign w:val="center"/>
          </w:tcPr>
          <w:p>
            <w:pPr>
              <w:pStyle w:val="TableContents"/>
              <w:spacing w:before="0" w:after="283"/>
              <w:rPr/>
            </w:pPr>
            <w:r>
              <w:rPr/>
              <w:t> </w:t>
            </w:r>
          </w:p>
        </w:tc>
        <w:tc>
          <w:tcPr>
            <w:tcW w:w="1160" w:type="dxa"/>
            <w:gridSpan w:val="2"/>
            <w:tcBorders/>
            <w:shd w:fill="auto" w:val="clear"/>
            <w:vAlign w:val="center"/>
          </w:tcPr>
          <w:p>
            <w:pPr>
              <w:pStyle w:val="TableContents"/>
              <w:spacing w:before="0" w:after="0"/>
              <w:jc w:val="center"/>
              <w:rPr>
                <w:b/>
                <w:spacing w:val="0"/>
              </w:rPr>
            </w:pPr>
            <w:r>
              <w:rPr>
                <w:b/>
                <w:spacing w:val="0"/>
              </w:rPr>
              <w:t>Shares</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15" w:type="dxa"/>
            <w:gridSpan w:val="2"/>
            <w:tcBorders/>
            <w:shd w:fill="auto" w:val="clear"/>
            <w:vAlign w:val="center"/>
          </w:tcPr>
          <w:p>
            <w:pPr>
              <w:pStyle w:val="TableContents"/>
              <w:spacing w:before="0" w:after="0"/>
              <w:jc w:val="center"/>
              <w:rPr>
                <w:b/>
                <w:spacing w:val="0"/>
              </w:rPr>
            </w:pPr>
            <w:r>
              <w:rPr>
                <w:b/>
                <w:spacing w:val="0"/>
              </w:rPr>
              <w:t>Amt.</w:t>
            </w:r>
          </w:p>
        </w:tc>
        <w:tc>
          <w:tcPr>
            <w:tcW w:w="155" w:type="dxa"/>
            <w:tcBorders/>
            <w:shd w:fill="auto" w:val="clear"/>
            <w:vAlign w:val="center"/>
          </w:tcPr>
          <w:p>
            <w:pPr>
              <w:pStyle w:val="TableContents"/>
              <w:spacing w:before="0" w:after="283"/>
              <w:rPr/>
            </w:pPr>
            <w:r>
              <w:rPr/>
              <w:t> </w:t>
            </w:r>
          </w:p>
        </w:tc>
        <w:tc>
          <w:tcPr>
            <w:tcW w:w="60" w:type="dxa"/>
            <w:vMerge w:val="continue"/>
            <w:tcBorders/>
            <w:shd w:fill="auto" w:val="clear"/>
            <w:vAlign w:val="center"/>
          </w:tcPr>
          <w:p>
            <w:pPr>
              <w:pStyle w:val="Normal"/>
              <w:rPr/>
            </w:pPr>
            <w:r>
              <w:rPr/>
            </w:r>
          </w:p>
        </w:tc>
        <w:tc>
          <w:tcPr>
            <w:tcW w:w="1610" w:type="dxa"/>
            <w:gridSpan w:val="2"/>
            <w:vMerge w:val="continue"/>
            <w:tcBorders/>
            <w:shd w:fill="auto" w:val="clear"/>
            <w:vAlign w:val="center"/>
          </w:tcPr>
          <w:p>
            <w:pPr>
              <w:pStyle w:val="Normal"/>
              <w:rPr/>
            </w:pPr>
            <w:r>
              <w:rPr/>
            </w:r>
          </w:p>
        </w:tc>
        <w:tc>
          <w:tcPr>
            <w:tcW w:w="155" w:type="dxa"/>
            <w:vMerge w:val="continue"/>
            <w:tcBorders/>
            <w:shd w:fill="auto" w:val="clear"/>
            <w:vAlign w:val="center"/>
          </w:tcPr>
          <w:p>
            <w:pPr>
              <w:pStyle w:val="Normal"/>
              <w:rPr/>
            </w:pPr>
            <w:r>
              <w:rPr/>
            </w:r>
          </w:p>
        </w:tc>
        <w:tc>
          <w:tcPr>
            <w:tcW w:w="60" w:type="dxa"/>
            <w:vMerge w:val="continue"/>
            <w:tcBorders/>
            <w:shd w:fill="auto" w:val="clear"/>
            <w:vAlign w:val="center"/>
          </w:tcPr>
          <w:p>
            <w:pPr>
              <w:pStyle w:val="Normal"/>
              <w:rPr/>
            </w:pPr>
            <w:r>
              <w:rPr/>
            </w:r>
          </w:p>
        </w:tc>
        <w:tc>
          <w:tcPr>
            <w:tcW w:w="1015" w:type="dxa"/>
            <w:gridSpan w:val="2"/>
            <w:vMerge w:val="continue"/>
            <w:tcBorders/>
            <w:shd w:fill="auto" w:val="clear"/>
            <w:vAlign w:val="center"/>
          </w:tcPr>
          <w:p>
            <w:pPr>
              <w:pStyle w:val="Normal"/>
              <w:rPr/>
            </w:pPr>
            <w:r>
              <w:rPr/>
            </w:r>
          </w:p>
        </w:tc>
        <w:tc>
          <w:tcPr>
            <w:tcW w:w="155" w:type="dxa"/>
            <w:vMerge w:val="continue"/>
            <w:tcBorders/>
            <w:shd w:fill="auto" w:val="clear"/>
            <w:vAlign w:val="center"/>
          </w:tcPr>
          <w:p>
            <w:pPr>
              <w:pStyle w:val="Normal"/>
              <w:rPr/>
            </w:pPr>
            <w:r>
              <w:rPr/>
            </w:r>
          </w:p>
        </w:tc>
        <w:tc>
          <w:tcPr>
            <w:tcW w:w="60" w:type="dxa"/>
            <w:vMerge w:val="continue"/>
            <w:tcBorders/>
            <w:shd w:fill="auto" w:val="clear"/>
            <w:vAlign w:val="center"/>
          </w:tcPr>
          <w:p>
            <w:pPr>
              <w:pStyle w:val="Normal"/>
              <w:rPr/>
            </w:pPr>
            <w:r>
              <w:rPr/>
            </w:r>
          </w:p>
        </w:tc>
        <w:tc>
          <w:tcPr>
            <w:tcW w:w="1015" w:type="dxa"/>
            <w:gridSpan w:val="2"/>
            <w:vMerge w:val="continue"/>
            <w:tcBorders/>
            <w:shd w:fill="auto" w:val="clear"/>
            <w:vAlign w:val="center"/>
          </w:tcPr>
          <w:p>
            <w:pPr>
              <w:pStyle w:val="Normal"/>
              <w:rPr/>
            </w:pPr>
            <w:r>
              <w:rPr/>
            </w:r>
          </w:p>
        </w:tc>
        <w:tc>
          <w:tcPr>
            <w:tcW w:w="170" w:type="dxa"/>
            <w:vMerge w:val="continue"/>
            <w:tcBorders/>
            <w:shd w:fill="auto" w:val="clear"/>
            <w:vAlign w:val="center"/>
          </w:tcPr>
          <w:p>
            <w:pPr>
              <w:pStyle w:val="Normal"/>
              <w:rPr/>
            </w:pPr>
            <w:r>
              <w:rPr/>
            </w:r>
          </w:p>
        </w:tc>
      </w:tr>
      <w:tr>
        <w:trPr/>
        <w:tc>
          <w:tcPr>
            <w:tcW w:w="1175" w:type="dxa"/>
            <w:tcBorders/>
            <w:shd w:fill="CCEEFF" w:val="clear"/>
            <w:vAlign w:val="center"/>
          </w:tcPr>
          <w:p>
            <w:pPr>
              <w:pStyle w:val="TableContents"/>
              <w:spacing w:before="0" w:after="0"/>
              <w:rPr>
                <w:rFonts w:ascii="Times New Roman" w:hAnsi="Times New Roman"/>
                <w:b/>
                <w:spacing w:val="0"/>
                <w:sz w:val="20"/>
              </w:rPr>
            </w:pPr>
            <w:r>
              <w:rPr>
                <w:rFonts w:ascii="Times New Roman" w:hAnsi="Times New Roman"/>
                <w:b/>
                <w:spacing w:val="0"/>
                <w:sz w:val="20"/>
              </w:rPr>
              <w:t>Balance February 4, 2018</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42,660,806</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2" w:type="dxa"/>
            <w:tcBorders/>
            <w:shd w:fill="CCEEFF" w:val="clear"/>
            <w:vAlign w:val="center"/>
          </w:tcPr>
          <w:p>
            <w:pPr>
              <w:pStyle w:val="TableContents"/>
              <w:spacing w:before="0" w:after="283"/>
              <w:rPr/>
            </w:pPr>
            <w:r>
              <w:rPr/>
              <w:t>$</w:t>
            </w:r>
          </w:p>
        </w:tc>
        <w:tc>
          <w:tcPr>
            <w:tcW w:w="388" w:type="dxa"/>
            <w:tcBorders/>
            <w:shd w:fill="CCEEFF" w:val="clear"/>
            <w:vAlign w:val="center"/>
          </w:tcPr>
          <w:p>
            <w:pPr>
              <w:pStyle w:val="TableContents"/>
              <w:spacing w:before="0" w:after="283"/>
              <w:jc w:val="right"/>
              <w:rPr/>
            </w:pPr>
            <w:r>
              <w:rPr/>
              <w:t>427</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800" w:type="dxa"/>
            <w:tcBorders/>
            <w:shd w:fill="CCEEFF" w:val="clear"/>
            <w:vAlign w:val="center"/>
          </w:tcPr>
          <w:p>
            <w:pPr>
              <w:pStyle w:val="TableContents"/>
              <w:spacing w:before="0" w:after="283"/>
              <w:jc w:val="right"/>
              <w:rPr/>
            </w:pPr>
            <w:r>
              <w:rPr/>
              <w:t>320,488</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2,558,721</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jc w:val="right"/>
              <w:rPr/>
            </w:pPr>
            <w:r>
              <w:rPr/>
              <w:t>(147,331</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90" w:type="dxa"/>
            <w:tcBorders/>
            <w:shd w:fill="CCEEFF" w:val="clear"/>
            <w:vAlign w:val="center"/>
          </w:tcPr>
          <w:p>
            <w:pPr>
              <w:pStyle w:val="TableContents"/>
              <w:spacing w:before="0" w:after="283"/>
              <w:rPr/>
            </w:pPr>
            <w:r>
              <w:rPr/>
              <w:t> </w:t>
            </w:r>
          </w:p>
        </w:tc>
        <w:tc>
          <w:tcPr>
            <w:tcW w:w="1320" w:type="dxa"/>
            <w:tcBorders/>
            <w:shd w:fill="CCEEFF" w:val="clear"/>
            <w:vAlign w:val="center"/>
          </w:tcPr>
          <w:p>
            <w:pPr>
              <w:pStyle w:val="TableContents"/>
              <w:spacing w:before="0" w:after="283"/>
              <w:jc w:val="right"/>
              <w:rPr/>
            </w:pPr>
            <w:r>
              <w:rPr/>
              <w:t>(249</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jc w:val="right"/>
              <w:rPr/>
            </w:pPr>
            <w:r>
              <w:rPr/>
              <w:t>248,311</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jc w:val="right"/>
              <w:rPr/>
            </w:pPr>
            <w:r>
              <w:rPr/>
              <w:t>421,646</w:t>
            </w:r>
          </w:p>
        </w:tc>
        <w:tc>
          <w:tcPr>
            <w:tcW w:w="170" w:type="dxa"/>
            <w:tcBorders/>
            <w:shd w:fill="CCEEFF" w:val="clear"/>
            <w:vAlign w:val="center"/>
          </w:tcPr>
          <w:p>
            <w:pPr>
              <w:pStyle w:val="TableContents"/>
              <w:spacing w:before="0" w:after="283"/>
              <w:rPr/>
            </w:pPr>
            <w:r>
              <w:rPr/>
              <w:t> </w:t>
            </w:r>
          </w:p>
        </w:tc>
      </w:tr>
      <w:tr>
        <w:trPr/>
        <w:tc>
          <w:tcPr>
            <w:tcW w:w="11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1100" w:type="dxa"/>
            <w:tcBorders/>
            <w:shd w:fill="auto" w:val="clear"/>
            <w:vAlign w:val="center"/>
          </w:tcPr>
          <w:p>
            <w:pPr>
              <w:pStyle w:val="TableContents"/>
              <w:spacing w:before="0" w:after="0"/>
              <w:rPr>
                <w:bdr w:val="single" w:sz="2" w:space="1" w:color="000000"/>
              </w:rPr>
            </w:pPr>
            <w:r>
              <w:rPr>
                <w:bdr w:val="single" w:sz="2" w:space="1" w:color="000000"/>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2" w:type="dxa"/>
            <w:tcBorders/>
            <w:shd w:fill="auto" w:val="clear"/>
            <w:vAlign w:val="center"/>
          </w:tcPr>
          <w:p>
            <w:pPr>
              <w:pStyle w:val="TableContents"/>
              <w:spacing w:before="0" w:after="0"/>
              <w:rPr>
                <w:bdr w:val="single" w:sz="2" w:space="1" w:color="000000"/>
              </w:rPr>
            </w:pPr>
            <w:r>
              <w:rPr>
                <w:bdr w:val="single" w:sz="2" w:space="1" w:color="000000"/>
              </w:rPr>
              <w:t> </w:t>
            </w:r>
          </w:p>
        </w:tc>
        <w:tc>
          <w:tcPr>
            <w:tcW w:w="388" w:type="dxa"/>
            <w:tcBorders/>
            <w:shd w:fill="auto" w:val="clear"/>
            <w:vAlign w:val="center"/>
          </w:tcPr>
          <w:p>
            <w:pPr>
              <w:pStyle w:val="TableContents"/>
              <w:spacing w:before="0" w:after="0"/>
              <w:rPr>
                <w:bdr w:val="single" w:sz="2" w:space="1" w:color="000000"/>
              </w:rPr>
            </w:pPr>
            <w:r>
              <w:rPr>
                <w:bdr w:val="single" w:sz="2" w:space="1" w:color="000000"/>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single" w:sz="2" w:space="1" w:color="000000"/>
              </w:rPr>
            </w:pPr>
            <w:r>
              <w:rPr>
                <w:bdr w:val="single" w:sz="2" w:space="1" w:color="000000"/>
              </w:rPr>
              <w:t> </w:t>
            </w:r>
          </w:p>
        </w:tc>
        <w:tc>
          <w:tcPr>
            <w:tcW w:w="800" w:type="dxa"/>
            <w:tcBorders/>
            <w:shd w:fill="auto" w:val="clear"/>
            <w:vAlign w:val="center"/>
          </w:tcPr>
          <w:p>
            <w:pPr>
              <w:pStyle w:val="TableContents"/>
              <w:spacing w:before="0" w:after="0"/>
              <w:rPr>
                <w:bdr w:val="single" w:sz="2" w:space="1" w:color="000000"/>
              </w:rPr>
            </w:pPr>
            <w:r>
              <w:rPr>
                <w:bdr w:val="single" w:sz="2" w:space="1" w:color="000000"/>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1100" w:type="dxa"/>
            <w:tcBorders/>
            <w:shd w:fill="auto" w:val="clear"/>
            <w:vAlign w:val="center"/>
          </w:tcPr>
          <w:p>
            <w:pPr>
              <w:pStyle w:val="TableContents"/>
              <w:spacing w:before="0" w:after="0"/>
              <w:rPr>
                <w:bdr w:val="single" w:sz="2" w:space="1" w:color="000000"/>
              </w:rPr>
            </w:pPr>
            <w:r>
              <w:rPr>
                <w:bdr w:val="single" w:sz="2" w:space="1" w:color="000000"/>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single" w:sz="2" w:space="1" w:color="000000"/>
              </w:rPr>
            </w:pPr>
            <w:r>
              <w:rPr>
                <w:bdr w:val="single" w:sz="2" w:space="1" w:color="000000"/>
              </w:rPr>
              <w:t> </w:t>
            </w:r>
          </w:p>
        </w:tc>
        <w:tc>
          <w:tcPr>
            <w:tcW w:w="875"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90" w:type="dxa"/>
            <w:tcBorders/>
            <w:shd w:fill="auto" w:val="clear"/>
            <w:vAlign w:val="center"/>
          </w:tcPr>
          <w:p>
            <w:pPr>
              <w:pStyle w:val="TableContents"/>
              <w:spacing w:before="0" w:after="0"/>
              <w:rPr>
                <w:bdr w:val="single" w:sz="2" w:space="1" w:color="000000"/>
              </w:rPr>
            </w:pPr>
            <w:r>
              <w:rPr>
                <w:bdr w:val="single" w:sz="2" w:space="1" w:color="000000"/>
              </w:rPr>
              <w:t> </w:t>
            </w:r>
          </w:p>
        </w:tc>
        <w:tc>
          <w:tcPr>
            <w:tcW w:w="1320"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single" w:sz="2" w:space="1" w:color="000000"/>
              </w:rPr>
            </w:pPr>
            <w:r>
              <w:rPr>
                <w:bdr w:val="single" w:sz="2" w:space="1" w:color="000000"/>
              </w:rPr>
              <w:t> </w:t>
            </w:r>
          </w:p>
        </w:tc>
        <w:tc>
          <w:tcPr>
            <w:tcW w:w="875"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single" w:sz="2" w:space="1" w:color="000000"/>
              </w:rPr>
            </w:pPr>
            <w:r>
              <w:rPr>
                <w:bdr w:val="single" w:sz="2" w:space="1" w:color="000000"/>
              </w:rPr>
              <w:t> </w:t>
            </w:r>
          </w:p>
        </w:tc>
        <w:tc>
          <w:tcPr>
            <w:tcW w:w="875" w:type="dxa"/>
            <w:tcBorders/>
            <w:shd w:fill="auto" w:val="clear"/>
            <w:vAlign w:val="center"/>
          </w:tcPr>
          <w:p>
            <w:pPr>
              <w:pStyle w:val="TableContents"/>
              <w:spacing w:before="0" w:after="0"/>
              <w:rPr>
                <w:bdr w:val="single" w:sz="2" w:space="1" w:color="000000"/>
              </w:rPr>
            </w:pPr>
            <w:r>
              <w:rPr>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117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Net income</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2" w:type="dxa"/>
            <w:tcBorders/>
            <w:shd w:fill="auto" w:val="clear"/>
            <w:vAlign w:val="center"/>
          </w:tcPr>
          <w:p>
            <w:pPr>
              <w:pStyle w:val="TableContents"/>
              <w:spacing w:before="0" w:after="283"/>
              <w:rPr/>
            </w:pPr>
            <w:r>
              <w:rPr/>
              <w:t> </w:t>
            </w:r>
          </w:p>
        </w:tc>
        <w:tc>
          <w:tcPr>
            <w:tcW w:w="388"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90" w:type="dxa"/>
            <w:tcBorders/>
            <w:shd w:fill="auto" w:val="clear"/>
            <w:vAlign w:val="center"/>
          </w:tcPr>
          <w:p>
            <w:pPr>
              <w:pStyle w:val="TableContents"/>
              <w:spacing w:before="0" w:after="283"/>
              <w:rPr/>
            </w:pPr>
            <w:r>
              <w:rPr/>
              <w:t> </w:t>
            </w:r>
          </w:p>
        </w:tc>
        <w:tc>
          <w:tcPr>
            <w:tcW w:w="1320"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jc w:val="right"/>
              <w:rPr/>
            </w:pPr>
            <w:r>
              <w:rPr/>
              <w:t>117,221</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jc w:val="right"/>
              <w:rPr/>
            </w:pPr>
            <w:r>
              <w:rPr/>
              <w:t>117,221</w:t>
            </w:r>
          </w:p>
        </w:tc>
        <w:tc>
          <w:tcPr>
            <w:tcW w:w="170" w:type="dxa"/>
            <w:tcBorders/>
            <w:shd w:fill="auto" w:val="clear"/>
            <w:vAlign w:val="center"/>
          </w:tcPr>
          <w:p>
            <w:pPr>
              <w:pStyle w:val="TableContents"/>
              <w:spacing w:before="0" w:after="283"/>
              <w:rPr/>
            </w:pPr>
            <w:r>
              <w:rPr/>
              <w:t> </w:t>
            </w:r>
          </w:p>
        </w:tc>
      </w:tr>
      <w:tr>
        <w:trPr/>
        <w:tc>
          <w:tcPr>
            <w:tcW w:w="117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Unrealized foreign currency translation loss</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2" w:type="dxa"/>
            <w:tcBorders/>
            <w:shd w:fill="CCEEFF" w:val="clear"/>
            <w:vAlign w:val="center"/>
          </w:tcPr>
          <w:p>
            <w:pPr>
              <w:pStyle w:val="TableContents"/>
              <w:spacing w:before="0" w:after="283"/>
              <w:rPr/>
            </w:pPr>
            <w:r>
              <w:rPr/>
              <w:t> </w:t>
            </w:r>
          </w:p>
        </w:tc>
        <w:tc>
          <w:tcPr>
            <w:tcW w:w="388"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80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90" w:type="dxa"/>
            <w:tcBorders/>
            <w:shd w:fill="CCEEFF" w:val="clear"/>
            <w:vAlign w:val="center"/>
          </w:tcPr>
          <w:p>
            <w:pPr>
              <w:pStyle w:val="TableContents"/>
              <w:spacing w:before="0" w:after="283"/>
              <w:rPr/>
            </w:pPr>
            <w:r>
              <w:rPr/>
              <w:t> </w:t>
            </w:r>
          </w:p>
        </w:tc>
        <w:tc>
          <w:tcPr>
            <w:tcW w:w="1320" w:type="dxa"/>
            <w:tcBorders/>
            <w:shd w:fill="CCEEFF" w:val="clear"/>
            <w:vAlign w:val="center"/>
          </w:tcPr>
          <w:p>
            <w:pPr>
              <w:pStyle w:val="TableContents"/>
              <w:spacing w:before="0" w:after="283"/>
              <w:jc w:val="right"/>
              <w:rPr/>
            </w:pPr>
            <w:r>
              <w:rPr/>
              <w:t>(434</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jc w:val="right"/>
              <w:rPr/>
            </w:pPr>
            <w:r>
              <w:rPr/>
              <w:t>(434</w:t>
            </w:r>
          </w:p>
        </w:tc>
        <w:tc>
          <w:tcPr>
            <w:tcW w:w="170" w:type="dxa"/>
            <w:tcBorders/>
            <w:shd w:fill="CCEEFF" w:val="clear"/>
            <w:vAlign w:val="center"/>
          </w:tcPr>
          <w:p>
            <w:pPr>
              <w:pStyle w:val="TableContents"/>
              <w:spacing w:before="0" w:after="283"/>
              <w:rPr/>
            </w:pPr>
            <w:r>
              <w:rPr/>
              <w:t>) </w:t>
            </w:r>
          </w:p>
        </w:tc>
      </w:tr>
      <w:tr>
        <w:trPr/>
        <w:tc>
          <w:tcPr>
            <w:tcW w:w="117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Dividends declared ($0.30 per share)</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2" w:type="dxa"/>
            <w:tcBorders/>
            <w:shd w:fill="auto" w:val="clear"/>
            <w:vAlign w:val="center"/>
          </w:tcPr>
          <w:p>
            <w:pPr>
              <w:pStyle w:val="TableContents"/>
              <w:spacing w:before="0" w:after="283"/>
              <w:rPr/>
            </w:pPr>
            <w:r>
              <w:rPr/>
              <w:t> </w:t>
            </w:r>
          </w:p>
        </w:tc>
        <w:tc>
          <w:tcPr>
            <w:tcW w:w="388"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90" w:type="dxa"/>
            <w:tcBorders/>
            <w:shd w:fill="auto" w:val="clear"/>
            <w:vAlign w:val="center"/>
          </w:tcPr>
          <w:p>
            <w:pPr>
              <w:pStyle w:val="TableContents"/>
              <w:spacing w:before="0" w:after="283"/>
              <w:rPr/>
            </w:pPr>
            <w:r>
              <w:rPr/>
              <w:t> </w:t>
            </w:r>
          </w:p>
        </w:tc>
        <w:tc>
          <w:tcPr>
            <w:tcW w:w="1320"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jc w:val="right"/>
              <w:rPr/>
            </w:pPr>
            <w:r>
              <w:rPr/>
              <w:t>(11,570</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jc w:val="right"/>
              <w:rPr/>
            </w:pPr>
            <w:r>
              <w:rPr/>
              <w:t>(11,570</w:t>
            </w:r>
          </w:p>
        </w:tc>
        <w:tc>
          <w:tcPr>
            <w:tcW w:w="170" w:type="dxa"/>
            <w:tcBorders/>
            <w:shd w:fill="auto" w:val="clear"/>
            <w:vAlign w:val="center"/>
          </w:tcPr>
          <w:p>
            <w:pPr>
              <w:pStyle w:val="TableContents"/>
              <w:spacing w:before="0" w:after="283"/>
              <w:rPr/>
            </w:pPr>
            <w:r>
              <w:rPr/>
              <w:t>) </w:t>
            </w:r>
          </w:p>
        </w:tc>
      </w:tr>
      <w:tr>
        <w:trPr/>
        <w:tc>
          <w:tcPr>
            <w:tcW w:w="117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Share-based compensation</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2" w:type="dxa"/>
            <w:tcBorders/>
            <w:shd w:fill="CCEEFF" w:val="clear"/>
            <w:vAlign w:val="center"/>
          </w:tcPr>
          <w:p>
            <w:pPr>
              <w:pStyle w:val="TableContents"/>
              <w:spacing w:before="0" w:after="283"/>
              <w:rPr/>
            </w:pPr>
            <w:r>
              <w:rPr/>
              <w:t> </w:t>
            </w:r>
          </w:p>
        </w:tc>
        <w:tc>
          <w:tcPr>
            <w:tcW w:w="388"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800" w:type="dxa"/>
            <w:tcBorders/>
            <w:shd w:fill="CCEEFF" w:val="clear"/>
            <w:vAlign w:val="center"/>
          </w:tcPr>
          <w:p>
            <w:pPr>
              <w:pStyle w:val="TableContents"/>
              <w:spacing w:before="0" w:after="283"/>
              <w:jc w:val="right"/>
              <w:rPr/>
            </w:pPr>
            <w:r>
              <w:rPr/>
              <w:t>7,422</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90" w:type="dxa"/>
            <w:tcBorders/>
            <w:shd w:fill="CCEEFF" w:val="clear"/>
            <w:vAlign w:val="center"/>
          </w:tcPr>
          <w:p>
            <w:pPr>
              <w:pStyle w:val="TableContents"/>
              <w:spacing w:before="0" w:after="283"/>
              <w:rPr/>
            </w:pPr>
            <w:r>
              <w:rPr/>
              <w:t> </w:t>
            </w:r>
          </w:p>
        </w:tc>
        <w:tc>
          <w:tcPr>
            <w:tcW w:w="1320"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jc w:val="right"/>
              <w:rPr/>
            </w:pPr>
            <w:r>
              <w:rPr/>
              <w:t>7,422</w:t>
            </w:r>
          </w:p>
        </w:tc>
        <w:tc>
          <w:tcPr>
            <w:tcW w:w="170" w:type="dxa"/>
            <w:tcBorders/>
            <w:shd w:fill="CCEEFF" w:val="clear"/>
            <w:vAlign w:val="center"/>
          </w:tcPr>
          <w:p>
            <w:pPr>
              <w:pStyle w:val="TableContents"/>
              <w:spacing w:before="0" w:after="283"/>
              <w:rPr/>
            </w:pPr>
            <w:r>
              <w:rPr/>
              <w:t> </w:t>
            </w:r>
          </w:p>
        </w:tc>
      </w:tr>
      <w:tr>
        <w:trPr/>
        <w:tc>
          <w:tcPr>
            <w:tcW w:w="117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Issuance of common stock</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516,670</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2" w:type="dxa"/>
            <w:tcBorders/>
            <w:shd w:fill="auto" w:val="clear"/>
            <w:vAlign w:val="center"/>
          </w:tcPr>
          <w:p>
            <w:pPr>
              <w:pStyle w:val="TableContents"/>
              <w:spacing w:before="0" w:after="283"/>
              <w:rPr/>
            </w:pPr>
            <w:r>
              <w:rPr/>
              <w:t> </w:t>
            </w:r>
          </w:p>
        </w:tc>
        <w:tc>
          <w:tcPr>
            <w:tcW w:w="388" w:type="dxa"/>
            <w:tcBorders/>
            <w:shd w:fill="auto" w:val="clear"/>
            <w:vAlign w:val="center"/>
          </w:tcPr>
          <w:p>
            <w:pPr>
              <w:pStyle w:val="TableContents"/>
              <w:spacing w:before="0" w:after="283"/>
              <w:jc w:val="right"/>
              <w:rPr/>
            </w:pPr>
            <w:r>
              <w:rPr/>
              <w:t>5</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3,345</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90" w:type="dxa"/>
            <w:tcBorders/>
            <w:shd w:fill="auto" w:val="clear"/>
            <w:vAlign w:val="center"/>
          </w:tcPr>
          <w:p>
            <w:pPr>
              <w:pStyle w:val="TableContents"/>
              <w:spacing w:before="0" w:after="283"/>
              <w:rPr/>
            </w:pPr>
            <w:r>
              <w:rPr/>
              <w:t> </w:t>
            </w:r>
          </w:p>
        </w:tc>
        <w:tc>
          <w:tcPr>
            <w:tcW w:w="1320"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jc w:val="right"/>
              <w:rPr/>
            </w:pPr>
            <w:r>
              <w:rPr/>
              <w:t>3,350</w:t>
            </w:r>
          </w:p>
        </w:tc>
        <w:tc>
          <w:tcPr>
            <w:tcW w:w="170" w:type="dxa"/>
            <w:tcBorders/>
            <w:shd w:fill="auto" w:val="clear"/>
            <w:vAlign w:val="center"/>
          </w:tcPr>
          <w:p>
            <w:pPr>
              <w:pStyle w:val="TableContents"/>
              <w:spacing w:before="0" w:after="283"/>
              <w:rPr/>
            </w:pPr>
            <w:r>
              <w:rPr/>
              <w:t> </w:t>
            </w:r>
          </w:p>
        </w:tc>
      </w:tr>
      <w:tr>
        <w:trPr/>
        <w:tc>
          <w:tcPr>
            <w:tcW w:w="117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Repurchase of common stock</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2" w:type="dxa"/>
            <w:tcBorders/>
            <w:shd w:fill="CCEEFF" w:val="clear"/>
            <w:vAlign w:val="center"/>
          </w:tcPr>
          <w:p>
            <w:pPr>
              <w:pStyle w:val="TableContents"/>
              <w:spacing w:before="0" w:after="283"/>
              <w:rPr/>
            </w:pPr>
            <w:r>
              <w:rPr/>
              <w:t> </w:t>
            </w:r>
          </w:p>
        </w:tc>
        <w:tc>
          <w:tcPr>
            <w:tcW w:w="388"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80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3,096,670</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jc w:val="right"/>
              <w:rPr/>
            </w:pPr>
            <w:r>
              <w:rPr/>
              <w:t>(149,798</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90" w:type="dxa"/>
            <w:tcBorders/>
            <w:shd w:fill="CCEEFF" w:val="clear"/>
            <w:vAlign w:val="center"/>
          </w:tcPr>
          <w:p>
            <w:pPr>
              <w:pStyle w:val="TableContents"/>
              <w:spacing w:before="0" w:after="283"/>
              <w:rPr/>
            </w:pPr>
            <w:r>
              <w:rPr/>
              <w:t> </w:t>
            </w:r>
          </w:p>
        </w:tc>
        <w:tc>
          <w:tcPr>
            <w:tcW w:w="1320"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jc w:val="right"/>
              <w:rPr/>
            </w:pPr>
            <w:r>
              <w:rPr/>
              <w:t>(149,798</w:t>
            </w:r>
          </w:p>
        </w:tc>
        <w:tc>
          <w:tcPr>
            <w:tcW w:w="170" w:type="dxa"/>
            <w:tcBorders/>
            <w:shd w:fill="CCEEFF" w:val="clear"/>
            <w:vAlign w:val="center"/>
          </w:tcPr>
          <w:p>
            <w:pPr>
              <w:pStyle w:val="TableContents"/>
              <w:spacing w:before="0" w:after="283"/>
              <w:rPr/>
            </w:pPr>
            <w:r>
              <w:rPr/>
              <w:t>) </w:t>
            </w:r>
          </w:p>
        </w:tc>
      </w:tr>
      <w:tr>
        <w:trPr/>
        <w:tc>
          <w:tcPr>
            <w:tcW w:w="11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1100" w:type="dxa"/>
            <w:tcBorders/>
            <w:shd w:fill="auto" w:val="clear"/>
            <w:vAlign w:val="center"/>
          </w:tcPr>
          <w:p>
            <w:pPr>
              <w:pStyle w:val="TableContents"/>
              <w:spacing w:before="0" w:after="0"/>
              <w:rPr>
                <w:bdr w:val="single" w:sz="2" w:space="1" w:color="000000"/>
              </w:rPr>
            </w:pPr>
            <w:r>
              <w:rPr>
                <w:bdr w:val="single" w:sz="2" w:space="1" w:color="000000"/>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2" w:type="dxa"/>
            <w:tcBorders/>
            <w:shd w:fill="auto" w:val="clear"/>
            <w:vAlign w:val="center"/>
          </w:tcPr>
          <w:p>
            <w:pPr>
              <w:pStyle w:val="TableContents"/>
              <w:spacing w:before="0" w:after="0"/>
              <w:rPr>
                <w:bdr w:val="single" w:sz="2" w:space="1" w:color="000000"/>
              </w:rPr>
            </w:pPr>
            <w:r>
              <w:rPr>
                <w:bdr w:val="single" w:sz="2" w:space="1" w:color="000000"/>
              </w:rPr>
              <w:t> </w:t>
            </w:r>
          </w:p>
        </w:tc>
        <w:tc>
          <w:tcPr>
            <w:tcW w:w="388" w:type="dxa"/>
            <w:tcBorders/>
            <w:shd w:fill="auto" w:val="clear"/>
            <w:vAlign w:val="center"/>
          </w:tcPr>
          <w:p>
            <w:pPr>
              <w:pStyle w:val="TableContents"/>
              <w:spacing w:before="0" w:after="0"/>
              <w:rPr>
                <w:bdr w:val="single" w:sz="2" w:space="1" w:color="000000"/>
              </w:rPr>
            </w:pPr>
            <w:r>
              <w:rPr>
                <w:bdr w:val="single" w:sz="2" w:space="1" w:color="000000"/>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single" w:sz="2" w:space="1" w:color="000000"/>
              </w:rPr>
            </w:pPr>
            <w:r>
              <w:rPr>
                <w:bdr w:val="single" w:sz="2" w:space="1" w:color="000000"/>
              </w:rPr>
              <w:t> </w:t>
            </w:r>
          </w:p>
        </w:tc>
        <w:tc>
          <w:tcPr>
            <w:tcW w:w="800" w:type="dxa"/>
            <w:tcBorders/>
            <w:shd w:fill="auto" w:val="clear"/>
            <w:vAlign w:val="center"/>
          </w:tcPr>
          <w:p>
            <w:pPr>
              <w:pStyle w:val="TableContents"/>
              <w:spacing w:before="0" w:after="0"/>
              <w:rPr>
                <w:bdr w:val="single" w:sz="2" w:space="1" w:color="000000"/>
              </w:rPr>
            </w:pPr>
            <w:r>
              <w:rPr>
                <w:bdr w:val="single" w:sz="2" w:space="1" w:color="000000"/>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1100" w:type="dxa"/>
            <w:tcBorders/>
            <w:shd w:fill="auto" w:val="clear"/>
            <w:vAlign w:val="center"/>
          </w:tcPr>
          <w:p>
            <w:pPr>
              <w:pStyle w:val="TableContents"/>
              <w:spacing w:before="0" w:after="0"/>
              <w:rPr>
                <w:bdr w:val="single" w:sz="2" w:space="1" w:color="000000"/>
              </w:rPr>
            </w:pPr>
            <w:r>
              <w:rPr>
                <w:bdr w:val="single" w:sz="2" w:space="1" w:color="000000"/>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single" w:sz="2" w:space="1" w:color="000000"/>
              </w:rPr>
            </w:pPr>
            <w:r>
              <w:rPr>
                <w:bdr w:val="single" w:sz="2" w:space="1" w:color="000000"/>
              </w:rPr>
              <w:t> </w:t>
            </w:r>
          </w:p>
        </w:tc>
        <w:tc>
          <w:tcPr>
            <w:tcW w:w="875"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90" w:type="dxa"/>
            <w:tcBorders/>
            <w:shd w:fill="auto" w:val="clear"/>
            <w:vAlign w:val="center"/>
          </w:tcPr>
          <w:p>
            <w:pPr>
              <w:pStyle w:val="TableContents"/>
              <w:spacing w:before="0" w:after="0"/>
              <w:rPr>
                <w:bdr w:val="single" w:sz="2" w:space="1" w:color="000000"/>
              </w:rPr>
            </w:pPr>
            <w:r>
              <w:rPr>
                <w:bdr w:val="single" w:sz="2" w:space="1" w:color="000000"/>
              </w:rPr>
              <w:t> </w:t>
            </w:r>
          </w:p>
        </w:tc>
        <w:tc>
          <w:tcPr>
            <w:tcW w:w="1320"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single" w:sz="2" w:space="1" w:color="000000"/>
              </w:rPr>
            </w:pPr>
            <w:r>
              <w:rPr>
                <w:bdr w:val="single" w:sz="2" w:space="1" w:color="000000"/>
              </w:rPr>
              <w:t> </w:t>
            </w:r>
          </w:p>
        </w:tc>
        <w:tc>
          <w:tcPr>
            <w:tcW w:w="875"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single" w:sz="2" w:space="1" w:color="000000"/>
              </w:rPr>
            </w:pPr>
            <w:r>
              <w:rPr>
                <w:bdr w:val="single" w:sz="2" w:space="1" w:color="000000"/>
              </w:rPr>
              <w:t> </w:t>
            </w:r>
          </w:p>
        </w:tc>
        <w:tc>
          <w:tcPr>
            <w:tcW w:w="875" w:type="dxa"/>
            <w:tcBorders/>
            <w:shd w:fill="auto" w:val="clear"/>
            <w:vAlign w:val="center"/>
          </w:tcPr>
          <w:p>
            <w:pPr>
              <w:pStyle w:val="TableContents"/>
              <w:spacing w:before="0" w:after="0"/>
              <w:rPr>
                <w:bdr w:val="single" w:sz="2" w:space="1" w:color="000000"/>
              </w:rPr>
            </w:pPr>
            <w:r>
              <w:rPr>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1175" w:type="dxa"/>
            <w:tcBorders/>
            <w:shd w:fill="auto" w:val="clear"/>
            <w:vAlign w:val="center"/>
          </w:tcPr>
          <w:p>
            <w:pPr>
              <w:pStyle w:val="TableContents"/>
              <w:spacing w:before="0" w:after="0"/>
              <w:rPr>
                <w:rFonts w:ascii="Times New Roman" w:hAnsi="Times New Roman"/>
                <w:b/>
                <w:spacing w:val="0"/>
                <w:sz w:val="20"/>
              </w:rPr>
            </w:pPr>
            <w:r>
              <w:rPr>
                <w:rFonts w:ascii="Times New Roman" w:hAnsi="Times New Roman"/>
                <w:b/>
                <w:spacing w:val="0"/>
                <w:sz w:val="20"/>
              </w:rPr>
              <w:t>Balance February 3, 2019</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43,177,476</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2" w:type="dxa"/>
            <w:tcBorders/>
            <w:shd w:fill="auto" w:val="clear"/>
            <w:vAlign w:val="center"/>
          </w:tcPr>
          <w:p>
            <w:pPr>
              <w:pStyle w:val="TableContents"/>
              <w:spacing w:before="0" w:after="283"/>
              <w:rPr/>
            </w:pPr>
            <w:r>
              <w:rPr/>
              <w:t> </w:t>
            </w:r>
          </w:p>
        </w:tc>
        <w:tc>
          <w:tcPr>
            <w:tcW w:w="388" w:type="dxa"/>
            <w:tcBorders/>
            <w:shd w:fill="auto" w:val="clear"/>
            <w:vAlign w:val="center"/>
          </w:tcPr>
          <w:p>
            <w:pPr>
              <w:pStyle w:val="TableContents"/>
              <w:spacing w:before="0" w:after="283"/>
              <w:jc w:val="right"/>
              <w:rPr/>
            </w:pPr>
            <w:r>
              <w:rPr/>
              <w:t>432</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331,255</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5,655,391</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jc w:val="right"/>
              <w:rPr/>
            </w:pPr>
            <w:r>
              <w:rPr/>
              <w:t>(297,129</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90" w:type="dxa"/>
            <w:tcBorders/>
            <w:shd w:fill="auto" w:val="clear"/>
            <w:vAlign w:val="center"/>
          </w:tcPr>
          <w:p>
            <w:pPr>
              <w:pStyle w:val="TableContents"/>
              <w:spacing w:before="0" w:after="283"/>
              <w:rPr/>
            </w:pPr>
            <w:r>
              <w:rPr/>
              <w:t> </w:t>
            </w:r>
          </w:p>
        </w:tc>
        <w:tc>
          <w:tcPr>
            <w:tcW w:w="1320" w:type="dxa"/>
            <w:tcBorders/>
            <w:shd w:fill="auto" w:val="clear"/>
            <w:vAlign w:val="center"/>
          </w:tcPr>
          <w:p>
            <w:pPr>
              <w:pStyle w:val="TableContents"/>
              <w:spacing w:before="0" w:after="283"/>
              <w:jc w:val="right"/>
              <w:rPr/>
            </w:pPr>
            <w:r>
              <w:rPr/>
              <w:t>(683</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jc w:val="right"/>
              <w:rPr/>
            </w:pPr>
            <w:r>
              <w:rPr/>
              <w:t>353,962</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jc w:val="right"/>
              <w:rPr/>
            </w:pPr>
            <w:r>
              <w:rPr/>
              <w:t>387,837</w:t>
            </w:r>
          </w:p>
        </w:tc>
        <w:tc>
          <w:tcPr>
            <w:tcW w:w="170" w:type="dxa"/>
            <w:tcBorders/>
            <w:shd w:fill="auto" w:val="clear"/>
            <w:vAlign w:val="center"/>
          </w:tcPr>
          <w:p>
            <w:pPr>
              <w:pStyle w:val="TableContents"/>
              <w:spacing w:before="0" w:after="283"/>
              <w:rPr/>
            </w:pPr>
            <w:r>
              <w:rPr/>
              <w:t> </w:t>
            </w:r>
          </w:p>
        </w:tc>
      </w:tr>
      <w:tr>
        <w:trPr/>
        <w:tc>
          <w:tcPr>
            <w:tcW w:w="11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1100" w:type="dxa"/>
            <w:tcBorders/>
            <w:shd w:fill="auto" w:val="clear"/>
            <w:vAlign w:val="center"/>
          </w:tcPr>
          <w:p>
            <w:pPr>
              <w:pStyle w:val="TableContents"/>
              <w:spacing w:before="0" w:after="0"/>
              <w:rPr>
                <w:bdr w:val="single" w:sz="2" w:space="1" w:color="000000"/>
              </w:rPr>
            </w:pPr>
            <w:r>
              <w:rPr>
                <w:bdr w:val="single" w:sz="2" w:space="1" w:color="000000"/>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2" w:type="dxa"/>
            <w:tcBorders/>
            <w:shd w:fill="auto" w:val="clear"/>
            <w:vAlign w:val="center"/>
          </w:tcPr>
          <w:p>
            <w:pPr>
              <w:pStyle w:val="TableContents"/>
              <w:spacing w:before="0" w:after="0"/>
              <w:rPr>
                <w:bdr w:val="single" w:sz="2" w:space="1" w:color="000000"/>
              </w:rPr>
            </w:pPr>
            <w:r>
              <w:rPr>
                <w:bdr w:val="single" w:sz="2" w:space="1" w:color="000000"/>
              </w:rPr>
              <w:t> </w:t>
            </w:r>
          </w:p>
        </w:tc>
        <w:tc>
          <w:tcPr>
            <w:tcW w:w="388" w:type="dxa"/>
            <w:tcBorders/>
            <w:shd w:fill="auto" w:val="clear"/>
            <w:vAlign w:val="center"/>
          </w:tcPr>
          <w:p>
            <w:pPr>
              <w:pStyle w:val="TableContents"/>
              <w:spacing w:before="0" w:after="0"/>
              <w:rPr>
                <w:bdr w:val="single" w:sz="2" w:space="1" w:color="000000"/>
              </w:rPr>
            </w:pPr>
            <w:r>
              <w:rPr>
                <w:bdr w:val="single" w:sz="2" w:space="1" w:color="000000"/>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single" w:sz="2" w:space="1" w:color="000000"/>
              </w:rPr>
            </w:pPr>
            <w:r>
              <w:rPr>
                <w:bdr w:val="single" w:sz="2" w:space="1" w:color="000000"/>
              </w:rPr>
              <w:t> </w:t>
            </w:r>
          </w:p>
        </w:tc>
        <w:tc>
          <w:tcPr>
            <w:tcW w:w="800" w:type="dxa"/>
            <w:tcBorders/>
            <w:shd w:fill="auto" w:val="clear"/>
            <w:vAlign w:val="center"/>
          </w:tcPr>
          <w:p>
            <w:pPr>
              <w:pStyle w:val="TableContents"/>
              <w:spacing w:before="0" w:after="0"/>
              <w:rPr>
                <w:bdr w:val="single" w:sz="2" w:space="1" w:color="000000"/>
              </w:rPr>
            </w:pPr>
            <w:r>
              <w:rPr>
                <w:bdr w:val="single" w:sz="2" w:space="1" w:color="000000"/>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1100" w:type="dxa"/>
            <w:tcBorders/>
            <w:shd w:fill="auto" w:val="clear"/>
            <w:vAlign w:val="center"/>
          </w:tcPr>
          <w:p>
            <w:pPr>
              <w:pStyle w:val="TableContents"/>
              <w:spacing w:before="0" w:after="0"/>
              <w:rPr>
                <w:bdr w:val="single" w:sz="2" w:space="1" w:color="000000"/>
              </w:rPr>
            </w:pPr>
            <w:r>
              <w:rPr>
                <w:bdr w:val="single" w:sz="2" w:space="1" w:color="000000"/>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single" w:sz="2" w:space="1" w:color="000000"/>
              </w:rPr>
            </w:pPr>
            <w:r>
              <w:rPr>
                <w:bdr w:val="single" w:sz="2" w:space="1" w:color="000000"/>
              </w:rPr>
              <w:t> </w:t>
            </w:r>
          </w:p>
        </w:tc>
        <w:tc>
          <w:tcPr>
            <w:tcW w:w="875"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90" w:type="dxa"/>
            <w:tcBorders/>
            <w:shd w:fill="auto" w:val="clear"/>
            <w:vAlign w:val="center"/>
          </w:tcPr>
          <w:p>
            <w:pPr>
              <w:pStyle w:val="TableContents"/>
              <w:spacing w:before="0" w:after="0"/>
              <w:rPr>
                <w:bdr w:val="single" w:sz="2" w:space="1" w:color="000000"/>
              </w:rPr>
            </w:pPr>
            <w:r>
              <w:rPr>
                <w:bdr w:val="single" w:sz="2" w:space="1" w:color="000000"/>
              </w:rPr>
              <w:t> </w:t>
            </w:r>
          </w:p>
        </w:tc>
        <w:tc>
          <w:tcPr>
            <w:tcW w:w="1320"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single" w:sz="2" w:space="1" w:color="000000"/>
              </w:rPr>
            </w:pPr>
            <w:r>
              <w:rPr>
                <w:bdr w:val="single" w:sz="2" w:space="1" w:color="000000"/>
              </w:rPr>
              <w:t> </w:t>
            </w:r>
          </w:p>
        </w:tc>
        <w:tc>
          <w:tcPr>
            <w:tcW w:w="875"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single" w:sz="2" w:space="1" w:color="000000"/>
              </w:rPr>
            </w:pPr>
            <w:r>
              <w:rPr>
                <w:bdr w:val="single" w:sz="2" w:space="1" w:color="000000"/>
              </w:rPr>
              <w:t> </w:t>
            </w:r>
          </w:p>
        </w:tc>
        <w:tc>
          <w:tcPr>
            <w:tcW w:w="875" w:type="dxa"/>
            <w:tcBorders/>
            <w:shd w:fill="auto" w:val="clear"/>
            <w:vAlign w:val="center"/>
          </w:tcPr>
          <w:p>
            <w:pPr>
              <w:pStyle w:val="TableContents"/>
              <w:spacing w:before="0" w:after="0"/>
              <w:rPr>
                <w:bdr w:val="single" w:sz="2" w:space="1" w:color="000000"/>
              </w:rPr>
            </w:pPr>
            <w:r>
              <w:rPr>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117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Cumulative effect of a change in accounting principle, net of tax</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2" w:type="dxa"/>
            <w:tcBorders/>
            <w:shd w:fill="CCEEFF" w:val="clear"/>
            <w:vAlign w:val="center"/>
          </w:tcPr>
          <w:p>
            <w:pPr>
              <w:pStyle w:val="TableContents"/>
              <w:spacing w:before="0" w:after="283"/>
              <w:rPr/>
            </w:pPr>
            <w:r>
              <w:rPr/>
              <w:t> </w:t>
            </w:r>
          </w:p>
        </w:tc>
        <w:tc>
          <w:tcPr>
            <w:tcW w:w="388"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80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90" w:type="dxa"/>
            <w:tcBorders/>
            <w:shd w:fill="CCEEFF" w:val="clear"/>
            <w:vAlign w:val="center"/>
          </w:tcPr>
          <w:p>
            <w:pPr>
              <w:pStyle w:val="TableContents"/>
              <w:spacing w:before="0" w:after="283"/>
              <w:rPr/>
            </w:pPr>
            <w:r>
              <w:rPr/>
              <w:t> </w:t>
            </w:r>
          </w:p>
        </w:tc>
        <w:tc>
          <w:tcPr>
            <w:tcW w:w="1320"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jc w:val="right"/>
              <w:rPr/>
            </w:pPr>
            <w:r>
              <w:rPr/>
              <w:t>(145</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jc w:val="right"/>
              <w:rPr/>
            </w:pPr>
            <w:r>
              <w:rPr/>
              <w:t>(145</w:t>
            </w:r>
          </w:p>
        </w:tc>
        <w:tc>
          <w:tcPr>
            <w:tcW w:w="170" w:type="dxa"/>
            <w:tcBorders/>
            <w:shd w:fill="CCEEFF" w:val="clear"/>
            <w:vAlign w:val="center"/>
          </w:tcPr>
          <w:p>
            <w:pPr>
              <w:pStyle w:val="TableContents"/>
              <w:spacing w:before="0" w:after="283"/>
              <w:rPr/>
            </w:pPr>
            <w:r>
              <w:rPr/>
              <w:t>) </w:t>
            </w:r>
          </w:p>
        </w:tc>
      </w:tr>
      <w:tr>
        <w:trPr/>
        <w:tc>
          <w:tcPr>
            <w:tcW w:w="117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Net income</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2" w:type="dxa"/>
            <w:tcBorders/>
            <w:shd w:fill="auto" w:val="clear"/>
            <w:vAlign w:val="center"/>
          </w:tcPr>
          <w:p>
            <w:pPr>
              <w:pStyle w:val="TableContents"/>
              <w:spacing w:before="0" w:after="283"/>
              <w:rPr/>
            </w:pPr>
            <w:r>
              <w:rPr/>
              <w:t> </w:t>
            </w:r>
          </w:p>
        </w:tc>
        <w:tc>
          <w:tcPr>
            <w:tcW w:w="388"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90" w:type="dxa"/>
            <w:tcBorders/>
            <w:shd w:fill="auto" w:val="clear"/>
            <w:vAlign w:val="center"/>
          </w:tcPr>
          <w:p>
            <w:pPr>
              <w:pStyle w:val="TableContents"/>
              <w:spacing w:before="0" w:after="283"/>
              <w:rPr/>
            </w:pPr>
            <w:r>
              <w:rPr/>
              <w:t> </w:t>
            </w:r>
          </w:p>
        </w:tc>
        <w:tc>
          <w:tcPr>
            <w:tcW w:w="1320"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jc w:val="right"/>
              <w:rPr/>
            </w:pPr>
            <w:r>
              <w:rPr/>
              <w:t>100,263</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jc w:val="right"/>
              <w:rPr/>
            </w:pPr>
            <w:r>
              <w:rPr/>
              <w:t>100,263</w:t>
            </w:r>
          </w:p>
        </w:tc>
        <w:tc>
          <w:tcPr>
            <w:tcW w:w="170" w:type="dxa"/>
            <w:tcBorders/>
            <w:shd w:fill="auto" w:val="clear"/>
            <w:vAlign w:val="center"/>
          </w:tcPr>
          <w:p>
            <w:pPr>
              <w:pStyle w:val="TableContents"/>
              <w:spacing w:before="0" w:after="283"/>
              <w:rPr/>
            </w:pPr>
            <w:r>
              <w:rPr/>
              <w:t> </w:t>
            </w:r>
          </w:p>
        </w:tc>
      </w:tr>
      <w:tr>
        <w:trPr/>
        <w:tc>
          <w:tcPr>
            <w:tcW w:w="117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Unrealized foreign currency translation loss</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2" w:type="dxa"/>
            <w:tcBorders/>
            <w:shd w:fill="CCEEFF" w:val="clear"/>
            <w:vAlign w:val="center"/>
          </w:tcPr>
          <w:p>
            <w:pPr>
              <w:pStyle w:val="TableContents"/>
              <w:spacing w:before="0" w:after="283"/>
              <w:rPr/>
            </w:pPr>
            <w:r>
              <w:rPr/>
              <w:t> </w:t>
            </w:r>
          </w:p>
        </w:tc>
        <w:tc>
          <w:tcPr>
            <w:tcW w:w="388"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80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90" w:type="dxa"/>
            <w:tcBorders/>
            <w:shd w:fill="CCEEFF" w:val="clear"/>
            <w:vAlign w:val="center"/>
          </w:tcPr>
          <w:p>
            <w:pPr>
              <w:pStyle w:val="TableContents"/>
              <w:spacing w:before="0" w:after="283"/>
              <w:rPr/>
            </w:pPr>
            <w:r>
              <w:rPr/>
              <w:t> </w:t>
            </w:r>
          </w:p>
        </w:tc>
        <w:tc>
          <w:tcPr>
            <w:tcW w:w="1320" w:type="dxa"/>
            <w:tcBorders/>
            <w:shd w:fill="CCEEFF" w:val="clear"/>
            <w:vAlign w:val="center"/>
          </w:tcPr>
          <w:p>
            <w:pPr>
              <w:pStyle w:val="TableContents"/>
              <w:spacing w:before="0" w:after="283"/>
              <w:jc w:val="right"/>
              <w:rPr/>
            </w:pPr>
            <w:r>
              <w:rPr/>
              <w:t>(65</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jc w:val="right"/>
              <w:rPr/>
            </w:pPr>
            <w:r>
              <w:rPr/>
              <w:t>(65</w:t>
            </w:r>
          </w:p>
        </w:tc>
        <w:tc>
          <w:tcPr>
            <w:tcW w:w="170" w:type="dxa"/>
            <w:tcBorders/>
            <w:shd w:fill="CCEEFF" w:val="clear"/>
            <w:vAlign w:val="center"/>
          </w:tcPr>
          <w:p>
            <w:pPr>
              <w:pStyle w:val="TableContents"/>
              <w:spacing w:before="0" w:after="283"/>
              <w:rPr/>
            </w:pPr>
            <w:r>
              <w:rPr/>
              <w:t>) </w:t>
            </w:r>
          </w:p>
        </w:tc>
      </w:tr>
      <w:tr>
        <w:trPr/>
        <w:tc>
          <w:tcPr>
            <w:tcW w:w="117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Unrealized loss on derivatives, net of tax</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2" w:type="dxa"/>
            <w:tcBorders/>
            <w:shd w:fill="auto" w:val="clear"/>
            <w:vAlign w:val="center"/>
          </w:tcPr>
          <w:p>
            <w:pPr>
              <w:pStyle w:val="TableContents"/>
              <w:spacing w:before="0" w:after="283"/>
              <w:rPr/>
            </w:pPr>
            <w:r>
              <w:rPr/>
              <w:t> </w:t>
            </w:r>
          </w:p>
        </w:tc>
        <w:tc>
          <w:tcPr>
            <w:tcW w:w="388"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90" w:type="dxa"/>
            <w:tcBorders/>
            <w:shd w:fill="auto" w:val="clear"/>
            <w:vAlign w:val="center"/>
          </w:tcPr>
          <w:p>
            <w:pPr>
              <w:pStyle w:val="TableContents"/>
              <w:spacing w:before="0" w:after="283"/>
              <w:rPr/>
            </w:pPr>
            <w:r>
              <w:rPr/>
              <w:t> </w:t>
            </w:r>
          </w:p>
        </w:tc>
        <w:tc>
          <w:tcPr>
            <w:tcW w:w="1320" w:type="dxa"/>
            <w:tcBorders/>
            <w:shd w:fill="auto" w:val="clear"/>
            <w:vAlign w:val="center"/>
          </w:tcPr>
          <w:p>
            <w:pPr>
              <w:pStyle w:val="TableContents"/>
              <w:spacing w:before="0" w:after="283"/>
              <w:jc w:val="right"/>
              <w:rPr/>
            </w:pPr>
            <w:r>
              <w:rPr/>
              <w:t>(7,621</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jc w:val="right"/>
              <w:rPr/>
            </w:pPr>
            <w:r>
              <w:rPr/>
              <w:t>(7,621</w:t>
            </w:r>
          </w:p>
        </w:tc>
        <w:tc>
          <w:tcPr>
            <w:tcW w:w="170" w:type="dxa"/>
            <w:tcBorders/>
            <w:shd w:fill="auto" w:val="clear"/>
            <w:vAlign w:val="center"/>
          </w:tcPr>
          <w:p>
            <w:pPr>
              <w:pStyle w:val="TableContents"/>
              <w:spacing w:before="0" w:after="283"/>
              <w:rPr/>
            </w:pPr>
            <w:r>
              <w:rPr/>
              <w:t>) </w:t>
            </w:r>
          </w:p>
        </w:tc>
      </w:tr>
      <w:tr>
        <w:trPr/>
        <w:tc>
          <w:tcPr>
            <w:tcW w:w="117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Dividends declared ($0.62 per share)</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2" w:type="dxa"/>
            <w:tcBorders/>
            <w:shd w:fill="CCEEFF" w:val="clear"/>
            <w:vAlign w:val="center"/>
          </w:tcPr>
          <w:p>
            <w:pPr>
              <w:pStyle w:val="TableContents"/>
              <w:spacing w:before="0" w:after="283"/>
              <w:rPr/>
            </w:pPr>
            <w:r>
              <w:rPr/>
              <w:t> </w:t>
            </w:r>
          </w:p>
        </w:tc>
        <w:tc>
          <w:tcPr>
            <w:tcW w:w="388"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80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90" w:type="dxa"/>
            <w:tcBorders/>
            <w:shd w:fill="CCEEFF" w:val="clear"/>
            <w:vAlign w:val="center"/>
          </w:tcPr>
          <w:p>
            <w:pPr>
              <w:pStyle w:val="TableContents"/>
              <w:spacing w:before="0" w:after="283"/>
              <w:rPr/>
            </w:pPr>
            <w:r>
              <w:rPr/>
              <w:t> </w:t>
            </w:r>
          </w:p>
        </w:tc>
        <w:tc>
          <w:tcPr>
            <w:tcW w:w="1320"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jc w:val="right"/>
              <w:rPr/>
            </w:pPr>
            <w:r>
              <w:rPr/>
              <w:t>(20,615</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jc w:val="right"/>
              <w:rPr/>
            </w:pPr>
            <w:r>
              <w:rPr/>
              <w:t>(20,615</w:t>
            </w:r>
          </w:p>
        </w:tc>
        <w:tc>
          <w:tcPr>
            <w:tcW w:w="170" w:type="dxa"/>
            <w:tcBorders/>
            <w:shd w:fill="CCEEFF" w:val="clear"/>
            <w:vAlign w:val="center"/>
          </w:tcPr>
          <w:p>
            <w:pPr>
              <w:pStyle w:val="TableContents"/>
              <w:spacing w:before="0" w:after="283"/>
              <w:rPr/>
            </w:pPr>
            <w:r>
              <w:rPr/>
              <w:t>) </w:t>
            </w:r>
          </w:p>
        </w:tc>
      </w:tr>
      <w:tr>
        <w:trPr/>
        <w:tc>
          <w:tcPr>
            <w:tcW w:w="117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Share-based compensation</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2" w:type="dxa"/>
            <w:tcBorders/>
            <w:shd w:fill="auto" w:val="clear"/>
            <w:vAlign w:val="center"/>
          </w:tcPr>
          <w:p>
            <w:pPr>
              <w:pStyle w:val="TableContents"/>
              <w:spacing w:before="0" w:after="283"/>
              <w:rPr/>
            </w:pPr>
            <w:r>
              <w:rPr/>
              <w:t> </w:t>
            </w:r>
          </w:p>
        </w:tc>
        <w:tc>
          <w:tcPr>
            <w:tcW w:w="388"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6,857</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90" w:type="dxa"/>
            <w:tcBorders/>
            <w:shd w:fill="auto" w:val="clear"/>
            <w:vAlign w:val="center"/>
          </w:tcPr>
          <w:p>
            <w:pPr>
              <w:pStyle w:val="TableContents"/>
              <w:spacing w:before="0" w:after="283"/>
              <w:rPr/>
            </w:pPr>
            <w:r>
              <w:rPr/>
              <w:t> </w:t>
            </w:r>
          </w:p>
        </w:tc>
        <w:tc>
          <w:tcPr>
            <w:tcW w:w="1320"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jc w:val="right"/>
              <w:rPr/>
            </w:pPr>
            <w:r>
              <w:rPr/>
              <w:t>6,857</w:t>
            </w:r>
          </w:p>
        </w:tc>
        <w:tc>
          <w:tcPr>
            <w:tcW w:w="170" w:type="dxa"/>
            <w:tcBorders/>
            <w:shd w:fill="auto" w:val="clear"/>
            <w:vAlign w:val="center"/>
          </w:tcPr>
          <w:p>
            <w:pPr>
              <w:pStyle w:val="TableContents"/>
              <w:spacing w:before="0" w:after="283"/>
              <w:rPr/>
            </w:pPr>
            <w:r>
              <w:rPr/>
              <w:t> </w:t>
            </w:r>
          </w:p>
        </w:tc>
      </w:tr>
      <w:tr>
        <w:trPr/>
        <w:tc>
          <w:tcPr>
            <w:tcW w:w="117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Issuance of common stock</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209,376</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2" w:type="dxa"/>
            <w:tcBorders/>
            <w:shd w:fill="CCEEFF" w:val="clear"/>
            <w:vAlign w:val="center"/>
          </w:tcPr>
          <w:p>
            <w:pPr>
              <w:pStyle w:val="TableContents"/>
              <w:spacing w:before="0" w:after="283"/>
              <w:rPr/>
            </w:pPr>
            <w:r>
              <w:rPr/>
              <w:t> </w:t>
            </w:r>
          </w:p>
        </w:tc>
        <w:tc>
          <w:tcPr>
            <w:tcW w:w="388" w:type="dxa"/>
            <w:tcBorders/>
            <w:shd w:fill="CCEEFF" w:val="clear"/>
            <w:vAlign w:val="center"/>
          </w:tcPr>
          <w:p>
            <w:pPr>
              <w:pStyle w:val="TableContents"/>
              <w:spacing w:before="0" w:after="283"/>
              <w:jc w:val="right"/>
              <w:rPr/>
            </w:pPr>
            <w:r>
              <w:rPr/>
              <w:t>2</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800" w:type="dxa"/>
            <w:tcBorders/>
            <w:shd w:fill="CCEEFF" w:val="clear"/>
            <w:vAlign w:val="center"/>
          </w:tcPr>
          <w:p>
            <w:pPr>
              <w:pStyle w:val="TableContents"/>
              <w:spacing w:before="0" w:after="283"/>
              <w:jc w:val="right"/>
              <w:rPr/>
            </w:pPr>
            <w:r>
              <w:rPr/>
              <w:t>1,049</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90" w:type="dxa"/>
            <w:tcBorders/>
            <w:shd w:fill="CCEEFF" w:val="clear"/>
            <w:vAlign w:val="center"/>
          </w:tcPr>
          <w:p>
            <w:pPr>
              <w:pStyle w:val="TableContents"/>
              <w:spacing w:before="0" w:after="283"/>
              <w:rPr/>
            </w:pPr>
            <w:r>
              <w:rPr/>
              <w:t> </w:t>
            </w:r>
          </w:p>
        </w:tc>
        <w:tc>
          <w:tcPr>
            <w:tcW w:w="1320"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jc w:val="right"/>
              <w:rPr/>
            </w:pPr>
            <w:r>
              <w:rPr/>
              <w:t>1,051</w:t>
            </w:r>
          </w:p>
        </w:tc>
        <w:tc>
          <w:tcPr>
            <w:tcW w:w="170" w:type="dxa"/>
            <w:tcBorders/>
            <w:shd w:fill="CCEEFF" w:val="clear"/>
            <w:vAlign w:val="center"/>
          </w:tcPr>
          <w:p>
            <w:pPr>
              <w:pStyle w:val="TableContents"/>
              <w:spacing w:before="0" w:after="283"/>
              <w:rPr/>
            </w:pPr>
            <w:r>
              <w:rPr/>
              <w:t> </w:t>
            </w:r>
          </w:p>
        </w:tc>
      </w:tr>
      <w:tr>
        <w:trPr/>
        <w:tc>
          <w:tcPr>
            <w:tcW w:w="117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Repurchase of common stock</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2" w:type="dxa"/>
            <w:tcBorders/>
            <w:shd w:fill="auto" w:val="clear"/>
            <w:vAlign w:val="center"/>
          </w:tcPr>
          <w:p>
            <w:pPr>
              <w:pStyle w:val="TableContents"/>
              <w:spacing w:before="0" w:after="283"/>
              <w:rPr/>
            </w:pPr>
            <w:r>
              <w:rPr/>
              <w:t> </w:t>
            </w:r>
          </w:p>
        </w:tc>
        <w:tc>
          <w:tcPr>
            <w:tcW w:w="388"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7,128,121</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jc w:val="right"/>
              <w:rPr/>
            </w:pPr>
            <w:r>
              <w:rPr/>
              <w:t>(297,912</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90" w:type="dxa"/>
            <w:tcBorders/>
            <w:shd w:fill="auto" w:val="clear"/>
            <w:vAlign w:val="center"/>
          </w:tcPr>
          <w:p>
            <w:pPr>
              <w:pStyle w:val="TableContents"/>
              <w:spacing w:before="0" w:after="283"/>
              <w:rPr/>
            </w:pPr>
            <w:r>
              <w:rPr/>
              <w:t> </w:t>
            </w:r>
          </w:p>
        </w:tc>
        <w:tc>
          <w:tcPr>
            <w:tcW w:w="1320"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jc w:val="right"/>
              <w:rPr/>
            </w:pPr>
            <w:r>
              <w:rPr/>
              <w:t>(297,912</w:t>
            </w:r>
          </w:p>
        </w:tc>
        <w:tc>
          <w:tcPr>
            <w:tcW w:w="170" w:type="dxa"/>
            <w:tcBorders/>
            <w:shd w:fill="auto" w:val="clear"/>
            <w:vAlign w:val="center"/>
          </w:tcPr>
          <w:p>
            <w:pPr>
              <w:pStyle w:val="TableContents"/>
              <w:spacing w:before="0" w:after="283"/>
              <w:rPr/>
            </w:pPr>
            <w:r>
              <w:rPr/>
              <w:t>) </w:t>
            </w:r>
          </w:p>
        </w:tc>
      </w:tr>
      <w:tr>
        <w:trPr/>
        <w:tc>
          <w:tcPr>
            <w:tcW w:w="11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1100" w:type="dxa"/>
            <w:tcBorders/>
            <w:shd w:fill="auto" w:val="clear"/>
            <w:vAlign w:val="center"/>
          </w:tcPr>
          <w:p>
            <w:pPr>
              <w:pStyle w:val="TableContents"/>
              <w:spacing w:before="0" w:after="0"/>
              <w:rPr>
                <w:bdr w:val="single" w:sz="2" w:space="1" w:color="000000"/>
              </w:rPr>
            </w:pPr>
            <w:r>
              <w:rPr>
                <w:bdr w:val="single" w:sz="2" w:space="1" w:color="000000"/>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2" w:type="dxa"/>
            <w:tcBorders/>
            <w:shd w:fill="auto" w:val="clear"/>
            <w:vAlign w:val="center"/>
          </w:tcPr>
          <w:p>
            <w:pPr>
              <w:pStyle w:val="TableContents"/>
              <w:spacing w:before="0" w:after="0"/>
              <w:rPr>
                <w:bdr w:val="single" w:sz="2" w:space="1" w:color="000000"/>
              </w:rPr>
            </w:pPr>
            <w:r>
              <w:rPr>
                <w:bdr w:val="single" w:sz="2" w:space="1" w:color="000000"/>
              </w:rPr>
              <w:t> </w:t>
            </w:r>
          </w:p>
        </w:tc>
        <w:tc>
          <w:tcPr>
            <w:tcW w:w="388" w:type="dxa"/>
            <w:tcBorders/>
            <w:shd w:fill="auto" w:val="clear"/>
            <w:vAlign w:val="center"/>
          </w:tcPr>
          <w:p>
            <w:pPr>
              <w:pStyle w:val="TableContents"/>
              <w:spacing w:before="0" w:after="0"/>
              <w:rPr>
                <w:bdr w:val="single" w:sz="2" w:space="1" w:color="000000"/>
              </w:rPr>
            </w:pPr>
            <w:r>
              <w:rPr>
                <w:bdr w:val="single" w:sz="2" w:space="1" w:color="000000"/>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single" w:sz="2" w:space="1" w:color="000000"/>
              </w:rPr>
            </w:pPr>
            <w:r>
              <w:rPr>
                <w:bdr w:val="single" w:sz="2" w:space="1" w:color="000000"/>
              </w:rPr>
              <w:t> </w:t>
            </w:r>
          </w:p>
        </w:tc>
        <w:tc>
          <w:tcPr>
            <w:tcW w:w="800" w:type="dxa"/>
            <w:tcBorders/>
            <w:shd w:fill="auto" w:val="clear"/>
            <w:vAlign w:val="center"/>
          </w:tcPr>
          <w:p>
            <w:pPr>
              <w:pStyle w:val="TableContents"/>
              <w:spacing w:before="0" w:after="0"/>
              <w:rPr>
                <w:bdr w:val="single" w:sz="2" w:space="1" w:color="000000"/>
              </w:rPr>
            </w:pPr>
            <w:r>
              <w:rPr>
                <w:bdr w:val="single" w:sz="2" w:space="1" w:color="000000"/>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1100" w:type="dxa"/>
            <w:tcBorders/>
            <w:shd w:fill="auto" w:val="clear"/>
            <w:vAlign w:val="center"/>
          </w:tcPr>
          <w:p>
            <w:pPr>
              <w:pStyle w:val="TableContents"/>
              <w:spacing w:before="0" w:after="0"/>
              <w:rPr>
                <w:bdr w:val="single" w:sz="2" w:space="1" w:color="000000"/>
              </w:rPr>
            </w:pPr>
            <w:r>
              <w:rPr>
                <w:bdr w:val="single" w:sz="2" w:space="1" w:color="000000"/>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single" w:sz="2" w:space="1" w:color="000000"/>
              </w:rPr>
            </w:pPr>
            <w:r>
              <w:rPr>
                <w:bdr w:val="single" w:sz="2" w:space="1" w:color="000000"/>
              </w:rPr>
              <w:t> </w:t>
            </w:r>
          </w:p>
        </w:tc>
        <w:tc>
          <w:tcPr>
            <w:tcW w:w="875"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90" w:type="dxa"/>
            <w:tcBorders/>
            <w:shd w:fill="auto" w:val="clear"/>
            <w:vAlign w:val="center"/>
          </w:tcPr>
          <w:p>
            <w:pPr>
              <w:pStyle w:val="TableContents"/>
              <w:spacing w:before="0" w:after="0"/>
              <w:rPr>
                <w:bdr w:val="single" w:sz="2" w:space="1" w:color="000000"/>
              </w:rPr>
            </w:pPr>
            <w:r>
              <w:rPr>
                <w:bdr w:val="single" w:sz="2" w:space="1" w:color="000000"/>
              </w:rPr>
              <w:t> </w:t>
            </w:r>
          </w:p>
        </w:tc>
        <w:tc>
          <w:tcPr>
            <w:tcW w:w="1320"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single" w:sz="2" w:space="1" w:color="000000"/>
              </w:rPr>
            </w:pPr>
            <w:r>
              <w:rPr>
                <w:bdr w:val="single" w:sz="2" w:space="1" w:color="000000"/>
              </w:rPr>
              <w:t> </w:t>
            </w:r>
          </w:p>
        </w:tc>
        <w:tc>
          <w:tcPr>
            <w:tcW w:w="875"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single" w:sz="2" w:space="1" w:color="000000"/>
              </w:rPr>
            </w:pPr>
            <w:r>
              <w:rPr>
                <w:bdr w:val="single" w:sz="2" w:space="1" w:color="000000"/>
              </w:rPr>
              <w:t> </w:t>
            </w:r>
          </w:p>
        </w:tc>
        <w:tc>
          <w:tcPr>
            <w:tcW w:w="875" w:type="dxa"/>
            <w:tcBorders/>
            <w:shd w:fill="auto" w:val="clear"/>
            <w:vAlign w:val="center"/>
          </w:tcPr>
          <w:p>
            <w:pPr>
              <w:pStyle w:val="TableContents"/>
              <w:spacing w:before="0" w:after="0"/>
              <w:rPr>
                <w:bdr w:val="single" w:sz="2" w:space="1" w:color="000000"/>
              </w:rPr>
            </w:pPr>
            <w:r>
              <w:rPr>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1175" w:type="dxa"/>
            <w:tcBorders/>
            <w:shd w:fill="CCEEFF" w:val="clear"/>
            <w:vAlign w:val="center"/>
          </w:tcPr>
          <w:p>
            <w:pPr>
              <w:pStyle w:val="TableContents"/>
              <w:spacing w:before="0" w:after="0"/>
              <w:rPr>
                <w:rFonts w:ascii="Times New Roman" w:hAnsi="Times New Roman"/>
                <w:b/>
                <w:spacing w:val="0"/>
                <w:sz w:val="20"/>
              </w:rPr>
            </w:pPr>
            <w:r>
              <w:rPr>
                <w:rFonts w:ascii="Times New Roman" w:hAnsi="Times New Roman"/>
                <w:b/>
                <w:spacing w:val="0"/>
                <w:sz w:val="20"/>
              </w:rPr>
              <w:t>Balance February 2, 2020</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43,386,852</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2" w:type="dxa"/>
            <w:tcBorders/>
            <w:shd w:fill="CCEEFF" w:val="clear"/>
            <w:vAlign w:val="center"/>
          </w:tcPr>
          <w:p>
            <w:pPr>
              <w:pStyle w:val="TableContents"/>
              <w:spacing w:before="0" w:after="283"/>
              <w:rPr/>
            </w:pPr>
            <w:r>
              <w:rPr/>
              <w:t> </w:t>
            </w:r>
          </w:p>
        </w:tc>
        <w:tc>
          <w:tcPr>
            <w:tcW w:w="388" w:type="dxa"/>
            <w:tcBorders/>
            <w:shd w:fill="CCEEFF" w:val="clear"/>
            <w:vAlign w:val="center"/>
          </w:tcPr>
          <w:p>
            <w:pPr>
              <w:pStyle w:val="TableContents"/>
              <w:spacing w:before="0" w:after="283"/>
              <w:jc w:val="right"/>
              <w:rPr/>
            </w:pPr>
            <w:r>
              <w:rPr/>
              <w:t>434</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800" w:type="dxa"/>
            <w:tcBorders/>
            <w:shd w:fill="CCEEFF" w:val="clear"/>
            <w:vAlign w:val="center"/>
          </w:tcPr>
          <w:p>
            <w:pPr>
              <w:pStyle w:val="TableContents"/>
              <w:spacing w:before="0" w:after="283"/>
              <w:jc w:val="right"/>
              <w:rPr/>
            </w:pPr>
            <w:r>
              <w:rPr/>
              <w:t>339,161</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12,783,512</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jc w:val="right"/>
              <w:rPr/>
            </w:pPr>
            <w:r>
              <w:rPr/>
              <w:t>(595,041</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90" w:type="dxa"/>
            <w:tcBorders/>
            <w:shd w:fill="CCEEFF" w:val="clear"/>
            <w:vAlign w:val="center"/>
          </w:tcPr>
          <w:p>
            <w:pPr>
              <w:pStyle w:val="TableContents"/>
              <w:spacing w:before="0" w:after="283"/>
              <w:rPr/>
            </w:pPr>
            <w:r>
              <w:rPr/>
              <w:t> </w:t>
            </w:r>
          </w:p>
        </w:tc>
        <w:tc>
          <w:tcPr>
            <w:tcW w:w="1320" w:type="dxa"/>
            <w:tcBorders/>
            <w:shd w:fill="CCEEFF" w:val="clear"/>
            <w:vAlign w:val="center"/>
          </w:tcPr>
          <w:p>
            <w:pPr>
              <w:pStyle w:val="TableContents"/>
              <w:spacing w:before="0" w:after="283"/>
              <w:jc w:val="right"/>
              <w:rPr/>
            </w:pPr>
            <w:r>
              <w:rPr/>
              <w:t>(8,369</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jc w:val="right"/>
              <w:rPr/>
            </w:pPr>
            <w:r>
              <w:rPr/>
              <w:t>433,465</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jc w:val="right"/>
              <w:rPr/>
            </w:pPr>
            <w:r>
              <w:rPr/>
              <w:t>169,650</w:t>
            </w:r>
          </w:p>
        </w:tc>
        <w:tc>
          <w:tcPr>
            <w:tcW w:w="170" w:type="dxa"/>
            <w:tcBorders/>
            <w:shd w:fill="CCEEFF" w:val="clear"/>
            <w:vAlign w:val="center"/>
          </w:tcPr>
          <w:p>
            <w:pPr>
              <w:pStyle w:val="TableContents"/>
              <w:spacing w:before="0" w:after="283"/>
              <w:rPr/>
            </w:pPr>
            <w:r>
              <w:rPr/>
              <w:t> </w:t>
            </w:r>
          </w:p>
        </w:tc>
      </w:tr>
      <w:tr>
        <w:trPr/>
        <w:tc>
          <w:tcPr>
            <w:tcW w:w="11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1100" w:type="dxa"/>
            <w:tcBorders/>
            <w:shd w:fill="auto" w:val="clear"/>
            <w:vAlign w:val="center"/>
          </w:tcPr>
          <w:p>
            <w:pPr>
              <w:pStyle w:val="TableContents"/>
              <w:spacing w:before="0" w:after="0"/>
              <w:rPr>
                <w:bdr w:val="single" w:sz="2" w:space="1" w:color="000000"/>
              </w:rPr>
            </w:pPr>
            <w:r>
              <w:rPr>
                <w:bdr w:val="single" w:sz="2" w:space="1" w:color="000000"/>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2" w:type="dxa"/>
            <w:tcBorders/>
            <w:shd w:fill="auto" w:val="clear"/>
            <w:vAlign w:val="center"/>
          </w:tcPr>
          <w:p>
            <w:pPr>
              <w:pStyle w:val="TableContents"/>
              <w:spacing w:before="0" w:after="0"/>
              <w:rPr>
                <w:bdr w:val="single" w:sz="2" w:space="1" w:color="000000"/>
              </w:rPr>
            </w:pPr>
            <w:r>
              <w:rPr>
                <w:bdr w:val="single" w:sz="2" w:space="1" w:color="000000"/>
              </w:rPr>
              <w:t> </w:t>
            </w:r>
          </w:p>
        </w:tc>
        <w:tc>
          <w:tcPr>
            <w:tcW w:w="388" w:type="dxa"/>
            <w:tcBorders/>
            <w:shd w:fill="auto" w:val="clear"/>
            <w:vAlign w:val="center"/>
          </w:tcPr>
          <w:p>
            <w:pPr>
              <w:pStyle w:val="TableContents"/>
              <w:spacing w:before="0" w:after="0"/>
              <w:rPr>
                <w:bdr w:val="single" w:sz="2" w:space="1" w:color="000000"/>
              </w:rPr>
            </w:pPr>
            <w:r>
              <w:rPr>
                <w:bdr w:val="single" w:sz="2" w:space="1" w:color="000000"/>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single" w:sz="2" w:space="1" w:color="000000"/>
              </w:rPr>
            </w:pPr>
            <w:r>
              <w:rPr>
                <w:bdr w:val="single" w:sz="2" w:space="1" w:color="000000"/>
              </w:rPr>
              <w:t> </w:t>
            </w:r>
          </w:p>
        </w:tc>
        <w:tc>
          <w:tcPr>
            <w:tcW w:w="800" w:type="dxa"/>
            <w:tcBorders/>
            <w:shd w:fill="auto" w:val="clear"/>
            <w:vAlign w:val="center"/>
          </w:tcPr>
          <w:p>
            <w:pPr>
              <w:pStyle w:val="TableContents"/>
              <w:spacing w:before="0" w:after="0"/>
              <w:rPr>
                <w:bdr w:val="single" w:sz="2" w:space="1" w:color="000000"/>
              </w:rPr>
            </w:pPr>
            <w:r>
              <w:rPr>
                <w:bdr w:val="single" w:sz="2" w:space="1" w:color="000000"/>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1100" w:type="dxa"/>
            <w:tcBorders/>
            <w:shd w:fill="auto" w:val="clear"/>
            <w:vAlign w:val="center"/>
          </w:tcPr>
          <w:p>
            <w:pPr>
              <w:pStyle w:val="TableContents"/>
              <w:spacing w:before="0" w:after="0"/>
              <w:rPr>
                <w:bdr w:val="single" w:sz="2" w:space="1" w:color="000000"/>
              </w:rPr>
            </w:pPr>
            <w:r>
              <w:rPr>
                <w:bdr w:val="single" w:sz="2" w:space="1" w:color="000000"/>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single" w:sz="2" w:space="1" w:color="000000"/>
              </w:rPr>
            </w:pPr>
            <w:r>
              <w:rPr>
                <w:bdr w:val="single" w:sz="2" w:space="1" w:color="000000"/>
              </w:rPr>
              <w:t> </w:t>
            </w:r>
          </w:p>
        </w:tc>
        <w:tc>
          <w:tcPr>
            <w:tcW w:w="875"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90" w:type="dxa"/>
            <w:tcBorders/>
            <w:shd w:fill="auto" w:val="clear"/>
            <w:vAlign w:val="center"/>
          </w:tcPr>
          <w:p>
            <w:pPr>
              <w:pStyle w:val="TableContents"/>
              <w:spacing w:before="0" w:after="0"/>
              <w:rPr>
                <w:bdr w:val="single" w:sz="2" w:space="1" w:color="000000"/>
              </w:rPr>
            </w:pPr>
            <w:r>
              <w:rPr>
                <w:bdr w:val="single" w:sz="2" w:space="1" w:color="000000"/>
              </w:rPr>
              <w:t> </w:t>
            </w:r>
          </w:p>
        </w:tc>
        <w:tc>
          <w:tcPr>
            <w:tcW w:w="1320"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single" w:sz="2" w:space="1" w:color="000000"/>
              </w:rPr>
            </w:pPr>
            <w:r>
              <w:rPr>
                <w:bdr w:val="single" w:sz="2" w:space="1" w:color="000000"/>
              </w:rPr>
              <w:t> </w:t>
            </w:r>
          </w:p>
        </w:tc>
        <w:tc>
          <w:tcPr>
            <w:tcW w:w="875"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single" w:sz="2" w:space="1" w:color="000000"/>
              </w:rPr>
            </w:pPr>
            <w:r>
              <w:rPr>
                <w:bdr w:val="single" w:sz="2" w:space="1" w:color="000000"/>
              </w:rPr>
              <w:t> </w:t>
            </w:r>
          </w:p>
        </w:tc>
        <w:tc>
          <w:tcPr>
            <w:tcW w:w="875" w:type="dxa"/>
            <w:tcBorders/>
            <w:shd w:fill="auto" w:val="clear"/>
            <w:vAlign w:val="center"/>
          </w:tcPr>
          <w:p>
            <w:pPr>
              <w:pStyle w:val="TableContents"/>
              <w:spacing w:before="0" w:after="0"/>
              <w:rPr>
                <w:bdr w:val="single" w:sz="2" w:space="1" w:color="000000"/>
              </w:rPr>
            </w:pPr>
            <w:r>
              <w:rPr>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117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Net loss</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2" w:type="dxa"/>
            <w:tcBorders/>
            <w:shd w:fill="auto" w:val="clear"/>
            <w:vAlign w:val="center"/>
          </w:tcPr>
          <w:p>
            <w:pPr>
              <w:pStyle w:val="TableContents"/>
              <w:spacing w:before="0" w:after="283"/>
              <w:rPr/>
            </w:pPr>
            <w:r>
              <w:rPr/>
              <w:t> </w:t>
            </w:r>
          </w:p>
        </w:tc>
        <w:tc>
          <w:tcPr>
            <w:tcW w:w="388"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90" w:type="dxa"/>
            <w:tcBorders/>
            <w:shd w:fill="auto" w:val="clear"/>
            <w:vAlign w:val="center"/>
          </w:tcPr>
          <w:p>
            <w:pPr>
              <w:pStyle w:val="TableContents"/>
              <w:spacing w:before="0" w:after="283"/>
              <w:rPr/>
            </w:pPr>
            <w:r>
              <w:rPr/>
              <w:t> </w:t>
            </w:r>
          </w:p>
        </w:tc>
        <w:tc>
          <w:tcPr>
            <w:tcW w:w="1320"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jc w:val="right"/>
              <w:rPr/>
            </w:pPr>
            <w:r>
              <w:rPr/>
              <w:t>(206,974</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jc w:val="right"/>
              <w:rPr/>
            </w:pPr>
            <w:r>
              <w:rPr/>
              <w:t>(206,974</w:t>
            </w:r>
          </w:p>
        </w:tc>
        <w:tc>
          <w:tcPr>
            <w:tcW w:w="170" w:type="dxa"/>
            <w:tcBorders/>
            <w:shd w:fill="auto" w:val="clear"/>
            <w:vAlign w:val="center"/>
          </w:tcPr>
          <w:p>
            <w:pPr>
              <w:pStyle w:val="TableContents"/>
              <w:spacing w:before="0" w:after="283"/>
              <w:rPr/>
            </w:pPr>
            <w:r>
              <w:rPr/>
              <w:t>) </w:t>
            </w:r>
          </w:p>
        </w:tc>
      </w:tr>
      <w:tr>
        <w:trPr/>
        <w:tc>
          <w:tcPr>
            <w:tcW w:w="117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Unrealized foreign currency translation gain</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2" w:type="dxa"/>
            <w:tcBorders/>
            <w:shd w:fill="CCEEFF" w:val="clear"/>
            <w:vAlign w:val="center"/>
          </w:tcPr>
          <w:p>
            <w:pPr>
              <w:pStyle w:val="TableContents"/>
              <w:spacing w:before="0" w:after="283"/>
              <w:rPr/>
            </w:pPr>
            <w:r>
              <w:rPr/>
              <w:t> </w:t>
            </w:r>
          </w:p>
        </w:tc>
        <w:tc>
          <w:tcPr>
            <w:tcW w:w="388"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80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90" w:type="dxa"/>
            <w:tcBorders/>
            <w:shd w:fill="CCEEFF" w:val="clear"/>
            <w:vAlign w:val="center"/>
          </w:tcPr>
          <w:p>
            <w:pPr>
              <w:pStyle w:val="TableContents"/>
              <w:spacing w:before="0" w:after="283"/>
              <w:rPr/>
            </w:pPr>
            <w:r>
              <w:rPr/>
              <w:t> </w:t>
            </w:r>
          </w:p>
        </w:tc>
        <w:tc>
          <w:tcPr>
            <w:tcW w:w="1320" w:type="dxa"/>
            <w:tcBorders/>
            <w:shd w:fill="CCEEFF" w:val="clear"/>
            <w:vAlign w:val="center"/>
          </w:tcPr>
          <w:p>
            <w:pPr>
              <w:pStyle w:val="TableContents"/>
              <w:spacing w:before="0" w:after="283"/>
              <w:jc w:val="right"/>
              <w:rPr/>
            </w:pPr>
            <w:r>
              <w:rPr/>
              <w:t>119</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jc w:val="right"/>
              <w:rPr/>
            </w:pPr>
            <w:r>
              <w:rPr/>
              <w:t>119</w:t>
            </w:r>
          </w:p>
        </w:tc>
        <w:tc>
          <w:tcPr>
            <w:tcW w:w="170" w:type="dxa"/>
            <w:tcBorders/>
            <w:shd w:fill="CCEEFF" w:val="clear"/>
            <w:vAlign w:val="center"/>
          </w:tcPr>
          <w:p>
            <w:pPr>
              <w:pStyle w:val="TableContents"/>
              <w:spacing w:before="0" w:after="283"/>
              <w:rPr/>
            </w:pPr>
            <w:r>
              <w:rPr/>
              <w:t> </w:t>
            </w:r>
          </w:p>
        </w:tc>
      </w:tr>
      <w:tr>
        <w:trPr/>
        <w:tc>
          <w:tcPr>
            <w:tcW w:w="117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Unrealized loss on derivatives, net of tax</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2" w:type="dxa"/>
            <w:tcBorders/>
            <w:shd w:fill="auto" w:val="clear"/>
            <w:vAlign w:val="center"/>
          </w:tcPr>
          <w:p>
            <w:pPr>
              <w:pStyle w:val="TableContents"/>
              <w:spacing w:before="0" w:after="283"/>
              <w:rPr/>
            </w:pPr>
            <w:r>
              <w:rPr/>
              <w:t> </w:t>
            </w:r>
          </w:p>
        </w:tc>
        <w:tc>
          <w:tcPr>
            <w:tcW w:w="388"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90" w:type="dxa"/>
            <w:tcBorders/>
            <w:shd w:fill="auto" w:val="clear"/>
            <w:vAlign w:val="center"/>
          </w:tcPr>
          <w:p>
            <w:pPr>
              <w:pStyle w:val="TableContents"/>
              <w:spacing w:before="0" w:after="283"/>
              <w:rPr/>
            </w:pPr>
            <w:r>
              <w:rPr/>
              <w:t> </w:t>
            </w:r>
          </w:p>
        </w:tc>
        <w:tc>
          <w:tcPr>
            <w:tcW w:w="1320" w:type="dxa"/>
            <w:tcBorders/>
            <w:shd w:fill="auto" w:val="clear"/>
            <w:vAlign w:val="center"/>
          </w:tcPr>
          <w:p>
            <w:pPr>
              <w:pStyle w:val="TableContents"/>
              <w:spacing w:before="0" w:after="283"/>
              <w:jc w:val="right"/>
              <w:rPr/>
            </w:pPr>
            <w:r>
              <w:rPr/>
              <w:t>(835</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jc w:val="right"/>
              <w:rPr/>
            </w:pPr>
            <w:r>
              <w:rPr/>
              <w:t>(835</w:t>
            </w:r>
          </w:p>
        </w:tc>
        <w:tc>
          <w:tcPr>
            <w:tcW w:w="170" w:type="dxa"/>
            <w:tcBorders/>
            <w:shd w:fill="auto" w:val="clear"/>
            <w:vAlign w:val="center"/>
          </w:tcPr>
          <w:p>
            <w:pPr>
              <w:pStyle w:val="TableContents"/>
              <w:spacing w:before="0" w:after="283"/>
              <w:rPr/>
            </w:pPr>
            <w:r>
              <w:rPr/>
              <w:t>) </w:t>
            </w:r>
          </w:p>
        </w:tc>
      </w:tr>
      <w:tr>
        <w:trPr/>
        <w:tc>
          <w:tcPr>
            <w:tcW w:w="117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Share-based compensation</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2" w:type="dxa"/>
            <w:tcBorders/>
            <w:shd w:fill="CCEEFF" w:val="clear"/>
            <w:vAlign w:val="center"/>
          </w:tcPr>
          <w:p>
            <w:pPr>
              <w:pStyle w:val="TableContents"/>
              <w:spacing w:before="0" w:after="283"/>
              <w:rPr/>
            </w:pPr>
            <w:r>
              <w:rPr/>
              <w:t> </w:t>
            </w:r>
          </w:p>
        </w:tc>
        <w:tc>
          <w:tcPr>
            <w:tcW w:w="388"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800" w:type="dxa"/>
            <w:tcBorders/>
            <w:shd w:fill="CCEEFF" w:val="clear"/>
            <w:vAlign w:val="center"/>
          </w:tcPr>
          <w:p>
            <w:pPr>
              <w:pStyle w:val="TableContents"/>
              <w:spacing w:before="0" w:after="283"/>
              <w:jc w:val="right"/>
              <w:rPr/>
            </w:pPr>
            <w:r>
              <w:rPr/>
              <w:t>6,985</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90" w:type="dxa"/>
            <w:tcBorders/>
            <w:shd w:fill="CCEEFF" w:val="clear"/>
            <w:vAlign w:val="center"/>
          </w:tcPr>
          <w:p>
            <w:pPr>
              <w:pStyle w:val="TableContents"/>
              <w:spacing w:before="0" w:after="283"/>
              <w:rPr/>
            </w:pPr>
            <w:r>
              <w:rPr/>
              <w:t> </w:t>
            </w:r>
          </w:p>
        </w:tc>
        <w:tc>
          <w:tcPr>
            <w:tcW w:w="1320"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jc w:val="right"/>
              <w:rPr/>
            </w:pPr>
            <w:r>
              <w:rPr/>
              <w:t>6,985</w:t>
            </w:r>
          </w:p>
        </w:tc>
        <w:tc>
          <w:tcPr>
            <w:tcW w:w="170" w:type="dxa"/>
            <w:tcBorders/>
            <w:shd w:fill="CCEEFF" w:val="clear"/>
            <w:vAlign w:val="center"/>
          </w:tcPr>
          <w:p>
            <w:pPr>
              <w:pStyle w:val="TableContents"/>
              <w:spacing w:before="0" w:after="283"/>
              <w:rPr/>
            </w:pPr>
            <w:r>
              <w:rPr/>
              <w:t> </w:t>
            </w:r>
          </w:p>
        </w:tc>
      </w:tr>
      <w:tr>
        <w:trPr/>
        <w:tc>
          <w:tcPr>
            <w:tcW w:w="117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Issuance of common stock</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17,101,981</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2" w:type="dxa"/>
            <w:tcBorders/>
            <w:shd w:fill="auto" w:val="clear"/>
            <w:vAlign w:val="center"/>
          </w:tcPr>
          <w:p>
            <w:pPr>
              <w:pStyle w:val="TableContents"/>
              <w:spacing w:before="0" w:after="283"/>
              <w:rPr/>
            </w:pPr>
            <w:r>
              <w:rPr/>
              <w:t> </w:t>
            </w:r>
          </w:p>
        </w:tc>
        <w:tc>
          <w:tcPr>
            <w:tcW w:w="388" w:type="dxa"/>
            <w:tcBorders/>
            <w:shd w:fill="auto" w:val="clear"/>
            <w:vAlign w:val="center"/>
          </w:tcPr>
          <w:p>
            <w:pPr>
              <w:pStyle w:val="TableContents"/>
              <w:spacing w:before="0" w:after="283"/>
              <w:jc w:val="right"/>
              <w:rPr/>
            </w:pPr>
            <w:r>
              <w:rPr/>
              <w:t>171</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185,045</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90" w:type="dxa"/>
            <w:tcBorders/>
            <w:shd w:fill="auto" w:val="clear"/>
            <w:vAlign w:val="center"/>
          </w:tcPr>
          <w:p>
            <w:pPr>
              <w:pStyle w:val="TableContents"/>
              <w:spacing w:before="0" w:after="283"/>
              <w:rPr/>
            </w:pPr>
            <w:r>
              <w:rPr/>
              <w:t> </w:t>
            </w:r>
          </w:p>
        </w:tc>
        <w:tc>
          <w:tcPr>
            <w:tcW w:w="1320"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75" w:type="dxa"/>
            <w:tcBorders/>
            <w:shd w:fill="auto" w:val="clear"/>
            <w:vAlign w:val="center"/>
          </w:tcPr>
          <w:p>
            <w:pPr>
              <w:pStyle w:val="TableContents"/>
              <w:spacing w:before="0" w:after="283"/>
              <w:jc w:val="right"/>
              <w:rPr/>
            </w:pPr>
            <w:r>
              <w:rPr/>
              <w:t>185,216</w:t>
            </w:r>
          </w:p>
        </w:tc>
        <w:tc>
          <w:tcPr>
            <w:tcW w:w="170" w:type="dxa"/>
            <w:tcBorders/>
            <w:shd w:fill="auto" w:val="clear"/>
            <w:vAlign w:val="center"/>
          </w:tcPr>
          <w:p>
            <w:pPr>
              <w:pStyle w:val="TableContents"/>
              <w:spacing w:before="0" w:after="283"/>
              <w:rPr/>
            </w:pPr>
            <w:r>
              <w:rPr/>
              <w:t> </w:t>
            </w:r>
          </w:p>
        </w:tc>
      </w:tr>
      <w:tr>
        <w:trPr/>
        <w:tc>
          <w:tcPr>
            <w:tcW w:w="117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Repurchase of common stock</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2" w:type="dxa"/>
            <w:tcBorders/>
            <w:shd w:fill="CCEEFF" w:val="clear"/>
            <w:vAlign w:val="center"/>
          </w:tcPr>
          <w:p>
            <w:pPr>
              <w:pStyle w:val="TableContents"/>
              <w:spacing w:before="0" w:after="283"/>
              <w:rPr/>
            </w:pPr>
            <w:r>
              <w:rPr/>
              <w:t> </w:t>
            </w:r>
          </w:p>
        </w:tc>
        <w:tc>
          <w:tcPr>
            <w:tcW w:w="388"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80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58,715</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jc w:val="right"/>
              <w:rPr/>
            </w:pPr>
            <w:r>
              <w:rPr/>
              <w:t>(929</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90" w:type="dxa"/>
            <w:tcBorders/>
            <w:shd w:fill="CCEEFF" w:val="clear"/>
            <w:vAlign w:val="center"/>
          </w:tcPr>
          <w:p>
            <w:pPr>
              <w:pStyle w:val="TableContents"/>
              <w:spacing w:before="0" w:after="283"/>
              <w:rPr/>
            </w:pPr>
            <w:r>
              <w:rPr/>
              <w:t> </w:t>
            </w:r>
          </w:p>
        </w:tc>
        <w:tc>
          <w:tcPr>
            <w:tcW w:w="1320"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875" w:type="dxa"/>
            <w:tcBorders/>
            <w:shd w:fill="CCEEFF" w:val="clear"/>
            <w:vAlign w:val="center"/>
          </w:tcPr>
          <w:p>
            <w:pPr>
              <w:pStyle w:val="TableContents"/>
              <w:spacing w:before="0" w:after="283"/>
              <w:jc w:val="right"/>
              <w:rPr/>
            </w:pPr>
            <w:r>
              <w:rPr/>
              <w:t>(929</w:t>
            </w:r>
          </w:p>
        </w:tc>
        <w:tc>
          <w:tcPr>
            <w:tcW w:w="170" w:type="dxa"/>
            <w:tcBorders/>
            <w:shd w:fill="CCEEFF" w:val="clear"/>
            <w:vAlign w:val="center"/>
          </w:tcPr>
          <w:p>
            <w:pPr>
              <w:pStyle w:val="TableContents"/>
              <w:spacing w:before="0" w:after="283"/>
              <w:rPr/>
            </w:pPr>
            <w:r>
              <w:rPr/>
              <w:t>) </w:t>
            </w:r>
          </w:p>
        </w:tc>
      </w:tr>
      <w:tr>
        <w:trPr/>
        <w:tc>
          <w:tcPr>
            <w:tcW w:w="11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1100" w:type="dxa"/>
            <w:tcBorders/>
            <w:shd w:fill="auto" w:val="clear"/>
            <w:vAlign w:val="center"/>
          </w:tcPr>
          <w:p>
            <w:pPr>
              <w:pStyle w:val="TableContents"/>
              <w:spacing w:before="0" w:after="0"/>
              <w:rPr>
                <w:bdr w:val="single" w:sz="2" w:space="1" w:color="000000"/>
              </w:rPr>
            </w:pPr>
            <w:r>
              <w:rPr>
                <w:bdr w:val="single" w:sz="2" w:space="1" w:color="000000"/>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2" w:type="dxa"/>
            <w:tcBorders/>
            <w:shd w:fill="auto" w:val="clear"/>
            <w:vAlign w:val="center"/>
          </w:tcPr>
          <w:p>
            <w:pPr>
              <w:pStyle w:val="TableContents"/>
              <w:spacing w:before="0" w:after="0"/>
              <w:rPr>
                <w:bdr w:val="single" w:sz="2" w:space="1" w:color="000000"/>
              </w:rPr>
            </w:pPr>
            <w:r>
              <w:rPr>
                <w:bdr w:val="single" w:sz="2" w:space="1" w:color="000000"/>
              </w:rPr>
              <w:t> </w:t>
            </w:r>
          </w:p>
        </w:tc>
        <w:tc>
          <w:tcPr>
            <w:tcW w:w="388" w:type="dxa"/>
            <w:tcBorders/>
            <w:shd w:fill="auto" w:val="clear"/>
            <w:vAlign w:val="center"/>
          </w:tcPr>
          <w:p>
            <w:pPr>
              <w:pStyle w:val="TableContents"/>
              <w:spacing w:before="0" w:after="0"/>
              <w:rPr>
                <w:bdr w:val="single" w:sz="2" w:space="1" w:color="000000"/>
              </w:rPr>
            </w:pPr>
            <w:r>
              <w:rPr>
                <w:bdr w:val="single" w:sz="2" w:space="1" w:color="000000"/>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single" w:sz="2" w:space="1" w:color="000000"/>
              </w:rPr>
            </w:pPr>
            <w:r>
              <w:rPr>
                <w:bdr w:val="single" w:sz="2" w:space="1" w:color="000000"/>
              </w:rPr>
              <w:t> </w:t>
            </w:r>
          </w:p>
        </w:tc>
        <w:tc>
          <w:tcPr>
            <w:tcW w:w="800" w:type="dxa"/>
            <w:tcBorders/>
            <w:shd w:fill="auto" w:val="clear"/>
            <w:vAlign w:val="center"/>
          </w:tcPr>
          <w:p>
            <w:pPr>
              <w:pStyle w:val="TableContents"/>
              <w:spacing w:before="0" w:after="0"/>
              <w:rPr>
                <w:bdr w:val="single" w:sz="2" w:space="1" w:color="000000"/>
              </w:rPr>
            </w:pPr>
            <w:r>
              <w:rPr>
                <w:bdr w:val="single" w:sz="2" w:space="1" w:color="000000"/>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1100" w:type="dxa"/>
            <w:tcBorders/>
            <w:shd w:fill="auto" w:val="clear"/>
            <w:vAlign w:val="center"/>
          </w:tcPr>
          <w:p>
            <w:pPr>
              <w:pStyle w:val="TableContents"/>
              <w:spacing w:before="0" w:after="0"/>
              <w:rPr>
                <w:bdr w:val="single" w:sz="2" w:space="1" w:color="000000"/>
              </w:rPr>
            </w:pPr>
            <w:r>
              <w:rPr>
                <w:bdr w:val="single" w:sz="2" w:space="1" w:color="000000"/>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single" w:sz="2" w:space="1" w:color="000000"/>
              </w:rPr>
            </w:pPr>
            <w:r>
              <w:rPr>
                <w:bdr w:val="single" w:sz="2" w:space="1" w:color="000000"/>
              </w:rPr>
              <w:t> </w:t>
            </w:r>
          </w:p>
        </w:tc>
        <w:tc>
          <w:tcPr>
            <w:tcW w:w="875"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90" w:type="dxa"/>
            <w:tcBorders/>
            <w:shd w:fill="auto" w:val="clear"/>
            <w:vAlign w:val="center"/>
          </w:tcPr>
          <w:p>
            <w:pPr>
              <w:pStyle w:val="TableContents"/>
              <w:spacing w:before="0" w:after="0"/>
              <w:rPr>
                <w:bdr w:val="single" w:sz="2" w:space="1" w:color="000000"/>
              </w:rPr>
            </w:pPr>
            <w:r>
              <w:rPr>
                <w:bdr w:val="single" w:sz="2" w:space="1" w:color="000000"/>
              </w:rPr>
              <w:t> </w:t>
            </w:r>
          </w:p>
        </w:tc>
        <w:tc>
          <w:tcPr>
            <w:tcW w:w="1320"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single" w:sz="2" w:space="1" w:color="000000"/>
              </w:rPr>
            </w:pPr>
            <w:r>
              <w:rPr>
                <w:bdr w:val="single" w:sz="2" w:space="1" w:color="000000"/>
              </w:rPr>
              <w:t> </w:t>
            </w:r>
          </w:p>
        </w:tc>
        <w:tc>
          <w:tcPr>
            <w:tcW w:w="875"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single" w:sz="2" w:space="1" w:color="000000"/>
              </w:rPr>
            </w:pPr>
            <w:r>
              <w:rPr>
                <w:bdr w:val="single" w:sz="2" w:space="1" w:color="000000"/>
              </w:rPr>
              <w:t> </w:t>
            </w:r>
          </w:p>
        </w:tc>
        <w:tc>
          <w:tcPr>
            <w:tcW w:w="875" w:type="dxa"/>
            <w:tcBorders/>
            <w:shd w:fill="auto" w:val="clear"/>
            <w:vAlign w:val="center"/>
          </w:tcPr>
          <w:p>
            <w:pPr>
              <w:pStyle w:val="TableContents"/>
              <w:spacing w:before="0" w:after="0"/>
              <w:rPr>
                <w:bdr w:val="single" w:sz="2" w:space="1" w:color="000000"/>
              </w:rPr>
            </w:pPr>
            <w:r>
              <w:rPr>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1175" w:type="dxa"/>
            <w:tcBorders/>
            <w:shd w:fill="auto" w:val="clear"/>
            <w:vAlign w:val="center"/>
          </w:tcPr>
          <w:p>
            <w:pPr>
              <w:pStyle w:val="TableContents"/>
              <w:spacing w:before="0" w:after="0"/>
              <w:rPr>
                <w:rFonts w:ascii="Times New Roman" w:hAnsi="Times New Roman"/>
                <w:b/>
                <w:spacing w:val="0"/>
                <w:sz w:val="20"/>
              </w:rPr>
            </w:pPr>
            <w:r>
              <w:rPr>
                <w:rFonts w:ascii="Times New Roman" w:hAnsi="Times New Roman"/>
                <w:b/>
                <w:spacing w:val="0"/>
                <w:sz w:val="20"/>
              </w:rPr>
              <w:t>Balance January 31, 2021</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60,488,833</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2" w:type="dxa"/>
            <w:tcBorders/>
            <w:shd w:fill="auto" w:val="clear"/>
            <w:vAlign w:val="center"/>
          </w:tcPr>
          <w:p>
            <w:pPr>
              <w:pStyle w:val="TableContents"/>
              <w:spacing w:before="0" w:after="283"/>
              <w:rPr/>
            </w:pPr>
            <w:r>
              <w:rPr/>
              <w:t>$</w:t>
            </w:r>
          </w:p>
        </w:tc>
        <w:tc>
          <w:tcPr>
            <w:tcW w:w="388" w:type="dxa"/>
            <w:tcBorders/>
            <w:shd w:fill="auto" w:val="clear"/>
            <w:vAlign w:val="center"/>
          </w:tcPr>
          <w:p>
            <w:pPr>
              <w:pStyle w:val="TableContents"/>
              <w:spacing w:before="0" w:after="283"/>
              <w:jc w:val="right"/>
              <w:rPr/>
            </w:pPr>
            <w:r>
              <w:rPr/>
              <w:t>605</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800" w:type="dxa"/>
            <w:tcBorders/>
            <w:shd w:fill="auto" w:val="clear"/>
            <w:vAlign w:val="center"/>
          </w:tcPr>
          <w:p>
            <w:pPr>
              <w:pStyle w:val="TableContents"/>
              <w:spacing w:before="0" w:after="283"/>
              <w:jc w:val="right"/>
              <w:rPr/>
            </w:pPr>
            <w:r>
              <w:rPr/>
              <w:t>531,191</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12,842,227</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875" w:type="dxa"/>
            <w:tcBorders/>
            <w:shd w:fill="auto" w:val="clear"/>
            <w:vAlign w:val="center"/>
          </w:tcPr>
          <w:p>
            <w:pPr>
              <w:pStyle w:val="TableContents"/>
              <w:spacing w:before="0" w:after="283"/>
              <w:jc w:val="right"/>
              <w:rPr/>
            </w:pPr>
            <w:r>
              <w:rPr/>
              <w:t>(595,970</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90" w:type="dxa"/>
            <w:tcBorders/>
            <w:shd w:fill="auto" w:val="clear"/>
            <w:vAlign w:val="center"/>
          </w:tcPr>
          <w:p>
            <w:pPr>
              <w:pStyle w:val="TableContents"/>
              <w:spacing w:before="0" w:after="283"/>
              <w:rPr/>
            </w:pPr>
            <w:r>
              <w:rPr/>
              <w:t>$</w:t>
            </w:r>
          </w:p>
        </w:tc>
        <w:tc>
          <w:tcPr>
            <w:tcW w:w="1320" w:type="dxa"/>
            <w:tcBorders/>
            <w:shd w:fill="auto" w:val="clear"/>
            <w:vAlign w:val="center"/>
          </w:tcPr>
          <w:p>
            <w:pPr>
              <w:pStyle w:val="TableContents"/>
              <w:spacing w:before="0" w:after="283"/>
              <w:jc w:val="right"/>
              <w:rPr/>
            </w:pPr>
            <w:r>
              <w:rPr/>
              <w:t>(9,085</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875" w:type="dxa"/>
            <w:tcBorders/>
            <w:shd w:fill="auto" w:val="clear"/>
            <w:vAlign w:val="center"/>
          </w:tcPr>
          <w:p>
            <w:pPr>
              <w:pStyle w:val="TableContents"/>
              <w:spacing w:before="0" w:after="283"/>
              <w:jc w:val="right"/>
              <w:rPr/>
            </w:pPr>
            <w:r>
              <w:rPr/>
              <w:t>226,491</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875" w:type="dxa"/>
            <w:tcBorders/>
            <w:shd w:fill="auto" w:val="clear"/>
            <w:vAlign w:val="center"/>
          </w:tcPr>
          <w:p>
            <w:pPr>
              <w:pStyle w:val="TableContents"/>
              <w:spacing w:before="0" w:after="283"/>
              <w:jc w:val="right"/>
              <w:rPr/>
            </w:pPr>
            <w:r>
              <w:rPr/>
              <w:t>153,232</w:t>
            </w:r>
          </w:p>
        </w:tc>
        <w:tc>
          <w:tcPr>
            <w:tcW w:w="170" w:type="dxa"/>
            <w:tcBorders/>
            <w:shd w:fill="auto" w:val="clear"/>
            <w:vAlign w:val="center"/>
          </w:tcPr>
          <w:p>
            <w:pPr>
              <w:pStyle w:val="TableContents"/>
              <w:spacing w:before="0" w:after="283"/>
              <w:rPr/>
            </w:pPr>
            <w:r>
              <w:rPr/>
              <w:t> </w:t>
            </w:r>
          </w:p>
        </w:tc>
      </w:tr>
      <w:tr>
        <w:trPr/>
        <w:tc>
          <w:tcPr>
            <w:tcW w:w="11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double" w:sz="6" w:space="1" w:color="000000"/>
              </w:rPr>
            </w:pPr>
            <w:r>
              <w:rPr>
                <w:bdr w:val="double" w:sz="6" w:space="1" w:color="000000"/>
              </w:rPr>
              <w:t> </w:t>
            </w:r>
          </w:p>
        </w:tc>
        <w:tc>
          <w:tcPr>
            <w:tcW w:w="1100" w:type="dxa"/>
            <w:tcBorders/>
            <w:shd w:fill="auto" w:val="clear"/>
            <w:vAlign w:val="center"/>
          </w:tcPr>
          <w:p>
            <w:pPr>
              <w:pStyle w:val="TableContents"/>
              <w:spacing w:before="0" w:after="0"/>
              <w:rPr>
                <w:bdr w:val="double" w:sz="6" w:space="1" w:color="000000"/>
              </w:rPr>
            </w:pPr>
            <w:r>
              <w:rPr>
                <w:bdr w:val="double" w:sz="6" w:space="1" w:color="000000"/>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2" w:type="dxa"/>
            <w:tcBorders/>
            <w:shd w:fill="auto" w:val="clear"/>
            <w:vAlign w:val="center"/>
          </w:tcPr>
          <w:p>
            <w:pPr>
              <w:pStyle w:val="TableContents"/>
              <w:spacing w:before="0" w:after="0"/>
              <w:rPr>
                <w:bdr w:val="double" w:sz="6" w:space="1" w:color="000000"/>
              </w:rPr>
            </w:pPr>
            <w:r>
              <w:rPr>
                <w:bdr w:val="double" w:sz="6" w:space="1" w:color="000000"/>
              </w:rPr>
              <w:t> </w:t>
            </w:r>
          </w:p>
        </w:tc>
        <w:tc>
          <w:tcPr>
            <w:tcW w:w="388" w:type="dxa"/>
            <w:tcBorders/>
            <w:shd w:fill="auto" w:val="clear"/>
            <w:vAlign w:val="center"/>
          </w:tcPr>
          <w:p>
            <w:pPr>
              <w:pStyle w:val="TableContents"/>
              <w:spacing w:before="0" w:after="0"/>
              <w:rPr>
                <w:bdr w:val="double" w:sz="6" w:space="1" w:color="000000"/>
              </w:rPr>
            </w:pPr>
            <w:r>
              <w:rPr>
                <w:bdr w:val="double" w:sz="6" w:space="1" w:color="000000"/>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double" w:sz="6" w:space="1" w:color="000000"/>
              </w:rPr>
            </w:pPr>
            <w:r>
              <w:rPr>
                <w:bdr w:val="double" w:sz="6" w:space="1" w:color="000000"/>
              </w:rPr>
              <w:t> </w:t>
            </w:r>
          </w:p>
        </w:tc>
        <w:tc>
          <w:tcPr>
            <w:tcW w:w="800" w:type="dxa"/>
            <w:tcBorders/>
            <w:shd w:fill="auto" w:val="clear"/>
            <w:vAlign w:val="center"/>
          </w:tcPr>
          <w:p>
            <w:pPr>
              <w:pStyle w:val="TableContents"/>
              <w:spacing w:before="0" w:after="0"/>
              <w:rPr>
                <w:bdr w:val="double" w:sz="6" w:space="1" w:color="000000"/>
              </w:rPr>
            </w:pPr>
            <w:r>
              <w:rPr>
                <w:bdr w:val="double" w:sz="6" w:space="1" w:color="000000"/>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double" w:sz="6" w:space="1" w:color="000000"/>
              </w:rPr>
            </w:pPr>
            <w:r>
              <w:rPr>
                <w:bdr w:val="double" w:sz="6" w:space="1" w:color="000000"/>
              </w:rPr>
              <w:t> </w:t>
            </w:r>
          </w:p>
        </w:tc>
        <w:tc>
          <w:tcPr>
            <w:tcW w:w="1100" w:type="dxa"/>
            <w:tcBorders/>
            <w:shd w:fill="auto" w:val="clear"/>
            <w:vAlign w:val="center"/>
          </w:tcPr>
          <w:p>
            <w:pPr>
              <w:pStyle w:val="TableContents"/>
              <w:spacing w:before="0" w:after="0"/>
              <w:rPr>
                <w:bdr w:val="double" w:sz="6" w:space="1" w:color="000000"/>
              </w:rPr>
            </w:pPr>
            <w:r>
              <w:rPr>
                <w:bdr w:val="double" w:sz="6" w:space="1" w:color="000000"/>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double" w:sz="6" w:space="1" w:color="000000"/>
              </w:rPr>
            </w:pPr>
            <w:r>
              <w:rPr>
                <w:bdr w:val="double" w:sz="6" w:space="1" w:color="000000"/>
              </w:rPr>
              <w:t> </w:t>
            </w:r>
          </w:p>
        </w:tc>
        <w:tc>
          <w:tcPr>
            <w:tcW w:w="875" w:type="dxa"/>
            <w:tcBorders/>
            <w:shd w:fill="auto" w:val="clear"/>
            <w:vAlign w:val="center"/>
          </w:tcPr>
          <w:p>
            <w:pPr>
              <w:pStyle w:val="TableContents"/>
              <w:spacing w:before="0" w:after="0"/>
              <w:rPr>
                <w:bdr w:val="double" w:sz="6" w:space="1" w:color="000000"/>
              </w:rPr>
            </w:pPr>
            <w:r>
              <w:rPr>
                <w:bdr w:val="double" w:sz="6"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90" w:type="dxa"/>
            <w:tcBorders/>
            <w:shd w:fill="auto" w:val="clear"/>
            <w:vAlign w:val="center"/>
          </w:tcPr>
          <w:p>
            <w:pPr>
              <w:pStyle w:val="TableContents"/>
              <w:spacing w:before="0" w:after="0"/>
              <w:rPr>
                <w:bdr w:val="double" w:sz="6" w:space="1" w:color="000000"/>
              </w:rPr>
            </w:pPr>
            <w:r>
              <w:rPr>
                <w:bdr w:val="double" w:sz="6" w:space="1" w:color="000000"/>
              </w:rPr>
              <w:t> </w:t>
            </w:r>
          </w:p>
        </w:tc>
        <w:tc>
          <w:tcPr>
            <w:tcW w:w="1320" w:type="dxa"/>
            <w:tcBorders/>
            <w:shd w:fill="auto" w:val="clear"/>
            <w:vAlign w:val="center"/>
          </w:tcPr>
          <w:p>
            <w:pPr>
              <w:pStyle w:val="TableContents"/>
              <w:spacing w:before="0" w:after="0"/>
              <w:rPr>
                <w:bdr w:val="double" w:sz="6" w:space="1" w:color="000000"/>
              </w:rPr>
            </w:pPr>
            <w:r>
              <w:rPr>
                <w:bdr w:val="double" w:sz="6"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double" w:sz="6" w:space="1" w:color="000000"/>
              </w:rPr>
            </w:pPr>
            <w:r>
              <w:rPr>
                <w:bdr w:val="double" w:sz="6" w:space="1" w:color="000000"/>
              </w:rPr>
              <w:t> </w:t>
            </w:r>
          </w:p>
        </w:tc>
        <w:tc>
          <w:tcPr>
            <w:tcW w:w="875" w:type="dxa"/>
            <w:tcBorders/>
            <w:shd w:fill="auto" w:val="clear"/>
            <w:vAlign w:val="center"/>
          </w:tcPr>
          <w:p>
            <w:pPr>
              <w:pStyle w:val="TableContents"/>
              <w:spacing w:before="0" w:after="0"/>
              <w:rPr>
                <w:bdr w:val="double" w:sz="6" w:space="1" w:color="000000"/>
              </w:rPr>
            </w:pPr>
            <w:r>
              <w:rPr>
                <w:bdr w:val="double" w:sz="6"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double" w:sz="6" w:space="1" w:color="000000"/>
              </w:rPr>
            </w:pPr>
            <w:r>
              <w:rPr>
                <w:bdr w:val="double" w:sz="6" w:space="1" w:color="000000"/>
              </w:rPr>
              <w:t> </w:t>
            </w:r>
          </w:p>
        </w:tc>
        <w:tc>
          <w:tcPr>
            <w:tcW w:w="875" w:type="dxa"/>
            <w:tcBorders/>
            <w:shd w:fill="auto" w:val="clear"/>
            <w:vAlign w:val="center"/>
          </w:tcPr>
          <w:p>
            <w:pPr>
              <w:pStyle w:val="TableContents"/>
              <w:spacing w:before="0" w:after="0"/>
              <w:rPr>
                <w:bdr w:val="double" w:sz="6" w:space="1" w:color="000000"/>
              </w:rPr>
            </w:pPr>
            <w:r>
              <w:rPr>
                <w:bdr w:val="double" w:sz="6" w:space="1" w:color="000000"/>
              </w:rPr>
              <w:t> </w:t>
            </w:r>
          </w:p>
        </w:tc>
        <w:tc>
          <w:tcPr>
            <w:tcW w:w="170" w:type="dxa"/>
            <w:tcBorders/>
            <w:shd w:fill="auto" w:val="clear"/>
            <w:vAlign w:val="center"/>
          </w:tcPr>
          <w:p>
            <w:pPr>
              <w:pStyle w:val="TableContents"/>
              <w:spacing w:before="0" w:after="283"/>
              <w:rPr/>
            </w:pPr>
            <w:r>
              <w:rPr/>
              <w:t> </w:t>
            </w:r>
          </w:p>
        </w:tc>
      </w:tr>
    </w:tbl>
    <w:p>
      <w:pPr>
        <w:pStyle w:val="TextBody"/>
        <w:spacing w:before="240" w:after="0"/>
        <w:jc w:val="center"/>
        <w:rPr>
          <w:rFonts w:ascii="Times New Roman" w:hAnsi="Times New Roman"/>
          <w:spacing w:val="0"/>
          <w:sz w:val="20"/>
        </w:rPr>
      </w:pPr>
      <w:r>
        <w:rPr>
          <w:rFonts w:ascii="Times New Roman" w:hAnsi="Times New Roman"/>
          <w:spacing w:val="0"/>
          <w:sz w:val="20"/>
        </w:rPr>
        <w:t xml:space="preserve">See accompanying notes to consolidated financial statements.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F-6 </w:t>
      </w:r>
    </w:p>
    <w:p>
      <w:pPr>
        <w:pStyle w:val="HorizontalLine"/>
        <w:rPr/>
      </w:pPr>
      <w:r>
        <w:rPr/>
      </w:r>
    </w:p>
    <w:p>
      <w:pPr>
        <w:pStyle w:val="TextBody"/>
        <w:spacing w:before="0" w:after="0"/>
        <w:rPr/>
      </w:pPr>
      <w:hyperlink w:anchor="toc">
        <w:r>
          <w:rPr>
            <w:rStyle w:val="InternetLink"/>
            <w:b/>
            <w:sz w:val="20"/>
          </w:rPr>
          <w:t>Table of Contents</w:t>
        </w:r>
      </w:hyperlink>
    </w:p>
    <w:p>
      <w:pPr>
        <w:pStyle w:val="TextBody"/>
        <w:spacing w:before="0" w:after="0"/>
        <w:jc w:val="center"/>
        <w:rPr>
          <w:rFonts w:ascii="Times New Roman" w:hAnsi="Times New Roman"/>
          <w:b/>
          <w:spacing w:val="0"/>
          <w:sz w:val="20"/>
        </w:rPr>
      </w:pPr>
      <w:r>
        <w:rPr>
          <w:rFonts w:ascii="Times New Roman" w:hAnsi="Times New Roman"/>
          <w:b/>
          <w:spacing w:val="0"/>
          <w:sz w:val="20"/>
        </w:rPr>
        <w:t xml:space="preserve">DAVE &amp; BUSTER’S ENTERTAINMENT, INC. </w:t>
      </w:r>
    </w:p>
    <w:p>
      <w:pPr>
        <w:pStyle w:val="TextBody"/>
        <w:spacing w:before="120" w:after="0"/>
        <w:jc w:val="center"/>
        <w:rPr>
          <w:rFonts w:ascii="Times New Roman" w:hAnsi="Times New Roman"/>
          <w:b/>
          <w:spacing w:val="0"/>
          <w:sz w:val="20"/>
        </w:rPr>
      </w:pPr>
      <w:r>
        <w:rPr>
          <w:rFonts w:ascii="Times New Roman" w:hAnsi="Times New Roman"/>
          <w:b/>
          <w:spacing w:val="0"/>
          <w:sz w:val="20"/>
        </w:rPr>
        <w:t xml:space="preserve">CONSOLIDATED STATEMENTS OF CASH FLOWS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(in thousands) </w:t>
      </w:r>
    </w:p>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5780"/>
        <w:gridCol w:w="120"/>
        <w:gridCol w:w="170"/>
        <w:gridCol w:w="1065"/>
        <w:gridCol w:w="155"/>
        <w:gridCol w:w="60"/>
        <w:gridCol w:w="170"/>
        <w:gridCol w:w="1065"/>
        <w:gridCol w:w="155"/>
        <w:gridCol w:w="60"/>
        <w:gridCol w:w="170"/>
        <w:gridCol w:w="1065"/>
        <w:gridCol w:w="170"/>
      </w:tblGrid>
      <w:tr>
        <w:trPr/>
        <w:tc>
          <w:tcPr>
            <w:tcW w:w="578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106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106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1065"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r>
      <w:tr>
        <w:trPr/>
        <w:tc>
          <w:tcPr>
            <w:tcW w:w="578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235" w:type="dxa"/>
            <w:gridSpan w:val="2"/>
            <w:tcBorders/>
            <w:shd w:fill="auto" w:val="clear"/>
            <w:vAlign w:val="center"/>
          </w:tcPr>
          <w:p>
            <w:pPr>
              <w:pStyle w:val="TableContents"/>
              <w:spacing w:before="0" w:after="0"/>
              <w:jc w:val="center"/>
              <w:rPr>
                <w:b/>
                <w:spacing w:val="0"/>
              </w:rPr>
            </w:pPr>
            <w:r>
              <w:rPr>
                <w:b/>
                <w:spacing w:val="0"/>
              </w:rPr>
              <w:t>Fiscal Year</w:t>
              <w:br/>
              <w:t>Ended</w:t>
              <w:br/>
              <w:t>January 31,</w:t>
              <w:br/>
              <w:t>2021</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35" w:type="dxa"/>
            <w:gridSpan w:val="2"/>
            <w:tcBorders/>
            <w:shd w:fill="auto" w:val="clear"/>
            <w:vAlign w:val="center"/>
          </w:tcPr>
          <w:p>
            <w:pPr>
              <w:pStyle w:val="TableContents"/>
              <w:spacing w:before="0" w:after="0"/>
              <w:jc w:val="center"/>
              <w:rPr>
                <w:b/>
                <w:spacing w:val="0"/>
              </w:rPr>
            </w:pPr>
            <w:r>
              <w:rPr>
                <w:b/>
                <w:spacing w:val="0"/>
              </w:rPr>
              <w:t>Fiscal Year</w:t>
              <w:br/>
              <w:t>Ended</w:t>
              <w:br/>
              <w:t>February 2,</w:t>
              <w:br/>
              <w:t>2020</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35" w:type="dxa"/>
            <w:gridSpan w:val="2"/>
            <w:tcBorders/>
            <w:shd w:fill="auto" w:val="clear"/>
            <w:vAlign w:val="center"/>
          </w:tcPr>
          <w:p>
            <w:pPr>
              <w:pStyle w:val="TableContents"/>
              <w:spacing w:before="0" w:after="0"/>
              <w:jc w:val="center"/>
              <w:rPr>
                <w:b/>
                <w:spacing w:val="0"/>
              </w:rPr>
            </w:pPr>
            <w:r>
              <w:rPr>
                <w:b/>
                <w:spacing w:val="0"/>
              </w:rPr>
              <w:t>Fiscal Year</w:t>
              <w:br/>
              <w:t>Ended</w:t>
              <w:br/>
              <w:t>February 3,</w:t>
              <w:br/>
              <w:t>2019</w:t>
            </w:r>
          </w:p>
        </w:tc>
        <w:tc>
          <w:tcPr>
            <w:tcW w:w="170" w:type="dxa"/>
            <w:tcBorders/>
            <w:shd w:fill="auto" w:val="clear"/>
            <w:vAlign w:val="center"/>
          </w:tcPr>
          <w:p>
            <w:pPr>
              <w:pStyle w:val="TableContents"/>
              <w:spacing w:before="0" w:after="283"/>
              <w:rPr/>
            </w:pPr>
            <w:r>
              <w:rPr/>
              <w:t> </w:t>
            </w:r>
          </w:p>
        </w:tc>
      </w:tr>
      <w:tr>
        <w:trPr/>
        <w:tc>
          <w:tcPr>
            <w:tcW w:w="5780" w:type="dxa"/>
            <w:tcBorders/>
            <w:shd w:fill="CCEEFF" w:val="clear"/>
            <w:vAlign w:val="center"/>
          </w:tcPr>
          <w:p>
            <w:pPr>
              <w:pStyle w:val="TableContents"/>
              <w:spacing w:before="0" w:after="0"/>
              <w:rPr>
                <w:rFonts w:ascii="Times New Roman" w:hAnsi="Times New Roman"/>
                <w:b/>
                <w:spacing w:val="0"/>
                <w:sz w:val="16"/>
              </w:rPr>
            </w:pPr>
            <w:r>
              <w:rPr>
                <w:rFonts w:ascii="Times New Roman" w:hAnsi="Times New Roman"/>
                <w:b/>
                <w:spacing w:val="0"/>
                <w:sz w:val="16"/>
              </w:rPr>
              <w:t>Cash flows from operating activities:</w:t>
            </w:r>
          </w:p>
        </w:tc>
        <w:tc>
          <w:tcPr>
            <w:tcW w:w="120" w:type="dxa"/>
            <w:tcBorders/>
            <w:shd w:fill="CCEEFF" w:val="clear"/>
            <w:vAlign w:val="center"/>
          </w:tcPr>
          <w:p>
            <w:pPr>
              <w:pStyle w:val="TableContents"/>
              <w:spacing w:before="0" w:after="283"/>
              <w:rPr/>
            </w:pPr>
            <w:r>
              <w:rPr/>
              <w:t>  </w:t>
            </w:r>
          </w:p>
        </w:tc>
        <w:tc>
          <w:tcPr>
            <w:tcW w:w="170" w:type="dxa"/>
            <w:tcBorders/>
            <w:shd w:fill="CCEEFF" w:val="clear"/>
            <w:vAlign w:val="center"/>
          </w:tcPr>
          <w:p>
            <w:pPr>
              <w:pStyle w:val="TableContents"/>
              <w:spacing w:before="0" w:after="283"/>
              <w:rPr/>
            </w:pPr>
            <w:r>
              <w:rPr/>
              <w:t> </w:t>
            </w:r>
          </w:p>
        </w:tc>
        <w:tc>
          <w:tcPr>
            <w:tcW w:w="1065" w:type="dxa"/>
            <w:tcBorders/>
            <w:shd w:fill="CCEEFF" w:val="clear"/>
            <w:vAlign w:val="center"/>
          </w:tcPr>
          <w:p>
            <w:pPr>
              <w:pStyle w:val="TableContents"/>
              <w:spacing w:before="0" w:after="283"/>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70" w:type="dxa"/>
            <w:tcBorders/>
            <w:shd w:fill="CCEEFF" w:val="clear"/>
            <w:vAlign w:val="center"/>
          </w:tcPr>
          <w:p>
            <w:pPr>
              <w:pStyle w:val="TableContents"/>
              <w:spacing w:before="0" w:after="283"/>
              <w:rPr/>
            </w:pPr>
            <w:r>
              <w:rPr/>
              <w:t> </w:t>
            </w:r>
          </w:p>
        </w:tc>
        <w:tc>
          <w:tcPr>
            <w:tcW w:w="1065" w:type="dxa"/>
            <w:tcBorders/>
            <w:shd w:fill="CCEEFF" w:val="clear"/>
            <w:vAlign w:val="center"/>
          </w:tcPr>
          <w:p>
            <w:pPr>
              <w:pStyle w:val="TableContents"/>
              <w:spacing w:before="0" w:after="283"/>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70" w:type="dxa"/>
            <w:tcBorders/>
            <w:shd w:fill="CCEEFF" w:val="clear"/>
            <w:vAlign w:val="center"/>
          </w:tcPr>
          <w:p>
            <w:pPr>
              <w:pStyle w:val="TableContents"/>
              <w:spacing w:before="0" w:after="283"/>
              <w:rPr/>
            </w:pPr>
            <w:r>
              <w:rPr/>
              <w:t> </w:t>
            </w:r>
          </w:p>
        </w:tc>
        <w:tc>
          <w:tcPr>
            <w:tcW w:w="1065" w:type="dxa"/>
            <w:tcBorders/>
            <w:shd w:fill="CCEEFF" w:val="clear"/>
            <w:vAlign w:val="center"/>
          </w:tcPr>
          <w:p>
            <w:pPr>
              <w:pStyle w:val="TableContents"/>
              <w:spacing w:before="0" w:after="283"/>
              <w:rPr/>
            </w:pPr>
            <w:r>
              <w:rPr/>
              <w:t> </w:t>
            </w:r>
          </w:p>
        </w:tc>
        <w:tc>
          <w:tcPr>
            <w:tcW w:w="170" w:type="dxa"/>
            <w:tcBorders/>
            <w:shd w:fill="CCEEFF" w:val="clear"/>
            <w:vAlign w:val="center"/>
          </w:tcPr>
          <w:p>
            <w:pPr>
              <w:pStyle w:val="TableContents"/>
              <w:spacing w:before="0" w:after="283"/>
              <w:rPr/>
            </w:pPr>
            <w:r>
              <w:rPr/>
              <w:t> </w:t>
            </w:r>
          </w:p>
        </w:tc>
      </w:tr>
      <w:tr>
        <w:trPr/>
        <w:tc>
          <w:tcPr>
            <w:tcW w:w="5780" w:type="dxa"/>
            <w:tcBorders/>
            <w:shd w:fill="auto" w:val="clear"/>
            <w:vAlign w:val="center"/>
          </w:tcPr>
          <w:p>
            <w:pPr>
              <w:pStyle w:val="TableContents"/>
              <w:spacing w:before="0" w:after="0"/>
              <w:rPr>
                <w:rFonts w:ascii="Times New Roman" w:hAnsi="Times New Roman"/>
                <w:spacing w:val="0"/>
                <w:sz w:val="16"/>
              </w:rPr>
            </w:pPr>
            <w:r>
              <w:rPr>
                <w:rFonts w:ascii="Times New Roman" w:hAnsi="Times New Roman"/>
                <w:spacing w:val="0"/>
                <w:sz w:val="16"/>
              </w:rPr>
              <w:t>Net income (loss)</w:t>
            </w:r>
          </w:p>
        </w:tc>
        <w:tc>
          <w:tcPr>
            <w:tcW w:w="12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1065" w:type="dxa"/>
            <w:tcBorders/>
            <w:shd w:fill="auto" w:val="clear"/>
            <w:vAlign w:val="center"/>
          </w:tcPr>
          <w:p>
            <w:pPr>
              <w:pStyle w:val="TableContents"/>
              <w:spacing w:before="0" w:after="283"/>
              <w:jc w:val="right"/>
              <w:rPr/>
            </w:pPr>
            <w:r>
              <w:rPr/>
              <w:t>(206,974</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1065" w:type="dxa"/>
            <w:tcBorders/>
            <w:shd w:fill="auto" w:val="clear"/>
            <w:vAlign w:val="center"/>
          </w:tcPr>
          <w:p>
            <w:pPr>
              <w:pStyle w:val="TableContents"/>
              <w:spacing w:before="0" w:after="283"/>
              <w:jc w:val="right"/>
              <w:rPr/>
            </w:pPr>
            <w:r>
              <w:rPr/>
              <w:t>100,263</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1065" w:type="dxa"/>
            <w:tcBorders/>
            <w:shd w:fill="auto" w:val="clear"/>
            <w:vAlign w:val="center"/>
          </w:tcPr>
          <w:p>
            <w:pPr>
              <w:pStyle w:val="TableContents"/>
              <w:spacing w:before="0" w:after="283"/>
              <w:jc w:val="right"/>
              <w:rPr/>
            </w:pPr>
            <w:r>
              <w:rPr/>
              <w:t>117,221</w:t>
            </w:r>
          </w:p>
        </w:tc>
        <w:tc>
          <w:tcPr>
            <w:tcW w:w="170" w:type="dxa"/>
            <w:tcBorders/>
            <w:shd w:fill="auto" w:val="clear"/>
            <w:vAlign w:val="center"/>
          </w:tcPr>
          <w:p>
            <w:pPr>
              <w:pStyle w:val="TableContents"/>
              <w:spacing w:before="0" w:after="283"/>
              <w:rPr/>
            </w:pPr>
            <w:r>
              <w:rPr/>
              <w:t> </w:t>
            </w:r>
          </w:p>
        </w:tc>
      </w:tr>
      <w:tr>
        <w:trPr/>
        <w:tc>
          <w:tcPr>
            <w:tcW w:w="5780" w:type="dxa"/>
            <w:tcBorders/>
            <w:shd w:fill="CCEEFF" w:val="clear"/>
            <w:vAlign w:val="center"/>
          </w:tcPr>
          <w:p>
            <w:pPr>
              <w:pStyle w:val="TableContents"/>
              <w:spacing w:before="0" w:after="0"/>
              <w:rPr>
                <w:rFonts w:ascii="Times New Roman" w:hAnsi="Times New Roman"/>
                <w:spacing w:val="0"/>
                <w:sz w:val="16"/>
              </w:rPr>
            </w:pPr>
            <w:r>
              <w:rPr>
                <w:rFonts w:ascii="Times New Roman" w:hAnsi="Times New Roman"/>
                <w:spacing w:val="0"/>
                <w:sz w:val="16"/>
              </w:rPr>
              <w:t>Adjustments to reconcile net income (loss) to net cash provided by operating activities:</w:t>
            </w:r>
          </w:p>
        </w:tc>
        <w:tc>
          <w:tcPr>
            <w:tcW w:w="120" w:type="dxa"/>
            <w:tcBorders/>
            <w:shd w:fill="CCEEFF" w:val="clear"/>
            <w:vAlign w:val="center"/>
          </w:tcPr>
          <w:p>
            <w:pPr>
              <w:pStyle w:val="TableContents"/>
              <w:spacing w:before="0" w:after="283"/>
              <w:rPr/>
            </w:pPr>
            <w:r>
              <w:rPr/>
              <w:t>  </w:t>
            </w:r>
          </w:p>
        </w:tc>
        <w:tc>
          <w:tcPr>
            <w:tcW w:w="170" w:type="dxa"/>
            <w:tcBorders/>
            <w:shd w:fill="CCEEFF" w:val="clear"/>
            <w:vAlign w:val="center"/>
          </w:tcPr>
          <w:p>
            <w:pPr>
              <w:pStyle w:val="TableContents"/>
              <w:spacing w:before="0" w:after="283"/>
              <w:rPr/>
            </w:pPr>
            <w:r>
              <w:rPr/>
              <w:t> </w:t>
            </w:r>
          </w:p>
        </w:tc>
        <w:tc>
          <w:tcPr>
            <w:tcW w:w="1065" w:type="dxa"/>
            <w:tcBorders/>
            <w:shd w:fill="CCEEFF" w:val="clear"/>
            <w:vAlign w:val="center"/>
          </w:tcPr>
          <w:p>
            <w:pPr>
              <w:pStyle w:val="TableContents"/>
              <w:spacing w:before="0" w:after="283"/>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70" w:type="dxa"/>
            <w:tcBorders/>
            <w:shd w:fill="CCEEFF" w:val="clear"/>
            <w:vAlign w:val="center"/>
          </w:tcPr>
          <w:p>
            <w:pPr>
              <w:pStyle w:val="TableContents"/>
              <w:spacing w:before="0" w:after="283"/>
              <w:rPr/>
            </w:pPr>
            <w:r>
              <w:rPr/>
              <w:t> </w:t>
            </w:r>
          </w:p>
        </w:tc>
        <w:tc>
          <w:tcPr>
            <w:tcW w:w="1065" w:type="dxa"/>
            <w:tcBorders/>
            <w:shd w:fill="CCEEFF" w:val="clear"/>
            <w:vAlign w:val="center"/>
          </w:tcPr>
          <w:p>
            <w:pPr>
              <w:pStyle w:val="TableContents"/>
              <w:spacing w:before="0" w:after="283"/>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70" w:type="dxa"/>
            <w:tcBorders/>
            <w:shd w:fill="CCEEFF" w:val="clear"/>
            <w:vAlign w:val="center"/>
          </w:tcPr>
          <w:p>
            <w:pPr>
              <w:pStyle w:val="TableContents"/>
              <w:spacing w:before="0" w:after="283"/>
              <w:rPr/>
            </w:pPr>
            <w:r>
              <w:rPr/>
              <w:t> </w:t>
            </w:r>
          </w:p>
        </w:tc>
        <w:tc>
          <w:tcPr>
            <w:tcW w:w="1065" w:type="dxa"/>
            <w:tcBorders/>
            <w:shd w:fill="CCEEFF" w:val="clear"/>
            <w:vAlign w:val="center"/>
          </w:tcPr>
          <w:p>
            <w:pPr>
              <w:pStyle w:val="TableContents"/>
              <w:spacing w:before="0" w:after="283"/>
              <w:rPr/>
            </w:pPr>
            <w:r>
              <w:rPr/>
              <w:t> </w:t>
            </w:r>
          </w:p>
        </w:tc>
        <w:tc>
          <w:tcPr>
            <w:tcW w:w="170" w:type="dxa"/>
            <w:tcBorders/>
            <w:shd w:fill="CCEEFF" w:val="clear"/>
            <w:vAlign w:val="center"/>
          </w:tcPr>
          <w:p>
            <w:pPr>
              <w:pStyle w:val="TableContents"/>
              <w:spacing w:before="0" w:after="283"/>
              <w:rPr/>
            </w:pPr>
            <w:r>
              <w:rPr/>
              <w:t> </w:t>
            </w:r>
          </w:p>
        </w:tc>
      </w:tr>
      <w:tr>
        <w:trPr/>
        <w:tc>
          <w:tcPr>
            <w:tcW w:w="5780" w:type="dxa"/>
            <w:tcBorders/>
            <w:shd w:fill="auto" w:val="clear"/>
            <w:vAlign w:val="center"/>
          </w:tcPr>
          <w:p>
            <w:pPr>
              <w:pStyle w:val="TableContents"/>
              <w:spacing w:before="0" w:after="0"/>
              <w:rPr>
                <w:rFonts w:ascii="Times New Roman" w:hAnsi="Times New Roman"/>
                <w:spacing w:val="0"/>
                <w:sz w:val="16"/>
              </w:rPr>
            </w:pPr>
            <w:r>
              <w:rPr>
                <w:rFonts w:ascii="Times New Roman" w:hAnsi="Times New Roman"/>
                <w:spacing w:val="0"/>
                <w:sz w:val="16"/>
              </w:rPr>
              <w:t>Depreciation and amortization expense</w:t>
            </w:r>
          </w:p>
        </w:tc>
        <w:tc>
          <w:tcPr>
            <w:tcW w:w="12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 </w:t>
            </w:r>
          </w:p>
        </w:tc>
        <w:tc>
          <w:tcPr>
            <w:tcW w:w="1065" w:type="dxa"/>
            <w:tcBorders/>
            <w:shd w:fill="auto" w:val="clear"/>
            <w:vAlign w:val="center"/>
          </w:tcPr>
          <w:p>
            <w:pPr>
              <w:pStyle w:val="TableContents"/>
              <w:spacing w:before="0" w:after="283"/>
              <w:jc w:val="right"/>
              <w:rPr/>
            </w:pPr>
            <w:r>
              <w:rPr/>
              <w:t>138,789</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 </w:t>
            </w:r>
          </w:p>
        </w:tc>
        <w:tc>
          <w:tcPr>
            <w:tcW w:w="1065" w:type="dxa"/>
            <w:tcBorders/>
            <w:shd w:fill="auto" w:val="clear"/>
            <w:vAlign w:val="center"/>
          </w:tcPr>
          <w:p>
            <w:pPr>
              <w:pStyle w:val="TableContents"/>
              <w:spacing w:before="0" w:after="283"/>
              <w:jc w:val="right"/>
              <w:rPr/>
            </w:pPr>
            <w:r>
              <w:rPr/>
              <w:t>132,460</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 </w:t>
            </w:r>
          </w:p>
        </w:tc>
        <w:tc>
          <w:tcPr>
            <w:tcW w:w="1065" w:type="dxa"/>
            <w:tcBorders/>
            <w:shd w:fill="auto" w:val="clear"/>
            <w:vAlign w:val="center"/>
          </w:tcPr>
          <w:p>
            <w:pPr>
              <w:pStyle w:val="TableContents"/>
              <w:spacing w:before="0" w:after="283"/>
              <w:jc w:val="right"/>
              <w:rPr/>
            </w:pPr>
            <w:r>
              <w:rPr/>
              <w:t>118,275</w:t>
            </w:r>
          </w:p>
        </w:tc>
        <w:tc>
          <w:tcPr>
            <w:tcW w:w="170" w:type="dxa"/>
            <w:tcBorders/>
            <w:shd w:fill="auto" w:val="clear"/>
            <w:vAlign w:val="center"/>
          </w:tcPr>
          <w:p>
            <w:pPr>
              <w:pStyle w:val="TableContents"/>
              <w:spacing w:before="0" w:after="283"/>
              <w:rPr/>
            </w:pPr>
            <w:r>
              <w:rPr/>
              <w:t> </w:t>
            </w:r>
          </w:p>
        </w:tc>
      </w:tr>
      <w:tr>
        <w:trPr/>
        <w:tc>
          <w:tcPr>
            <w:tcW w:w="5780" w:type="dxa"/>
            <w:tcBorders/>
            <w:shd w:fill="CCEEFF" w:val="clear"/>
            <w:vAlign w:val="center"/>
          </w:tcPr>
          <w:p>
            <w:pPr>
              <w:pStyle w:val="TableContents"/>
              <w:spacing w:before="0" w:after="0"/>
              <w:rPr>
                <w:rFonts w:ascii="Times New Roman" w:hAnsi="Times New Roman"/>
                <w:spacing w:val="0"/>
                <w:sz w:val="16"/>
              </w:rPr>
            </w:pPr>
            <w:r>
              <w:rPr>
                <w:rFonts w:ascii="Times New Roman" w:hAnsi="Times New Roman"/>
                <w:spacing w:val="0"/>
                <w:sz w:val="16"/>
              </w:rPr>
              <w:t>Non-cash</w:t>
            </w:r>
          </w:p>
          <w:p>
            <w:pPr>
              <w:pStyle w:val="TableContents"/>
              <w:spacing w:before="0" w:after="0"/>
              <w:rPr>
                <w:rFonts w:ascii="Times New Roman" w:hAnsi="Times New Roman"/>
                <w:sz w:val="16"/>
              </w:rPr>
            </w:pPr>
            <w:r>
              <w:rPr>
                <w:rFonts w:ascii="Times New Roman" w:hAnsi="Times New Roman"/>
                <w:sz w:val="16"/>
              </w:rPr>
              <w:t>interest expense</w:t>
            </w:r>
          </w:p>
        </w:tc>
        <w:tc>
          <w:tcPr>
            <w:tcW w:w="120" w:type="dxa"/>
            <w:tcBorders/>
            <w:shd w:fill="CCEEFF" w:val="clear"/>
            <w:vAlign w:val="center"/>
          </w:tcPr>
          <w:p>
            <w:pPr>
              <w:pStyle w:val="TableContents"/>
              <w:spacing w:before="0" w:after="283"/>
              <w:rPr/>
            </w:pPr>
            <w:r>
              <w:rPr/>
              <w:t>  </w:t>
            </w:r>
          </w:p>
        </w:tc>
        <w:tc>
          <w:tcPr>
            <w:tcW w:w="170" w:type="dxa"/>
            <w:tcBorders/>
            <w:shd w:fill="CCEEFF" w:val="clear"/>
            <w:vAlign w:val="center"/>
          </w:tcPr>
          <w:p>
            <w:pPr>
              <w:pStyle w:val="TableContents"/>
              <w:spacing w:before="0" w:after="283"/>
              <w:rPr/>
            </w:pPr>
            <w:r>
              <w:rPr/>
              <w:t> </w:t>
            </w:r>
          </w:p>
        </w:tc>
        <w:tc>
          <w:tcPr>
            <w:tcW w:w="1065" w:type="dxa"/>
            <w:tcBorders/>
            <w:shd w:fill="CCEEFF" w:val="clear"/>
            <w:vAlign w:val="center"/>
          </w:tcPr>
          <w:p>
            <w:pPr>
              <w:pStyle w:val="TableContents"/>
              <w:spacing w:before="0" w:after="283"/>
              <w:jc w:val="right"/>
              <w:rPr/>
            </w:pPr>
            <w:r>
              <w:rPr/>
              <w:t>5,974</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70" w:type="dxa"/>
            <w:tcBorders/>
            <w:shd w:fill="CCEEFF" w:val="clear"/>
            <w:vAlign w:val="center"/>
          </w:tcPr>
          <w:p>
            <w:pPr>
              <w:pStyle w:val="TableContents"/>
              <w:spacing w:before="0" w:after="283"/>
              <w:rPr/>
            </w:pPr>
            <w:r>
              <w:rPr/>
              <w:t> </w:t>
            </w:r>
          </w:p>
        </w:tc>
        <w:tc>
          <w:tcPr>
            <w:tcW w:w="1065" w:type="dxa"/>
            <w:tcBorders/>
            <w:shd w:fill="CCEEFF" w:val="clear"/>
            <w:vAlign w:val="center"/>
          </w:tcPr>
          <w:p>
            <w:pPr>
              <w:pStyle w:val="TableContents"/>
              <w:spacing w:before="0" w:after="283"/>
              <w:jc w:val="right"/>
              <w:rPr/>
            </w:pPr>
            <w:r>
              <w:rPr/>
              <w:t xml:space="preserve">—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70" w:type="dxa"/>
            <w:tcBorders/>
            <w:shd w:fill="CCEEFF" w:val="clear"/>
            <w:vAlign w:val="center"/>
          </w:tcPr>
          <w:p>
            <w:pPr>
              <w:pStyle w:val="TableContents"/>
              <w:spacing w:before="0" w:after="283"/>
              <w:rPr/>
            </w:pPr>
            <w:r>
              <w:rPr/>
              <w:t> </w:t>
            </w:r>
          </w:p>
        </w:tc>
        <w:tc>
          <w:tcPr>
            <w:tcW w:w="1065" w:type="dxa"/>
            <w:tcBorders/>
            <w:shd w:fill="CCEEFF" w:val="clear"/>
            <w:vAlign w:val="center"/>
          </w:tcPr>
          <w:p>
            <w:pPr>
              <w:pStyle w:val="TableContents"/>
              <w:spacing w:before="0" w:after="283"/>
              <w:jc w:val="right"/>
              <w:rPr/>
            </w:pPr>
            <w:r>
              <w:rPr/>
              <w:t xml:space="preserve">—   </w:t>
            </w:r>
          </w:p>
        </w:tc>
        <w:tc>
          <w:tcPr>
            <w:tcW w:w="170" w:type="dxa"/>
            <w:tcBorders/>
            <w:shd w:fill="CCEEFF" w:val="clear"/>
            <w:vAlign w:val="center"/>
          </w:tcPr>
          <w:p>
            <w:pPr>
              <w:pStyle w:val="TableContents"/>
              <w:spacing w:before="0" w:after="283"/>
              <w:rPr/>
            </w:pPr>
            <w:r>
              <w:rPr/>
              <w:t> </w:t>
            </w:r>
          </w:p>
        </w:tc>
      </w:tr>
      <w:tr>
        <w:trPr/>
        <w:tc>
          <w:tcPr>
            <w:tcW w:w="5780" w:type="dxa"/>
            <w:tcBorders/>
            <w:shd w:fill="auto" w:val="clear"/>
            <w:vAlign w:val="center"/>
          </w:tcPr>
          <w:p>
            <w:pPr>
              <w:pStyle w:val="TableContents"/>
              <w:spacing w:before="0" w:after="0"/>
              <w:rPr>
                <w:rFonts w:ascii="Times New Roman" w:hAnsi="Times New Roman"/>
                <w:spacing w:val="0"/>
                <w:sz w:val="16"/>
              </w:rPr>
            </w:pPr>
            <w:r>
              <w:rPr>
                <w:rFonts w:ascii="Times New Roman" w:hAnsi="Times New Roman"/>
                <w:spacing w:val="0"/>
                <w:sz w:val="16"/>
              </w:rPr>
              <w:t>Impairment of long-lived assets</w:t>
            </w:r>
          </w:p>
        </w:tc>
        <w:tc>
          <w:tcPr>
            <w:tcW w:w="12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 </w:t>
            </w:r>
          </w:p>
        </w:tc>
        <w:tc>
          <w:tcPr>
            <w:tcW w:w="1065" w:type="dxa"/>
            <w:tcBorders/>
            <w:shd w:fill="auto" w:val="clear"/>
            <w:vAlign w:val="center"/>
          </w:tcPr>
          <w:p>
            <w:pPr>
              <w:pStyle w:val="TableContents"/>
              <w:spacing w:before="0" w:after="283"/>
              <w:jc w:val="right"/>
              <w:rPr/>
            </w:pPr>
            <w:r>
              <w:rPr/>
              <w:t>12,248</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 </w:t>
            </w:r>
          </w:p>
        </w:tc>
        <w:tc>
          <w:tcPr>
            <w:tcW w:w="1065"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 </w:t>
            </w:r>
          </w:p>
        </w:tc>
        <w:tc>
          <w:tcPr>
            <w:tcW w:w="1065" w:type="dxa"/>
            <w:tcBorders/>
            <w:shd w:fill="auto" w:val="clear"/>
            <w:vAlign w:val="center"/>
          </w:tcPr>
          <w:p>
            <w:pPr>
              <w:pStyle w:val="TableContents"/>
              <w:spacing w:before="0" w:after="283"/>
              <w:jc w:val="right"/>
              <w:rPr/>
            </w:pPr>
            <w:r>
              <w:rPr/>
              <w:t>—  </w:t>
            </w:r>
          </w:p>
        </w:tc>
        <w:tc>
          <w:tcPr>
            <w:tcW w:w="170" w:type="dxa"/>
            <w:tcBorders/>
            <w:shd w:fill="auto" w:val="clear"/>
            <w:vAlign w:val="center"/>
          </w:tcPr>
          <w:p>
            <w:pPr>
              <w:pStyle w:val="TableContents"/>
              <w:spacing w:before="0" w:after="283"/>
              <w:rPr/>
            </w:pPr>
            <w:r>
              <w:rPr/>
              <w:t> </w:t>
            </w:r>
          </w:p>
        </w:tc>
      </w:tr>
      <w:tr>
        <w:trPr/>
        <w:tc>
          <w:tcPr>
            <w:tcW w:w="5780" w:type="dxa"/>
            <w:tcBorders/>
            <w:shd w:fill="CCEEFF" w:val="clear"/>
            <w:vAlign w:val="center"/>
          </w:tcPr>
          <w:p>
            <w:pPr>
              <w:pStyle w:val="TableContents"/>
              <w:spacing w:before="0" w:after="0"/>
              <w:rPr>
                <w:rFonts w:ascii="Times New Roman" w:hAnsi="Times New Roman"/>
                <w:spacing w:val="0"/>
                <w:sz w:val="16"/>
              </w:rPr>
            </w:pPr>
            <w:r>
              <w:rPr>
                <w:rFonts w:ascii="Times New Roman" w:hAnsi="Times New Roman"/>
                <w:spacing w:val="0"/>
                <w:sz w:val="16"/>
              </w:rPr>
              <w:t>Deferred taxes</w:t>
            </w:r>
          </w:p>
        </w:tc>
        <w:tc>
          <w:tcPr>
            <w:tcW w:w="120" w:type="dxa"/>
            <w:tcBorders/>
            <w:shd w:fill="CCEEFF" w:val="clear"/>
            <w:vAlign w:val="center"/>
          </w:tcPr>
          <w:p>
            <w:pPr>
              <w:pStyle w:val="TableContents"/>
              <w:spacing w:before="0" w:after="283"/>
              <w:rPr/>
            </w:pPr>
            <w:r>
              <w:rPr/>
              <w:t>  </w:t>
            </w:r>
          </w:p>
        </w:tc>
        <w:tc>
          <w:tcPr>
            <w:tcW w:w="170" w:type="dxa"/>
            <w:tcBorders/>
            <w:shd w:fill="CCEEFF" w:val="clear"/>
            <w:vAlign w:val="center"/>
          </w:tcPr>
          <w:p>
            <w:pPr>
              <w:pStyle w:val="TableContents"/>
              <w:spacing w:before="0" w:after="283"/>
              <w:rPr/>
            </w:pPr>
            <w:r>
              <w:rPr/>
              <w:t> </w:t>
            </w:r>
          </w:p>
        </w:tc>
        <w:tc>
          <w:tcPr>
            <w:tcW w:w="1065" w:type="dxa"/>
            <w:tcBorders/>
            <w:shd w:fill="CCEEFF" w:val="clear"/>
            <w:vAlign w:val="center"/>
          </w:tcPr>
          <w:p>
            <w:pPr>
              <w:pStyle w:val="TableContents"/>
              <w:spacing w:before="0" w:after="283"/>
              <w:jc w:val="right"/>
              <w:rPr/>
            </w:pPr>
            <w:r>
              <w:rPr/>
              <w:t>(3,365</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70" w:type="dxa"/>
            <w:tcBorders/>
            <w:shd w:fill="CCEEFF" w:val="clear"/>
            <w:vAlign w:val="center"/>
          </w:tcPr>
          <w:p>
            <w:pPr>
              <w:pStyle w:val="TableContents"/>
              <w:spacing w:before="0" w:after="283"/>
              <w:rPr/>
            </w:pPr>
            <w:r>
              <w:rPr/>
              <w:t> </w:t>
            </w:r>
          </w:p>
        </w:tc>
        <w:tc>
          <w:tcPr>
            <w:tcW w:w="1065" w:type="dxa"/>
            <w:tcBorders/>
            <w:shd w:fill="CCEEFF" w:val="clear"/>
            <w:vAlign w:val="center"/>
          </w:tcPr>
          <w:p>
            <w:pPr>
              <w:pStyle w:val="TableContents"/>
              <w:spacing w:before="0" w:after="283"/>
              <w:jc w:val="right"/>
              <w:rPr/>
            </w:pPr>
            <w:r>
              <w:rPr/>
              <w:t>6,473</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70" w:type="dxa"/>
            <w:tcBorders/>
            <w:shd w:fill="CCEEFF" w:val="clear"/>
            <w:vAlign w:val="center"/>
          </w:tcPr>
          <w:p>
            <w:pPr>
              <w:pStyle w:val="TableContents"/>
              <w:spacing w:before="0" w:after="283"/>
              <w:rPr/>
            </w:pPr>
            <w:r>
              <w:rPr/>
              <w:t> </w:t>
            </w:r>
          </w:p>
        </w:tc>
        <w:tc>
          <w:tcPr>
            <w:tcW w:w="1065" w:type="dxa"/>
            <w:tcBorders/>
            <w:shd w:fill="CCEEFF" w:val="clear"/>
            <w:vAlign w:val="center"/>
          </w:tcPr>
          <w:p>
            <w:pPr>
              <w:pStyle w:val="TableContents"/>
              <w:spacing w:before="0" w:after="283"/>
              <w:jc w:val="right"/>
              <w:rPr/>
            </w:pPr>
            <w:r>
              <w:rPr/>
              <w:t>5,474</w:t>
            </w:r>
          </w:p>
        </w:tc>
        <w:tc>
          <w:tcPr>
            <w:tcW w:w="170" w:type="dxa"/>
            <w:tcBorders/>
            <w:shd w:fill="CCEEFF" w:val="clear"/>
            <w:vAlign w:val="center"/>
          </w:tcPr>
          <w:p>
            <w:pPr>
              <w:pStyle w:val="TableContents"/>
              <w:spacing w:before="0" w:after="283"/>
              <w:rPr/>
            </w:pPr>
            <w:r>
              <w:rPr/>
              <w:t> </w:t>
            </w:r>
          </w:p>
        </w:tc>
      </w:tr>
      <w:tr>
        <w:trPr/>
        <w:tc>
          <w:tcPr>
            <w:tcW w:w="5780" w:type="dxa"/>
            <w:tcBorders/>
            <w:shd w:fill="auto" w:val="clear"/>
            <w:vAlign w:val="center"/>
          </w:tcPr>
          <w:p>
            <w:pPr>
              <w:pStyle w:val="TableContents"/>
              <w:spacing w:before="0" w:after="0"/>
              <w:rPr>
                <w:rFonts w:ascii="Times New Roman" w:hAnsi="Times New Roman"/>
                <w:spacing w:val="0"/>
                <w:sz w:val="16"/>
              </w:rPr>
            </w:pPr>
            <w:r>
              <w:rPr>
                <w:rFonts w:ascii="Times New Roman" w:hAnsi="Times New Roman"/>
                <w:spacing w:val="0"/>
                <w:sz w:val="16"/>
              </w:rPr>
              <w:t>Loss on debt refinance</w:t>
            </w:r>
          </w:p>
        </w:tc>
        <w:tc>
          <w:tcPr>
            <w:tcW w:w="12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 </w:t>
            </w:r>
          </w:p>
        </w:tc>
        <w:tc>
          <w:tcPr>
            <w:tcW w:w="1065" w:type="dxa"/>
            <w:tcBorders/>
            <w:shd w:fill="auto" w:val="clear"/>
            <w:vAlign w:val="center"/>
          </w:tcPr>
          <w:p>
            <w:pPr>
              <w:pStyle w:val="TableContents"/>
              <w:spacing w:before="0" w:after="283"/>
              <w:jc w:val="right"/>
              <w:rPr/>
            </w:pPr>
            <w:r>
              <w:rPr/>
              <w:t>904</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 </w:t>
            </w:r>
          </w:p>
        </w:tc>
        <w:tc>
          <w:tcPr>
            <w:tcW w:w="1065"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 </w:t>
            </w:r>
          </w:p>
        </w:tc>
        <w:tc>
          <w:tcPr>
            <w:tcW w:w="1065" w:type="dxa"/>
            <w:tcBorders/>
            <w:shd w:fill="auto" w:val="clear"/>
            <w:vAlign w:val="center"/>
          </w:tcPr>
          <w:p>
            <w:pPr>
              <w:pStyle w:val="TableContents"/>
              <w:spacing w:before="0" w:after="283"/>
              <w:jc w:val="right"/>
              <w:rPr/>
            </w:pPr>
            <w:r>
              <w:rPr/>
              <w:t>—  </w:t>
            </w:r>
          </w:p>
        </w:tc>
        <w:tc>
          <w:tcPr>
            <w:tcW w:w="170" w:type="dxa"/>
            <w:tcBorders/>
            <w:shd w:fill="auto" w:val="clear"/>
            <w:vAlign w:val="center"/>
          </w:tcPr>
          <w:p>
            <w:pPr>
              <w:pStyle w:val="TableContents"/>
              <w:spacing w:before="0" w:after="283"/>
              <w:rPr/>
            </w:pPr>
            <w:r>
              <w:rPr/>
              <w:t> </w:t>
            </w:r>
          </w:p>
        </w:tc>
      </w:tr>
      <w:tr>
        <w:trPr/>
        <w:tc>
          <w:tcPr>
            <w:tcW w:w="5780" w:type="dxa"/>
            <w:tcBorders/>
            <w:shd w:fill="CCEEFF" w:val="clear"/>
            <w:vAlign w:val="center"/>
          </w:tcPr>
          <w:p>
            <w:pPr>
              <w:pStyle w:val="TableContents"/>
              <w:spacing w:before="0" w:after="0"/>
              <w:rPr>
                <w:rFonts w:ascii="Times New Roman" w:hAnsi="Times New Roman"/>
                <w:spacing w:val="0"/>
                <w:sz w:val="16"/>
              </w:rPr>
            </w:pPr>
            <w:r>
              <w:rPr>
                <w:rFonts w:ascii="Times New Roman" w:hAnsi="Times New Roman"/>
                <w:spacing w:val="0"/>
                <w:sz w:val="16"/>
              </w:rPr>
              <w:t>Loss on disposal of fixed assets</w:t>
            </w:r>
          </w:p>
        </w:tc>
        <w:tc>
          <w:tcPr>
            <w:tcW w:w="120" w:type="dxa"/>
            <w:tcBorders/>
            <w:shd w:fill="CCEEFF" w:val="clear"/>
            <w:vAlign w:val="center"/>
          </w:tcPr>
          <w:p>
            <w:pPr>
              <w:pStyle w:val="TableContents"/>
              <w:spacing w:before="0" w:after="283"/>
              <w:rPr/>
            </w:pPr>
            <w:r>
              <w:rPr/>
              <w:t>  </w:t>
            </w:r>
          </w:p>
        </w:tc>
        <w:tc>
          <w:tcPr>
            <w:tcW w:w="170" w:type="dxa"/>
            <w:tcBorders/>
            <w:shd w:fill="CCEEFF" w:val="clear"/>
            <w:vAlign w:val="center"/>
          </w:tcPr>
          <w:p>
            <w:pPr>
              <w:pStyle w:val="TableContents"/>
              <w:spacing w:before="0" w:after="283"/>
              <w:rPr/>
            </w:pPr>
            <w:r>
              <w:rPr/>
              <w:t> </w:t>
            </w:r>
          </w:p>
        </w:tc>
        <w:tc>
          <w:tcPr>
            <w:tcW w:w="1065" w:type="dxa"/>
            <w:tcBorders/>
            <w:shd w:fill="CCEEFF" w:val="clear"/>
            <w:vAlign w:val="center"/>
          </w:tcPr>
          <w:p>
            <w:pPr>
              <w:pStyle w:val="TableContents"/>
              <w:spacing w:before="0" w:after="283"/>
              <w:jc w:val="right"/>
              <w:rPr/>
            </w:pPr>
            <w:r>
              <w:rPr/>
              <w:t>577</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70" w:type="dxa"/>
            <w:tcBorders/>
            <w:shd w:fill="CCEEFF" w:val="clear"/>
            <w:vAlign w:val="center"/>
          </w:tcPr>
          <w:p>
            <w:pPr>
              <w:pStyle w:val="TableContents"/>
              <w:spacing w:before="0" w:after="283"/>
              <w:rPr/>
            </w:pPr>
            <w:r>
              <w:rPr/>
              <w:t> </w:t>
            </w:r>
          </w:p>
        </w:tc>
        <w:tc>
          <w:tcPr>
            <w:tcW w:w="1065" w:type="dxa"/>
            <w:tcBorders/>
            <w:shd w:fill="CCEEFF" w:val="clear"/>
            <w:vAlign w:val="center"/>
          </w:tcPr>
          <w:p>
            <w:pPr>
              <w:pStyle w:val="TableContents"/>
              <w:spacing w:before="0" w:after="283"/>
              <w:jc w:val="right"/>
              <w:rPr/>
            </w:pPr>
            <w:r>
              <w:rPr/>
              <w:t>1,813</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70" w:type="dxa"/>
            <w:tcBorders/>
            <w:shd w:fill="CCEEFF" w:val="clear"/>
            <w:vAlign w:val="center"/>
          </w:tcPr>
          <w:p>
            <w:pPr>
              <w:pStyle w:val="TableContents"/>
              <w:spacing w:before="0" w:after="283"/>
              <w:rPr/>
            </w:pPr>
            <w:r>
              <w:rPr/>
              <w:t> </w:t>
            </w:r>
          </w:p>
        </w:tc>
        <w:tc>
          <w:tcPr>
            <w:tcW w:w="1065" w:type="dxa"/>
            <w:tcBorders/>
            <w:shd w:fill="CCEEFF" w:val="clear"/>
            <w:vAlign w:val="center"/>
          </w:tcPr>
          <w:p>
            <w:pPr>
              <w:pStyle w:val="TableContents"/>
              <w:spacing w:before="0" w:after="283"/>
              <w:jc w:val="right"/>
              <w:rPr/>
            </w:pPr>
            <w:r>
              <w:rPr/>
              <w:t>1,121</w:t>
            </w:r>
          </w:p>
        </w:tc>
        <w:tc>
          <w:tcPr>
            <w:tcW w:w="170" w:type="dxa"/>
            <w:tcBorders/>
            <w:shd w:fill="CCEEFF" w:val="clear"/>
            <w:vAlign w:val="center"/>
          </w:tcPr>
          <w:p>
            <w:pPr>
              <w:pStyle w:val="TableContents"/>
              <w:spacing w:before="0" w:after="283"/>
              <w:rPr/>
            </w:pPr>
            <w:r>
              <w:rPr/>
              <w:t> </w:t>
            </w:r>
          </w:p>
        </w:tc>
      </w:tr>
      <w:tr>
        <w:trPr/>
        <w:tc>
          <w:tcPr>
            <w:tcW w:w="5780" w:type="dxa"/>
            <w:tcBorders/>
            <w:shd w:fill="auto" w:val="clear"/>
            <w:vAlign w:val="center"/>
          </w:tcPr>
          <w:p>
            <w:pPr>
              <w:pStyle w:val="TableContents"/>
              <w:spacing w:before="0" w:after="0"/>
              <w:rPr>
                <w:rFonts w:ascii="Times New Roman" w:hAnsi="Times New Roman"/>
                <w:spacing w:val="0"/>
                <w:sz w:val="16"/>
              </w:rPr>
            </w:pPr>
            <w:r>
              <w:rPr>
                <w:rFonts w:ascii="Times New Roman" w:hAnsi="Times New Roman"/>
                <w:spacing w:val="0"/>
                <w:sz w:val="16"/>
              </w:rPr>
              <w:t>Share-based compensation</w:t>
            </w:r>
          </w:p>
        </w:tc>
        <w:tc>
          <w:tcPr>
            <w:tcW w:w="12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 </w:t>
            </w:r>
          </w:p>
        </w:tc>
        <w:tc>
          <w:tcPr>
            <w:tcW w:w="1065" w:type="dxa"/>
            <w:tcBorders/>
            <w:shd w:fill="auto" w:val="clear"/>
            <w:vAlign w:val="center"/>
          </w:tcPr>
          <w:p>
            <w:pPr>
              <w:pStyle w:val="TableContents"/>
              <w:spacing w:before="0" w:after="283"/>
              <w:jc w:val="right"/>
              <w:rPr/>
            </w:pPr>
            <w:r>
              <w:rPr/>
              <w:t>6,985</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 </w:t>
            </w:r>
          </w:p>
        </w:tc>
        <w:tc>
          <w:tcPr>
            <w:tcW w:w="1065" w:type="dxa"/>
            <w:tcBorders/>
            <w:shd w:fill="auto" w:val="clear"/>
            <w:vAlign w:val="center"/>
          </w:tcPr>
          <w:p>
            <w:pPr>
              <w:pStyle w:val="TableContents"/>
              <w:spacing w:before="0" w:after="283"/>
              <w:jc w:val="right"/>
              <w:rPr/>
            </w:pPr>
            <w:r>
              <w:rPr/>
              <w:t>6,857</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 </w:t>
            </w:r>
          </w:p>
        </w:tc>
        <w:tc>
          <w:tcPr>
            <w:tcW w:w="1065" w:type="dxa"/>
            <w:tcBorders/>
            <w:shd w:fill="auto" w:val="clear"/>
            <w:vAlign w:val="center"/>
          </w:tcPr>
          <w:p>
            <w:pPr>
              <w:pStyle w:val="TableContents"/>
              <w:spacing w:before="0" w:after="283"/>
              <w:jc w:val="right"/>
              <w:rPr/>
            </w:pPr>
            <w:r>
              <w:rPr/>
              <w:t>7,422</w:t>
            </w:r>
          </w:p>
        </w:tc>
        <w:tc>
          <w:tcPr>
            <w:tcW w:w="170" w:type="dxa"/>
            <w:tcBorders/>
            <w:shd w:fill="auto" w:val="clear"/>
            <w:vAlign w:val="center"/>
          </w:tcPr>
          <w:p>
            <w:pPr>
              <w:pStyle w:val="TableContents"/>
              <w:spacing w:before="0" w:after="283"/>
              <w:rPr/>
            </w:pPr>
            <w:r>
              <w:rPr/>
              <w:t> </w:t>
            </w:r>
          </w:p>
        </w:tc>
      </w:tr>
      <w:tr>
        <w:trPr/>
        <w:tc>
          <w:tcPr>
            <w:tcW w:w="5780" w:type="dxa"/>
            <w:tcBorders/>
            <w:shd w:fill="CCEEFF" w:val="clear"/>
            <w:vAlign w:val="center"/>
          </w:tcPr>
          <w:p>
            <w:pPr>
              <w:pStyle w:val="TableContents"/>
              <w:spacing w:before="0" w:after="0"/>
              <w:rPr>
                <w:rFonts w:ascii="Times New Roman" w:hAnsi="Times New Roman"/>
                <w:spacing w:val="0"/>
                <w:sz w:val="16"/>
              </w:rPr>
            </w:pPr>
            <w:r>
              <w:rPr>
                <w:rFonts w:ascii="Times New Roman" w:hAnsi="Times New Roman"/>
                <w:spacing w:val="0"/>
                <w:sz w:val="16"/>
              </w:rPr>
              <w:t>Other, net</w:t>
            </w:r>
          </w:p>
        </w:tc>
        <w:tc>
          <w:tcPr>
            <w:tcW w:w="120" w:type="dxa"/>
            <w:tcBorders/>
            <w:shd w:fill="CCEEFF" w:val="clear"/>
            <w:vAlign w:val="center"/>
          </w:tcPr>
          <w:p>
            <w:pPr>
              <w:pStyle w:val="TableContents"/>
              <w:spacing w:before="0" w:after="283"/>
              <w:rPr/>
            </w:pPr>
            <w:r>
              <w:rPr/>
              <w:t>  </w:t>
            </w:r>
          </w:p>
        </w:tc>
        <w:tc>
          <w:tcPr>
            <w:tcW w:w="170" w:type="dxa"/>
            <w:tcBorders/>
            <w:shd w:fill="CCEEFF" w:val="clear"/>
            <w:vAlign w:val="center"/>
          </w:tcPr>
          <w:p>
            <w:pPr>
              <w:pStyle w:val="TableContents"/>
              <w:spacing w:before="0" w:after="283"/>
              <w:rPr/>
            </w:pPr>
            <w:r>
              <w:rPr/>
              <w:t> </w:t>
            </w:r>
          </w:p>
        </w:tc>
        <w:tc>
          <w:tcPr>
            <w:tcW w:w="1065" w:type="dxa"/>
            <w:tcBorders/>
            <w:shd w:fill="CCEEFF" w:val="clear"/>
            <w:vAlign w:val="center"/>
          </w:tcPr>
          <w:p>
            <w:pPr>
              <w:pStyle w:val="TableContents"/>
              <w:spacing w:before="0" w:after="283"/>
              <w:jc w:val="right"/>
              <w:rPr/>
            </w:pPr>
            <w:r>
              <w:rPr/>
              <w:t>2,033</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70" w:type="dxa"/>
            <w:tcBorders/>
            <w:shd w:fill="CCEEFF" w:val="clear"/>
            <w:vAlign w:val="center"/>
          </w:tcPr>
          <w:p>
            <w:pPr>
              <w:pStyle w:val="TableContents"/>
              <w:spacing w:before="0" w:after="283"/>
              <w:rPr/>
            </w:pPr>
            <w:r>
              <w:rPr/>
              <w:t> </w:t>
            </w:r>
          </w:p>
        </w:tc>
        <w:tc>
          <w:tcPr>
            <w:tcW w:w="1065" w:type="dxa"/>
            <w:tcBorders/>
            <w:shd w:fill="CCEEFF" w:val="clear"/>
            <w:vAlign w:val="center"/>
          </w:tcPr>
          <w:p>
            <w:pPr>
              <w:pStyle w:val="TableContents"/>
              <w:spacing w:before="0" w:after="283"/>
              <w:jc w:val="right"/>
              <w:rPr/>
            </w:pPr>
            <w:r>
              <w:rPr/>
              <w:t>1,070</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70" w:type="dxa"/>
            <w:tcBorders/>
            <w:shd w:fill="CCEEFF" w:val="clear"/>
            <w:vAlign w:val="center"/>
          </w:tcPr>
          <w:p>
            <w:pPr>
              <w:pStyle w:val="TableContents"/>
              <w:spacing w:before="0" w:after="283"/>
              <w:rPr/>
            </w:pPr>
            <w:r>
              <w:rPr/>
              <w:t> </w:t>
            </w:r>
          </w:p>
        </w:tc>
        <w:tc>
          <w:tcPr>
            <w:tcW w:w="1065" w:type="dxa"/>
            <w:tcBorders/>
            <w:shd w:fill="CCEEFF" w:val="clear"/>
            <w:vAlign w:val="center"/>
          </w:tcPr>
          <w:p>
            <w:pPr>
              <w:pStyle w:val="TableContents"/>
              <w:spacing w:before="0" w:after="283"/>
              <w:jc w:val="right"/>
              <w:rPr/>
            </w:pPr>
            <w:r>
              <w:rPr/>
              <w:t>1,049</w:t>
            </w:r>
          </w:p>
        </w:tc>
        <w:tc>
          <w:tcPr>
            <w:tcW w:w="170" w:type="dxa"/>
            <w:tcBorders/>
            <w:shd w:fill="CCEEFF" w:val="clear"/>
            <w:vAlign w:val="center"/>
          </w:tcPr>
          <w:p>
            <w:pPr>
              <w:pStyle w:val="TableContents"/>
              <w:spacing w:before="0" w:after="283"/>
              <w:rPr/>
            </w:pPr>
            <w:r>
              <w:rPr/>
              <w:t> </w:t>
            </w:r>
          </w:p>
        </w:tc>
      </w:tr>
      <w:tr>
        <w:trPr/>
        <w:tc>
          <w:tcPr>
            <w:tcW w:w="5780" w:type="dxa"/>
            <w:tcBorders/>
            <w:shd w:fill="auto" w:val="clear"/>
            <w:vAlign w:val="center"/>
          </w:tcPr>
          <w:p>
            <w:pPr>
              <w:pStyle w:val="TableContents"/>
              <w:spacing w:before="0" w:after="0"/>
              <w:rPr>
                <w:rFonts w:ascii="Times New Roman" w:hAnsi="Times New Roman"/>
                <w:spacing w:val="0"/>
                <w:sz w:val="16"/>
              </w:rPr>
            </w:pPr>
            <w:r>
              <w:rPr>
                <w:rFonts w:ascii="Times New Roman" w:hAnsi="Times New Roman"/>
                <w:spacing w:val="0"/>
                <w:sz w:val="16"/>
              </w:rPr>
              <w:t>Changes in assets and liabilities:</w:t>
            </w:r>
          </w:p>
        </w:tc>
        <w:tc>
          <w:tcPr>
            <w:tcW w:w="12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 </w:t>
            </w:r>
          </w:p>
        </w:tc>
        <w:tc>
          <w:tcPr>
            <w:tcW w:w="1065" w:type="dxa"/>
            <w:tcBorders/>
            <w:shd w:fill="auto" w:val="clear"/>
            <w:vAlign w:val="center"/>
          </w:tcPr>
          <w:p>
            <w:pPr>
              <w:pStyle w:val="TableContents"/>
              <w:spacing w:before="0" w:after="283"/>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 </w:t>
            </w:r>
          </w:p>
        </w:tc>
        <w:tc>
          <w:tcPr>
            <w:tcW w:w="1065" w:type="dxa"/>
            <w:tcBorders/>
            <w:shd w:fill="auto" w:val="clear"/>
            <w:vAlign w:val="center"/>
          </w:tcPr>
          <w:p>
            <w:pPr>
              <w:pStyle w:val="TableContents"/>
              <w:spacing w:before="0" w:after="283"/>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 </w:t>
            </w:r>
          </w:p>
        </w:tc>
        <w:tc>
          <w:tcPr>
            <w:tcW w:w="106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 </w:t>
            </w:r>
          </w:p>
        </w:tc>
      </w:tr>
      <w:tr>
        <w:trPr/>
        <w:tc>
          <w:tcPr>
            <w:tcW w:w="5780" w:type="dxa"/>
            <w:tcBorders/>
            <w:shd w:fill="CCEEFF" w:val="clear"/>
            <w:vAlign w:val="center"/>
          </w:tcPr>
          <w:p>
            <w:pPr>
              <w:pStyle w:val="TableContents"/>
              <w:spacing w:before="0" w:after="0"/>
              <w:rPr>
                <w:rFonts w:ascii="Times New Roman" w:hAnsi="Times New Roman"/>
                <w:spacing w:val="0"/>
                <w:sz w:val="16"/>
              </w:rPr>
            </w:pPr>
            <w:r>
              <w:rPr>
                <w:rFonts w:ascii="Times New Roman" w:hAnsi="Times New Roman"/>
                <w:spacing w:val="0"/>
                <w:sz w:val="16"/>
              </w:rPr>
              <w:t>Inventories</w:t>
            </w:r>
          </w:p>
        </w:tc>
        <w:tc>
          <w:tcPr>
            <w:tcW w:w="120" w:type="dxa"/>
            <w:tcBorders/>
            <w:shd w:fill="CCEEFF" w:val="clear"/>
            <w:vAlign w:val="center"/>
          </w:tcPr>
          <w:p>
            <w:pPr>
              <w:pStyle w:val="TableContents"/>
              <w:spacing w:before="0" w:after="283"/>
              <w:rPr/>
            </w:pPr>
            <w:r>
              <w:rPr/>
              <w:t>  </w:t>
            </w:r>
          </w:p>
        </w:tc>
        <w:tc>
          <w:tcPr>
            <w:tcW w:w="170" w:type="dxa"/>
            <w:tcBorders/>
            <w:shd w:fill="CCEEFF" w:val="clear"/>
            <w:vAlign w:val="center"/>
          </w:tcPr>
          <w:p>
            <w:pPr>
              <w:pStyle w:val="TableContents"/>
              <w:spacing w:before="0" w:after="283"/>
              <w:rPr/>
            </w:pPr>
            <w:r>
              <w:rPr/>
              <w:t> </w:t>
            </w:r>
          </w:p>
        </w:tc>
        <w:tc>
          <w:tcPr>
            <w:tcW w:w="1065" w:type="dxa"/>
            <w:tcBorders/>
            <w:shd w:fill="CCEEFF" w:val="clear"/>
            <w:vAlign w:val="center"/>
          </w:tcPr>
          <w:p>
            <w:pPr>
              <w:pStyle w:val="TableContents"/>
              <w:spacing w:before="0" w:after="283"/>
              <w:jc w:val="right"/>
              <w:rPr/>
            </w:pPr>
            <w:r>
              <w:rPr/>
              <w:t>10,670</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70" w:type="dxa"/>
            <w:tcBorders/>
            <w:shd w:fill="CCEEFF" w:val="clear"/>
            <w:vAlign w:val="center"/>
          </w:tcPr>
          <w:p>
            <w:pPr>
              <w:pStyle w:val="TableContents"/>
              <w:spacing w:before="0" w:after="283"/>
              <w:rPr/>
            </w:pPr>
            <w:r>
              <w:rPr/>
              <w:t> </w:t>
            </w:r>
          </w:p>
        </w:tc>
        <w:tc>
          <w:tcPr>
            <w:tcW w:w="1065" w:type="dxa"/>
            <w:tcBorders/>
            <w:shd w:fill="CCEEFF" w:val="clear"/>
            <w:vAlign w:val="center"/>
          </w:tcPr>
          <w:p>
            <w:pPr>
              <w:pStyle w:val="TableContents"/>
              <w:spacing w:before="0" w:after="283"/>
              <w:jc w:val="right"/>
              <w:rPr/>
            </w:pPr>
            <w:r>
              <w:rPr/>
              <w:t>(7,162</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70" w:type="dxa"/>
            <w:tcBorders/>
            <w:shd w:fill="CCEEFF" w:val="clear"/>
            <w:vAlign w:val="center"/>
          </w:tcPr>
          <w:p>
            <w:pPr>
              <w:pStyle w:val="TableContents"/>
              <w:spacing w:before="0" w:after="283"/>
              <w:rPr/>
            </w:pPr>
            <w:r>
              <w:rPr/>
              <w:t> </w:t>
            </w:r>
          </w:p>
        </w:tc>
        <w:tc>
          <w:tcPr>
            <w:tcW w:w="1065" w:type="dxa"/>
            <w:tcBorders/>
            <w:shd w:fill="CCEEFF" w:val="clear"/>
            <w:vAlign w:val="center"/>
          </w:tcPr>
          <w:p>
            <w:pPr>
              <w:pStyle w:val="TableContents"/>
              <w:spacing w:before="0" w:after="283"/>
              <w:jc w:val="right"/>
              <w:rPr/>
            </w:pPr>
            <w:r>
              <w:rPr/>
              <w:t>245</w:t>
            </w:r>
          </w:p>
        </w:tc>
        <w:tc>
          <w:tcPr>
            <w:tcW w:w="170" w:type="dxa"/>
            <w:tcBorders/>
            <w:shd w:fill="CCEEFF" w:val="clear"/>
            <w:vAlign w:val="center"/>
          </w:tcPr>
          <w:p>
            <w:pPr>
              <w:pStyle w:val="TableContents"/>
              <w:spacing w:before="0" w:after="283"/>
              <w:rPr/>
            </w:pPr>
            <w:r>
              <w:rPr/>
              <w:t> </w:t>
            </w:r>
          </w:p>
        </w:tc>
      </w:tr>
      <w:tr>
        <w:trPr/>
        <w:tc>
          <w:tcPr>
            <w:tcW w:w="5780" w:type="dxa"/>
            <w:tcBorders/>
            <w:shd w:fill="auto" w:val="clear"/>
            <w:vAlign w:val="center"/>
          </w:tcPr>
          <w:p>
            <w:pPr>
              <w:pStyle w:val="TableContents"/>
              <w:spacing w:before="0" w:after="0"/>
              <w:rPr>
                <w:rFonts w:ascii="Times New Roman" w:hAnsi="Times New Roman"/>
                <w:spacing w:val="0"/>
                <w:sz w:val="16"/>
              </w:rPr>
            </w:pPr>
            <w:r>
              <w:rPr>
                <w:rFonts w:ascii="Times New Roman" w:hAnsi="Times New Roman"/>
                <w:spacing w:val="0"/>
                <w:sz w:val="16"/>
              </w:rPr>
              <w:t>Prepaid expenses</w:t>
            </w:r>
          </w:p>
        </w:tc>
        <w:tc>
          <w:tcPr>
            <w:tcW w:w="12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 </w:t>
            </w:r>
          </w:p>
        </w:tc>
        <w:tc>
          <w:tcPr>
            <w:tcW w:w="1065" w:type="dxa"/>
            <w:tcBorders/>
            <w:shd w:fill="auto" w:val="clear"/>
            <w:vAlign w:val="center"/>
          </w:tcPr>
          <w:p>
            <w:pPr>
              <w:pStyle w:val="TableContents"/>
              <w:spacing w:before="0" w:after="283"/>
              <w:jc w:val="right"/>
              <w:rPr/>
            </w:pPr>
            <w:r>
              <w:rPr/>
              <w:t>2,993</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 </w:t>
            </w:r>
          </w:p>
        </w:tc>
        <w:tc>
          <w:tcPr>
            <w:tcW w:w="1065" w:type="dxa"/>
            <w:tcBorders/>
            <w:shd w:fill="auto" w:val="clear"/>
            <w:vAlign w:val="center"/>
          </w:tcPr>
          <w:p>
            <w:pPr>
              <w:pStyle w:val="TableContents"/>
              <w:spacing w:before="0" w:after="283"/>
              <w:jc w:val="right"/>
              <w:rPr/>
            </w:pPr>
            <w:r>
              <w:rPr/>
              <w:t>(2,162</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 </w:t>
            </w:r>
          </w:p>
        </w:tc>
        <w:tc>
          <w:tcPr>
            <w:tcW w:w="1065" w:type="dxa"/>
            <w:tcBorders/>
            <w:shd w:fill="auto" w:val="clear"/>
            <w:vAlign w:val="center"/>
          </w:tcPr>
          <w:p>
            <w:pPr>
              <w:pStyle w:val="TableContents"/>
              <w:spacing w:before="0" w:after="283"/>
              <w:jc w:val="right"/>
              <w:rPr/>
            </w:pPr>
            <w:r>
              <w:rPr/>
              <w:t>(1,661</w:t>
            </w:r>
          </w:p>
        </w:tc>
        <w:tc>
          <w:tcPr>
            <w:tcW w:w="170" w:type="dxa"/>
            <w:tcBorders/>
            <w:shd w:fill="auto" w:val="clear"/>
            <w:vAlign w:val="center"/>
          </w:tcPr>
          <w:p>
            <w:pPr>
              <w:pStyle w:val="TableContents"/>
              <w:spacing w:before="0" w:after="283"/>
              <w:rPr/>
            </w:pPr>
            <w:r>
              <w:rPr/>
              <w:t>) </w:t>
            </w:r>
          </w:p>
        </w:tc>
      </w:tr>
      <w:tr>
        <w:trPr/>
        <w:tc>
          <w:tcPr>
            <w:tcW w:w="5780" w:type="dxa"/>
            <w:tcBorders/>
            <w:shd w:fill="CCEEFF" w:val="clear"/>
            <w:vAlign w:val="center"/>
          </w:tcPr>
          <w:p>
            <w:pPr>
              <w:pStyle w:val="TableContents"/>
              <w:spacing w:before="0" w:after="0"/>
              <w:rPr>
                <w:rFonts w:ascii="Times New Roman" w:hAnsi="Times New Roman"/>
                <w:spacing w:val="0"/>
                <w:sz w:val="16"/>
              </w:rPr>
            </w:pPr>
            <w:r>
              <w:rPr>
                <w:rFonts w:ascii="Times New Roman" w:hAnsi="Times New Roman"/>
                <w:spacing w:val="0"/>
                <w:sz w:val="16"/>
              </w:rPr>
              <w:t>Income tax receivable</w:t>
            </w:r>
          </w:p>
        </w:tc>
        <w:tc>
          <w:tcPr>
            <w:tcW w:w="120" w:type="dxa"/>
            <w:tcBorders/>
            <w:shd w:fill="CCEEFF" w:val="clear"/>
            <w:vAlign w:val="center"/>
          </w:tcPr>
          <w:p>
            <w:pPr>
              <w:pStyle w:val="TableContents"/>
              <w:spacing w:before="0" w:after="283"/>
              <w:rPr/>
            </w:pPr>
            <w:r>
              <w:rPr/>
              <w:t>  </w:t>
            </w:r>
          </w:p>
        </w:tc>
        <w:tc>
          <w:tcPr>
            <w:tcW w:w="170" w:type="dxa"/>
            <w:tcBorders/>
            <w:shd w:fill="CCEEFF" w:val="clear"/>
            <w:vAlign w:val="center"/>
          </w:tcPr>
          <w:p>
            <w:pPr>
              <w:pStyle w:val="TableContents"/>
              <w:spacing w:before="0" w:after="283"/>
              <w:rPr/>
            </w:pPr>
            <w:r>
              <w:rPr/>
              <w:t> </w:t>
            </w:r>
          </w:p>
        </w:tc>
        <w:tc>
          <w:tcPr>
            <w:tcW w:w="1065" w:type="dxa"/>
            <w:tcBorders/>
            <w:shd w:fill="CCEEFF" w:val="clear"/>
            <w:vAlign w:val="center"/>
          </w:tcPr>
          <w:p>
            <w:pPr>
              <w:pStyle w:val="TableContents"/>
              <w:spacing w:before="0" w:after="283"/>
              <w:jc w:val="right"/>
              <w:rPr/>
            </w:pPr>
            <w:r>
              <w:rPr/>
              <w:t>(67,733</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70" w:type="dxa"/>
            <w:tcBorders/>
            <w:shd w:fill="CCEEFF" w:val="clear"/>
            <w:vAlign w:val="center"/>
          </w:tcPr>
          <w:p>
            <w:pPr>
              <w:pStyle w:val="TableContents"/>
              <w:spacing w:before="0" w:after="283"/>
              <w:rPr/>
            </w:pPr>
            <w:r>
              <w:rPr/>
              <w:t> </w:t>
            </w:r>
          </w:p>
        </w:tc>
        <w:tc>
          <w:tcPr>
            <w:tcW w:w="1065" w:type="dxa"/>
            <w:tcBorders/>
            <w:shd w:fill="CCEEFF" w:val="clear"/>
            <w:vAlign w:val="center"/>
          </w:tcPr>
          <w:p>
            <w:pPr>
              <w:pStyle w:val="TableContents"/>
              <w:spacing w:before="0" w:after="283"/>
              <w:jc w:val="right"/>
              <w:rPr/>
            </w:pPr>
            <w:r>
              <w:rPr/>
              <w:t>(451</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70" w:type="dxa"/>
            <w:tcBorders/>
            <w:shd w:fill="CCEEFF" w:val="clear"/>
            <w:vAlign w:val="center"/>
          </w:tcPr>
          <w:p>
            <w:pPr>
              <w:pStyle w:val="TableContents"/>
              <w:spacing w:before="0" w:after="283"/>
              <w:rPr/>
            </w:pPr>
            <w:r>
              <w:rPr/>
              <w:t> </w:t>
            </w:r>
          </w:p>
        </w:tc>
        <w:tc>
          <w:tcPr>
            <w:tcW w:w="1065" w:type="dxa"/>
            <w:tcBorders/>
            <w:shd w:fill="CCEEFF" w:val="clear"/>
            <w:vAlign w:val="center"/>
          </w:tcPr>
          <w:p>
            <w:pPr>
              <w:pStyle w:val="TableContents"/>
              <w:spacing w:before="0" w:after="283"/>
              <w:jc w:val="right"/>
              <w:rPr/>
            </w:pPr>
            <w:r>
              <w:rPr/>
              <w:t>2,987</w:t>
            </w:r>
          </w:p>
        </w:tc>
        <w:tc>
          <w:tcPr>
            <w:tcW w:w="170" w:type="dxa"/>
            <w:tcBorders/>
            <w:shd w:fill="CCEEFF" w:val="clear"/>
            <w:vAlign w:val="center"/>
          </w:tcPr>
          <w:p>
            <w:pPr>
              <w:pStyle w:val="TableContents"/>
              <w:spacing w:before="0" w:after="283"/>
              <w:rPr/>
            </w:pPr>
            <w:r>
              <w:rPr/>
              <w:t> </w:t>
            </w:r>
          </w:p>
        </w:tc>
      </w:tr>
      <w:tr>
        <w:trPr/>
        <w:tc>
          <w:tcPr>
            <w:tcW w:w="5780" w:type="dxa"/>
            <w:tcBorders/>
            <w:shd w:fill="auto" w:val="clear"/>
            <w:vAlign w:val="center"/>
          </w:tcPr>
          <w:p>
            <w:pPr>
              <w:pStyle w:val="TableContents"/>
              <w:spacing w:before="0" w:after="0"/>
              <w:rPr>
                <w:rFonts w:ascii="Times New Roman" w:hAnsi="Times New Roman"/>
                <w:spacing w:val="0"/>
                <w:sz w:val="16"/>
              </w:rPr>
            </w:pPr>
            <w:r>
              <w:rPr>
                <w:rFonts w:ascii="Times New Roman" w:hAnsi="Times New Roman"/>
                <w:spacing w:val="0"/>
                <w:sz w:val="16"/>
              </w:rPr>
              <w:t>Other current assets</w:t>
            </w:r>
          </w:p>
        </w:tc>
        <w:tc>
          <w:tcPr>
            <w:tcW w:w="12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 </w:t>
            </w:r>
          </w:p>
        </w:tc>
        <w:tc>
          <w:tcPr>
            <w:tcW w:w="1065" w:type="dxa"/>
            <w:tcBorders/>
            <w:shd w:fill="auto" w:val="clear"/>
            <w:vAlign w:val="center"/>
          </w:tcPr>
          <w:p>
            <w:pPr>
              <w:pStyle w:val="TableContents"/>
              <w:spacing w:before="0" w:after="283"/>
              <w:jc w:val="right"/>
              <w:rPr/>
            </w:pPr>
            <w:r>
              <w:rPr/>
              <w:t>2,014</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 </w:t>
            </w:r>
          </w:p>
        </w:tc>
        <w:tc>
          <w:tcPr>
            <w:tcW w:w="1065" w:type="dxa"/>
            <w:tcBorders/>
            <w:shd w:fill="auto" w:val="clear"/>
            <w:vAlign w:val="center"/>
          </w:tcPr>
          <w:p>
            <w:pPr>
              <w:pStyle w:val="TableContents"/>
              <w:spacing w:before="0" w:after="283"/>
              <w:jc w:val="right"/>
              <w:rPr/>
            </w:pPr>
            <w:r>
              <w:rPr/>
              <w:t>5,320</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 </w:t>
            </w:r>
          </w:p>
        </w:tc>
        <w:tc>
          <w:tcPr>
            <w:tcW w:w="1065" w:type="dxa"/>
            <w:tcBorders/>
            <w:shd w:fill="auto" w:val="clear"/>
            <w:vAlign w:val="center"/>
          </w:tcPr>
          <w:p>
            <w:pPr>
              <w:pStyle w:val="TableContents"/>
              <w:spacing w:before="0" w:after="283"/>
              <w:jc w:val="right"/>
              <w:rPr/>
            </w:pPr>
            <w:r>
              <w:rPr/>
              <w:t>4,705</w:t>
            </w:r>
          </w:p>
        </w:tc>
        <w:tc>
          <w:tcPr>
            <w:tcW w:w="170" w:type="dxa"/>
            <w:tcBorders/>
            <w:shd w:fill="auto" w:val="clear"/>
            <w:vAlign w:val="center"/>
          </w:tcPr>
          <w:p>
            <w:pPr>
              <w:pStyle w:val="TableContents"/>
              <w:spacing w:before="0" w:after="283"/>
              <w:rPr/>
            </w:pPr>
            <w:r>
              <w:rPr/>
              <w:t> </w:t>
            </w:r>
          </w:p>
        </w:tc>
      </w:tr>
      <w:tr>
        <w:trPr/>
        <w:tc>
          <w:tcPr>
            <w:tcW w:w="5780" w:type="dxa"/>
            <w:tcBorders/>
            <w:shd w:fill="CCEEFF" w:val="clear"/>
            <w:vAlign w:val="center"/>
          </w:tcPr>
          <w:p>
            <w:pPr>
              <w:pStyle w:val="TableContents"/>
              <w:spacing w:before="0" w:after="0"/>
              <w:rPr>
                <w:rFonts w:ascii="Times New Roman" w:hAnsi="Times New Roman"/>
                <w:spacing w:val="0"/>
                <w:sz w:val="16"/>
              </w:rPr>
            </w:pPr>
            <w:r>
              <w:rPr>
                <w:rFonts w:ascii="Times New Roman" w:hAnsi="Times New Roman"/>
                <w:spacing w:val="0"/>
                <w:sz w:val="16"/>
              </w:rPr>
              <w:t>Other assets and deferred charges</w:t>
            </w:r>
          </w:p>
        </w:tc>
        <w:tc>
          <w:tcPr>
            <w:tcW w:w="120" w:type="dxa"/>
            <w:tcBorders/>
            <w:shd w:fill="CCEEFF" w:val="clear"/>
            <w:vAlign w:val="center"/>
          </w:tcPr>
          <w:p>
            <w:pPr>
              <w:pStyle w:val="TableContents"/>
              <w:spacing w:before="0" w:after="283"/>
              <w:rPr/>
            </w:pPr>
            <w:r>
              <w:rPr/>
              <w:t>  </w:t>
            </w:r>
          </w:p>
        </w:tc>
        <w:tc>
          <w:tcPr>
            <w:tcW w:w="170" w:type="dxa"/>
            <w:tcBorders/>
            <w:shd w:fill="CCEEFF" w:val="clear"/>
            <w:vAlign w:val="center"/>
          </w:tcPr>
          <w:p>
            <w:pPr>
              <w:pStyle w:val="TableContents"/>
              <w:spacing w:before="0" w:after="283"/>
              <w:rPr/>
            </w:pPr>
            <w:r>
              <w:rPr/>
              <w:t> </w:t>
            </w:r>
          </w:p>
        </w:tc>
        <w:tc>
          <w:tcPr>
            <w:tcW w:w="1065" w:type="dxa"/>
            <w:tcBorders/>
            <w:shd w:fill="CCEEFF" w:val="clear"/>
            <w:vAlign w:val="center"/>
          </w:tcPr>
          <w:p>
            <w:pPr>
              <w:pStyle w:val="TableContents"/>
              <w:spacing w:before="0" w:after="283"/>
              <w:jc w:val="right"/>
              <w:rPr/>
            </w:pPr>
            <w:r>
              <w:rPr/>
              <w:t>484</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70" w:type="dxa"/>
            <w:tcBorders/>
            <w:shd w:fill="CCEEFF" w:val="clear"/>
            <w:vAlign w:val="center"/>
          </w:tcPr>
          <w:p>
            <w:pPr>
              <w:pStyle w:val="TableContents"/>
              <w:spacing w:before="0" w:after="283"/>
              <w:rPr/>
            </w:pPr>
            <w:r>
              <w:rPr/>
              <w:t> </w:t>
            </w:r>
          </w:p>
        </w:tc>
        <w:tc>
          <w:tcPr>
            <w:tcW w:w="1065" w:type="dxa"/>
            <w:tcBorders/>
            <w:shd w:fill="CCEEFF" w:val="clear"/>
            <w:vAlign w:val="center"/>
          </w:tcPr>
          <w:p>
            <w:pPr>
              <w:pStyle w:val="TableContents"/>
              <w:spacing w:before="0" w:after="283"/>
              <w:jc w:val="right"/>
              <w:rPr/>
            </w:pPr>
            <w:r>
              <w:rPr/>
              <w:t>(1,017</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70" w:type="dxa"/>
            <w:tcBorders/>
            <w:shd w:fill="CCEEFF" w:val="clear"/>
            <w:vAlign w:val="center"/>
          </w:tcPr>
          <w:p>
            <w:pPr>
              <w:pStyle w:val="TableContents"/>
              <w:spacing w:before="0" w:after="283"/>
              <w:rPr/>
            </w:pPr>
            <w:r>
              <w:rPr/>
              <w:t> </w:t>
            </w:r>
          </w:p>
        </w:tc>
        <w:tc>
          <w:tcPr>
            <w:tcW w:w="1065" w:type="dxa"/>
            <w:tcBorders/>
            <w:shd w:fill="CCEEFF" w:val="clear"/>
            <w:vAlign w:val="center"/>
          </w:tcPr>
          <w:p>
            <w:pPr>
              <w:pStyle w:val="TableContents"/>
              <w:spacing w:before="0" w:after="283"/>
              <w:jc w:val="right"/>
              <w:rPr/>
            </w:pPr>
            <w:r>
              <w:rPr/>
              <w:t>(2,523</w:t>
            </w:r>
          </w:p>
        </w:tc>
        <w:tc>
          <w:tcPr>
            <w:tcW w:w="170" w:type="dxa"/>
            <w:tcBorders/>
            <w:shd w:fill="CCEEFF" w:val="clear"/>
            <w:vAlign w:val="center"/>
          </w:tcPr>
          <w:p>
            <w:pPr>
              <w:pStyle w:val="TableContents"/>
              <w:spacing w:before="0" w:after="283"/>
              <w:rPr/>
            </w:pPr>
            <w:r>
              <w:rPr/>
              <w:t>) </w:t>
            </w:r>
          </w:p>
        </w:tc>
      </w:tr>
      <w:tr>
        <w:trPr/>
        <w:tc>
          <w:tcPr>
            <w:tcW w:w="5780" w:type="dxa"/>
            <w:tcBorders/>
            <w:shd w:fill="auto" w:val="clear"/>
            <w:vAlign w:val="center"/>
          </w:tcPr>
          <w:p>
            <w:pPr>
              <w:pStyle w:val="TableContents"/>
              <w:spacing w:before="0" w:after="0"/>
              <w:rPr>
                <w:rFonts w:ascii="Times New Roman" w:hAnsi="Times New Roman"/>
                <w:spacing w:val="0"/>
                <w:sz w:val="16"/>
              </w:rPr>
            </w:pPr>
            <w:r>
              <w:rPr>
                <w:rFonts w:ascii="Times New Roman" w:hAnsi="Times New Roman"/>
                <w:spacing w:val="0"/>
                <w:sz w:val="16"/>
              </w:rPr>
              <w:t>Accounts payable</w:t>
            </w:r>
          </w:p>
        </w:tc>
        <w:tc>
          <w:tcPr>
            <w:tcW w:w="12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 </w:t>
            </w:r>
          </w:p>
        </w:tc>
        <w:tc>
          <w:tcPr>
            <w:tcW w:w="1065" w:type="dxa"/>
            <w:tcBorders/>
            <w:shd w:fill="auto" w:val="clear"/>
            <w:vAlign w:val="center"/>
          </w:tcPr>
          <w:p>
            <w:pPr>
              <w:pStyle w:val="TableContents"/>
              <w:spacing w:before="0" w:after="283"/>
              <w:jc w:val="right"/>
              <w:rPr/>
            </w:pPr>
            <w:r>
              <w:rPr/>
              <w:t>(9,576</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 </w:t>
            </w:r>
          </w:p>
        </w:tc>
        <w:tc>
          <w:tcPr>
            <w:tcW w:w="1065" w:type="dxa"/>
            <w:tcBorders/>
            <w:shd w:fill="auto" w:val="clear"/>
            <w:vAlign w:val="center"/>
          </w:tcPr>
          <w:p>
            <w:pPr>
              <w:pStyle w:val="TableContents"/>
              <w:spacing w:before="0" w:after="283"/>
              <w:jc w:val="right"/>
              <w:rPr/>
            </w:pPr>
            <w:r>
              <w:rPr/>
              <w:t>2,026</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 </w:t>
            </w:r>
          </w:p>
        </w:tc>
        <w:tc>
          <w:tcPr>
            <w:tcW w:w="1065" w:type="dxa"/>
            <w:tcBorders/>
            <w:shd w:fill="auto" w:val="clear"/>
            <w:vAlign w:val="center"/>
          </w:tcPr>
          <w:p>
            <w:pPr>
              <w:pStyle w:val="TableContents"/>
              <w:spacing w:before="0" w:after="283"/>
              <w:jc w:val="right"/>
              <w:rPr/>
            </w:pPr>
            <w:r>
              <w:rPr/>
              <w:t>11,122</w:t>
            </w:r>
          </w:p>
        </w:tc>
        <w:tc>
          <w:tcPr>
            <w:tcW w:w="170" w:type="dxa"/>
            <w:tcBorders/>
            <w:shd w:fill="auto" w:val="clear"/>
            <w:vAlign w:val="center"/>
          </w:tcPr>
          <w:p>
            <w:pPr>
              <w:pStyle w:val="TableContents"/>
              <w:spacing w:before="0" w:after="283"/>
              <w:rPr/>
            </w:pPr>
            <w:r>
              <w:rPr/>
              <w:t> </w:t>
            </w:r>
          </w:p>
        </w:tc>
      </w:tr>
      <w:tr>
        <w:trPr/>
        <w:tc>
          <w:tcPr>
            <w:tcW w:w="5780" w:type="dxa"/>
            <w:tcBorders/>
            <w:shd w:fill="CCEEFF" w:val="clear"/>
            <w:vAlign w:val="center"/>
          </w:tcPr>
          <w:p>
            <w:pPr>
              <w:pStyle w:val="TableContents"/>
              <w:spacing w:before="0" w:after="0"/>
              <w:rPr>
                <w:rFonts w:ascii="Times New Roman" w:hAnsi="Times New Roman"/>
                <w:spacing w:val="0"/>
                <w:sz w:val="16"/>
              </w:rPr>
            </w:pPr>
            <w:r>
              <w:rPr>
                <w:rFonts w:ascii="Times New Roman" w:hAnsi="Times New Roman"/>
                <w:spacing w:val="0"/>
                <w:sz w:val="16"/>
              </w:rPr>
              <w:t>Accrued liabilities</w:t>
            </w:r>
          </w:p>
        </w:tc>
        <w:tc>
          <w:tcPr>
            <w:tcW w:w="120" w:type="dxa"/>
            <w:tcBorders/>
            <w:shd w:fill="CCEEFF" w:val="clear"/>
            <w:vAlign w:val="center"/>
          </w:tcPr>
          <w:p>
            <w:pPr>
              <w:pStyle w:val="TableContents"/>
              <w:spacing w:before="0" w:after="283"/>
              <w:rPr/>
            </w:pPr>
            <w:r>
              <w:rPr/>
              <w:t>  </w:t>
            </w:r>
          </w:p>
        </w:tc>
        <w:tc>
          <w:tcPr>
            <w:tcW w:w="170" w:type="dxa"/>
            <w:tcBorders/>
            <w:shd w:fill="CCEEFF" w:val="clear"/>
            <w:vAlign w:val="center"/>
          </w:tcPr>
          <w:p>
            <w:pPr>
              <w:pStyle w:val="TableContents"/>
              <w:spacing w:before="0" w:after="283"/>
              <w:rPr/>
            </w:pPr>
            <w:r>
              <w:rPr/>
              <w:t> </w:t>
            </w:r>
          </w:p>
        </w:tc>
        <w:tc>
          <w:tcPr>
            <w:tcW w:w="1065" w:type="dxa"/>
            <w:tcBorders/>
            <w:shd w:fill="CCEEFF" w:val="clear"/>
            <w:vAlign w:val="center"/>
          </w:tcPr>
          <w:p>
            <w:pPr>
              <w:pStyle w:val="TableContents"/>
              <w:spacing w:before="0" w:after="283"/>
              <w:jc w:val="right"/>
              <w:rPr/>
            </w:pPr>
            <w:r>
              <w:rPr/>
              <w:t>56,757</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70" w:type="dxa"/>
            <w:tcBorders/>
            <w:shd w:fill="CCEEFF" w:val="clear"/>
            <w:vAlign w:val="center"/>
          </w:tcPr>
          <w:p>
            <w:pPr>
              <w:pStyle w:val="TableContents"/>
              <w:spacing w:before="0" w:after="283"/>
              <w:rPr/>
            </w:pPr>
            <w:r>
              <w:rPr/>
              <w:t> </w:t>
            </w:r>
          </w:p>
        </w:tc>
        <w:tc>
          <w:tcPr>
            <w:tcW w:w="1065" w:type="dxa"/>
            <w:tcBorders/>
            <w:shd w:fill="CCEEFF" w:val="clear"/>
            <w:vAlign w:val="center"/>
          </w:tcPr>
          <w:p>
            <w:pPr>
              <w:pStyle w:val="TableContents"/>
              <w:spacing w:before="0" w:after="283"/>
              <w:jc w:val="right"/>
              <w:rPr/>
            </w:pPr>
            <w:r>
              <w:rPr/>
              <w:t>47,896</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70" w:type="dxa"/>
            <w:tcBorders/>
            <w:shd w:fill="CCEEFF" w:val="clear"/>
            <w:vAlign w:val="center"/>
          </w:tcPr>
          <w:p>
            <w:pPr>
              <w:pStyle w:val="TableContents"/>
              <w:spacing w:before="0" w:after="283"/>
              <w:rPr/>
            </w:pPr>
            <w:r>
              <w:rPr/>
              <w:t> </w:t>
            </w:r>
          </w:p>
        </w:tc>
        <w:tc>
          <w:tcPr>
            <w:tcW w:w="1065" w:type="dxa"/>
            <w:tcBorders/>
            <w:shd w:fill="CCEEFF" w:val="clear"/>
            <w:vAlign w:val="center"/>
          </w:tcPr>
          <w:p>
            <w:pPr>
              <w:pStyle w:val="TableContents"/>
              <w:spacing w:before="0" w:after="283"/>
              <w:jc w:val="right"/>
              <w:rPr/>
            </w:pPr>
            <w:r>
              <w:rPr/>
              <w:t>21,329</w:t>
            </w:r>
          </w:p>
        </w:tc>
        <w:tc>
          <w:tcPr>
            <w:tcW w:w="170" w:type="dxa"/>
            <w:tcBorders/>
            <w:shd w:fill="CCEEFF" w:val="clear"/>
            <w:vAlign w:val="center"/>
          </w:tcPr>
          <w:p>
            <w:pPr>
              <w:pStyle w:val="TableContents"/>
              <w:spacing w:before="0" w:after="283"/>
              <w:rPr/>
            </w:pPr>
            <w:r>
              <w:rPr/>
              <w:t> </w:t>
            </w:r>
          </w:p>
        </w:tc>
      </w:tr>
      <w:tr>
        <w:trPr/>
        <w:tc>
          <w:tcPr>
            <w:tcW w:w="5780" w:type="dxa"/>
            <w:tcBorders/>
            <w:shd w:fill="auto" w:val="clear"/>
            <w:vAlign w:val="center"/>
          </w:tcPr>
          <w:p>
            <w:pPr>
              <w:pStyle w:val="TableContents"/>
              <w:spacing w:before="0" w:after="0"/>
              <w:rPr>
                <w:rFonts w:ascii="Times New Roman" w:hAnsi="Times New Roman"/>
                <w:spacing w:val="0"/>
                <w:sz w:val="16"/>
              </w:rPr>
            </w:pPr>
            <w:r>
              <w:rPr>
                <w:rFonts w:ascii="Times New Roman" w:hAnsi="Times New Roman"/>
                <w:spacing w:val="0"/>
                <w:sz w:val="16"/>
              </w:rPr>
              <w:t>Income taxes payable</w:t>
            </w:r>
          </w:p>
        </w:tc>
        <w:tc>
          <w:tcPr>
            <w:tcW w:w="12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 </w:t>
            </w:r>
          </w:p>
        </w:tc>
        <w:tc>
          <w:tcPr>
            <w:tcW w:w="1065" w:type="dxa"/>
            <w:tcBorders/>
            <w:shd w:fill="auto" w:val="clear"/>
            <w:vAlign w:val="center"/>
          </w:tcPr>
          <w:p>
            <w:pPr>
              <w:pStyle w:val="TableContents"/>
              <w:spacing w:before="0" w:after="283"/>
              <w:jc w:val="right"/>
              <w:rPr/>
            </w:pPr>
            <w:r>
              <w:rPr/>
              <w:t>(2,608</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 </w:t>
            </w:r>
          </w:p>
        </w:tc>
        <w:tc>
          <w:tcPr>
            <w:tcW w:w="1065" w:type="dxa"/>
            <w:tcBorders/>
            <w:shd w:fill="auto" w:val="clear"/>
            <w:vAlign w:val="center"/>
          </w:tcPr>
          <w:p>
            <w:pPr>
              <w:pStyle w:val="TableContents"/>
              <w:spacing w:before="0" w:after="283"/>
              <w:jc w:val="right"/>
              <w:rPr/>
            </w:pPr>
            <w:r>
              <w:rPr/>
              <w:t>(8,745</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 </w:t>
            </w:r>
          </w:p>
        </w:tc>
        <w:tc>
          <w:tcPr>
            <w:tcW w:w="1065" w:type="dxa"/>
            <w:tcBorders/>
            <w:shd w:fill="auto" w:val="clear"/>
            <w:vAlign w:val="center"/>
          </w:tcPr>
          <w:p>
            <w:pPr>
              <w:pStyle w:val="TableContents"/>
              <w:spacing w:before="0" w:after="283"/>
              <w:jc w:val="right"/>
              <w:rPr/>
            </w:pPr>
            <w:r>
              <w:rPr/>
              <w:t>8,762</w:t>
            </w:r>
          </w:p>
        </w:tc>
        <w:tc>
          <w:tcPr>
            <w:tcW w:w="170" w:type="dxa"/>
            <w:tcBorders/>
            <w:shd w:fill="auto" w:val="clear"/>
            <w:vAlign w:val="center"/>
          </w:tcPr>
          <w:p>
            <w:pPr>
              <w:pStyle w:val="TableContents"/>
              <w:spacing w:before="0" w:after="283"/>
              <w:rPr/>
            </w:pPr>
            <w:r>
              <w:rPr/>
              <w:t> </w:t>
            </w:r>
          </w:p>
        </w:tc>
      </w:tr>
      <w:tr>
        <w:trPr/>
        <w:tc>
          <w:tcPr>
            <w:tcW w:w="5780" w:type="dxa"/>
            <w:tcBorders/>
            <w:shd w:fill="CCEEFF" w:val="clear"/>
            <w:vAlign w:val="center"/>
          </w:tcPr>
          <w:p>
            <w:pPr>
              <w:pStyle w:val="TableContents"/>
              <w:spacing w:before="0" w:after="0"/>
              <w:rPr>
                <w:rFonts w:ascii="Times New Roman" w:hAnsi="Times New Roman"/>
                <w:spacing w:val="0"/>
                <w:sz w:val="16"/>
              </w:rPr>
            </w:pPr>
            <w:r>
              <w:rPr>
                <w:rFonts w:ascii="Times New Roman" w:hAnsi="Times New Roman"/>
                <w:spacing w:val="0"/>
                <w:sz w:val="16"/>
              </w:rPr>
              <w:t>Deferred occupancy costs</w:t>
            </w:r>
          </w:p>
        </w:tc>
        <w:tc>
          <w:tcPr>
            <w:tcW w:w="120" w:type="dxa"/>
            <w:tcBorders/>
            <w:shd w:fill="CCEEFF" w:val="clear"/>
            <w:vAlign w:val="center"/>
          </w:tcPr>
          <w:p>
            <w:pPr>
              <w:pStyle w:val="TableContents"/>
              <w:spacing w:before="0" w:after="283"/>
              <w:rPr/>
            </w:pPr>
            <w:r>
              <w:rPr/>
              <w:t>  </w:t>
            </w:r>
          </w:p>
        </w:tc>
        <w:tc>
          <w:tcPr>
            <w:tcW w:w="170" w:type="dxa"/>
            <w:tcBorders/>
            <w:shd w:fill="CCEEFF" w:val="clear"/>
            <w:vAlign w:val="center"/>
          </w:tcPr>
          <w:p>
            <w:pPr>
              <w:pStyle w:val="TableContents"/>
              <w:spacing w:before="0" w:after="283"/>
              <w:rPr/>
            </w:pPr>
            <w:r>
              <w:rPr/>
              <w:t> </w:t>
            </w:r>
          </w:p>
        </w:tc>
        <w:tc>
          <w:tcPr>
            <w:tcW w:w="1065"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70" w:type="dxa"/>
            <w:tcBorders/>
            <w:shd w:fill="CCEEFF" w:val="clear"/>
            <w:vAlign w:val="center"/>
          </w:tcPr>
          <w:p>
            <w:pPr>
              <w:pStyle w:val="TableContents"/>
              <w:spacing w:before="0" w:after="283"/>
              <w:rPr/>
            </w:pPr>
            <w:r>
              <w:rPr/>
              <w:t> </w:t>
            </w:r>
          </w:p>
        </w:tc>
        <w:tc>
          <w:tcPr>
            <w:tcW w:w="1065"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70" w:type="dxa"/>
            <w:tcBorders/>
            <w:shd w:fill="CCEEFF" w:val="clear"/>
            <w:vAlign w:val="center"/>
          </w:tcPr>
          <w:p>
            <w:pPr>
              <w:pStyle w:val="TableContents"/>
              <w:spacing w:before="0" w:after="283"/>
              <w:rPr/>
            </w:pPr>
            <w:r>
              <w:rPr/>
              <w:t> </w:t>
            </w:r>
          </w:p>
        </w:tc>
        <w:tc>
          <w:tcPr>
            <w:tcW w:w="1065" w:type="dxa"/>
            <w:tcBorders/>
            <w:shd w:fill="CCEEFF" w:val="clear"/>
            <w:vAlign w:val="center"/>
          </w:tcPr>
          <w:p>
            <w:pPr>
              <w:pStyle w:val="TableContents"/>
              <w:spacing w:before="0" w:after="283"/>
              <w:jc w:val="right"/>
              <w:rPr/>
            </w:pPr>
            <w:r>
              <w:rPr/>
              <w:t>38,958</w:t>
            </w:r>
          </w:p>
        </w:tc>
        <w:tc>
          <w:tcPr>
            <w:tcW w:w="170" w:type="dxa"/>
            <w:tcBorders/>
            <w:shd w:fill="CCEEFF" w:val="clear"/>
            <w:vAlign w:val="center"/>
          </w:tcPr>
          <w:p>
            <w:pPr>
              <w:pStyle w:val="TableContents"/>
              <w:spacing w:before="0" w:after="283"/>
              <w:rPr/>
            </w:pPr>
            <w:r>
              <w:rPr/>
              <w:t> </w:t>
            </w:r>
          </w:p>
        </w:tc>
      </w:tr>
      <w:tr>
        <w:trPr/>
        <w:tc>
          <w:tcPr>
            <w:tcW w:w="5780" w:type="dxa"/>
            <w:tcBorders/>
            <w:shd w:fill="auto" w:val="clear"/>
            <w:vAlign w:val="center"/>
          </w:tcPr>
          <w:p>
            <w:pPr>
              <w:pStyle w:val="TableContents"/>
              <w:spacing w:before="0" w:after="0"/>
              <w:rPr>
                <w:rFonts w:ascii="Times New Roman" w:hAnsi="Times New Roman"/>
                <w:spacing w:val="0"/>
                <w:sz w:val="16"/>
              </w:rPr>
            </w:pPr>
            <w:r>
              <w:rPr>
                <w:rFonts w:ascii="Times New Roman" w:hAnsi="Times New Roman"/>
                <w:spacing w:val="0"/>
                <w:sz w:val="16"/>
              </w:rPr>
              <w:t>Other liabilities</w:t>
            </w:r>
          </w:p>
        </w:tc>
        <w:tc>
          <w:tcPr>
            <w:tcW w:w="12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 </w:t>
            </w:r>
          </w:p>
        </w:tc>
        <w:tc>
          <w:tcPr>
            <w:tcW w:w="1065" w:type="dxa"/>
            <w:tcBorders/>
            <w:shd w:fill="auto" w:val="clear"/>
            <w:vAlign w:val="center"/>
          </w:tcPr>
          <w:p>
            <w:pPr>
              <w:pStyle w:val="TableContents"/>
              <w:spacing w:before="0" w:after="283"/>
              <w:jc w:val="right"/>
              <w:rPr/>
            </w:pPr>
            <w:r>
              <w:rPr/>
              <w:t>604</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 </w:t>
            </w:r>
          </w:p>
        </w:tc>
        <w:tc>
          <w:tcPr>
            <w:tcW w:w="1065" w:type="dxa"/>
            <w:tcBorders/>
            <w:shd w:fill="auto" w:val="clear"/>
            <w:vAlign w:val="center"/>
          </w:tcPr>
          <w:p>
            <w:pPr>
              <w:pStyle w:val="TableContents"/>
              <w:spacing w:before="0" w:after="283"/>
              <w:jc w:val="right"/>
              <w:rPr/>
            </w:pPr>
            <w:r>
              <w:rPr/>
              <w:t>4,305</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 </w:t>
            </w:r>
          </w:p>
        </w:tc>
        <w:tc>
          <w:tcPr>
            <w:tcW w:w="1065" w:type="dxa"/>
            <w:tcBorders/>
            <w:shd w:fill="auto" w:val="clear"/>
            <w:vAlign w:val="center"/>
          </w:tcPr>
          <w:p>
            <w:pPr>
              <w:pStyle w:val="TableContents"/>
              <w:spacing w:before="0" w:after="283"/>
              <w:jc w:val="right"/>
              <w:rPr/>
            </w:pPr>
            <w:r>
              <w:rPr/>
              <w:t>3,130</w:t>
            </w:r>
          </w:p>
        </w:tc>
        <w:tc>
          <w:tcPr>
            <w:tcW w:w="170" w:type="dxa"/>
            <w:tcBorders/>
            <w:shd w:fill="auto" w:val="clear"/>
            <w:vAlign w:val="center"/>
          </w:tcPr>
          <w:p>
            <w:pPr>
              <w:pStyle w:val="TableContents"/>
              <w:spacing w:before="0" w:after="283"/>
              <w:rPr/>
            </w:pPr>
            <w:r>
              <w:rPr/>
              <w:t> </w:t>
            </w:r>
          </w:p>
        </w:tc>
      </w:tr>
      <w:tr>
        <w:trPr/>
        <w:tc>
          <w:tcPr>
            <w:tcW w:w="578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rPr>
                <w:bdr w:val="single" w:sz="2" w:space="1" w:color="000000"/>
              </w:rPr>
            </w:pPr>
            <w:r>
              <w:rPr>
                <w:bdr w:val="single" w:sz="2" w:space="1" w:color="000000"/>
              </w:rPr>
              <w:t> </w:t>
            </w:r>
          </w:p>
        </w:tc>
        <w:tc>
          <w:tcPr>
            <w:tcW w:w="1065"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rPr>
                <w:bdr w:val="single" w:sz="2" w:space="1" w:color="000000"/>
              </w:rPr>
            </w:pPr>
            <w:r>
              <w:rPr>
                <w:bdr w:val="single" w:sz="2" w:space="1" w:color="000000"/>
              </w:rPr>
              <w:t> </w:t>
            </w:r>
          </w:p>
        </w:tc>
        <w:tc>
          <w:tcPr>
            <w:tcW w:w="1065"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rPr>
                <w:bdr w:val="single" w:sz="2" w:space="1" w:color="000000"/>
              </w:rPr>
            </w:pPr>
            <w:r>
              <w:rPr>
                <w:bdr w:val="single" w:sz="2" w:space="1" w:color="000000"/>
              </w:rPr>
              <w:t> </w:t>
            </w:r>
          </w:p>
        </w:tc>
        <w:tc>
          <w:tcPr>
            <w:tcW w:w="1065" w:type="dxa"/>
            <w:tcBorders/>
            <w:shd w:fill="auto" w:val="clear"/>
            <w:vAlign w:val="center"/>
          </w:tcPr>
          <w:p>
            <w:pPr>
              <w:pStyle w:val="TableContents"/>
              <w:spacing w:before="0" w:after="0"/>
              <w:rPr>
                <w:bdr w:val="single" w:sz="2" w:space="1" w:color="000000"/>
              </w:rPr>
            </w:pPr>
            <w:r>
              <w:rPr>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5780" w:type="dxa"/>
            <w:tcBorders/>
            <w:shd w:fill="CCEEFF" w:val="clear"/>
            <w:vAlign w:val="center"/>
          </w:tcPr>
          <w:p>
            <w:pPr>
              <w:pStyle w:val="TableContents"/>
              <w:spacing w:before="0" w:after="0"/>
              <w:rPr>
                <w:rFonts w:ascii="Times New Roman" w:hAnsi="Times New Roman"/>
                <w:sz w:val="16"/>
              </w:rPr>
            </w:pPr>
            <w:r>
              <w:rPr>
                <w:rFonts w:ascii="Times New Roman" w:hAnsi="Times New Roman"/>
                <w:sz w:val="16"/>
              </w:rPr>
              <w:t>Net cash provided by (used in) operating activities</w:t>
            </w:r>
          </w:p>
        </w:tc>
        <w:tc>
          <w:tcPr>
            <w:tcW w:w="120" w:type="dxa"/>
            <w:tcBorders/>
            <w:shd w:fill="CCEEFF" w:val="clear"/>
            <w:vAlign w:val="center"/>
          </w:tcPr>
          <w:p>
            <w:pPr>
              <w:pStyle w:val="TableContents"/>
              <w:spacing w:before="0" w:after="283"/>
              <w:rPr/>
            </w:pPr>
            <w:r>
              <w:rPr/>
              <w:t>  </w:t>
            </w:r>
          </w:p>
        </w:tc>
        <w:tc>
          <w:tcPr>
            <w:tcW w:w="170" w:type="dxa"/>
            <w:tcBorders/>
            <w:shd w:fill="CCEEFF" w:val="clear"/>
            <w:vAlign w:val="center"/>
          </w:tcPr>
          <w:p>
            <w:pPr>
              <w:pStyle w:val="TableContents"/>
              <w:spacing w:before="0" w:after="283"/>
              <w:rPr/>
            </w:pPr>
            <w:r>
              <w:rPr/>
              <w:t> </w:t>
            </w:r>
          </w:p>
        </w:tc>
        <w:tc>
          <w:tcPr>
            <w:tcW w:w="1065" w:type="dxa"/>
            <w:tcBorders/>
            <w:shd w:fill="CCEEFF" w:val="clear"/>
            <w:vAlign w:val="center"/>
          </w:tcPr>
          <w:p>
            <w:pPr>
              <w:pStyle w:val="TableContents"/>
              <w:spacing w:before="0" w:after="283"/>
              <w:jc w:val="right"/>
              <w:rPr/>
            </w:pPr>
            <w:r>
              <w:rPr/>
              <w:t>(49,224</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70" w:type="dxa"/>
            <w:tcBorders/>
            <w:shd w:fill="CCEEFF" w:val="clear"/>
            <w:vAlign w:val="center"/>
          </w:tcPr>
          <w:p>
            <w:pPr>
              <w:pStyle w:val="TableContents"/>
              <w:spacing w:before="0" w:after="283"/>
              <w:rPr/>
            </w:pPr>
            <w:r>
              <w:rPr/>
              <w:t> </w:t>
            </w:r>
          </w:p>
        </w:tc>
        <w:tc>
          <w:tcPr>
            <w:tcW w:w="1065" w:type="dxa"/>
            <w:tcBorders/>
            <w:shd w:fill="CCEEFF" w:val="clear"/>
            <w:vAlign w:val="center"/>
          </w:tcPr>
          <w:p>
            <w:pPr>
              <w:pStyle w:val="TableContents"/>
              <w:spacing w:before="0" w:after="283"/>
              <w:jc w:val="right"/>
              <w:rPr/>
            </w:pPr>
            <w:r>
              <w:rPr/>
              <w:t>288,946</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70" w:type="dxa"/>
            <w:tcBorders/>
            <w:shd w:fill="CCEEFF" w:val="clear"/>
            <w:vAlign w:val="center"/>
          </w:tcPr>
          <w:p>
            <w:pPr>
              <w:pStyle w:val="TableContents"/>
              <w:spacing w:before="0" w:after="283"/>
              <w:rPr/>
            </w:pPr>
            <w:r>
              <w:rPr/>
              <w:t> </w:t>
            </w:r>
          </w:p>
        </w:tc>
        <w:tc>
          <w:tcPr>
            <w:tcW w:w="1065" w:type="dxa"/>
            <w:tcBorders/>
            <w:shd w:fill="CCEEFF" w:val="clear"/>
            <w:vAlign w:val="center"/>
          </w:tcPr>
          <w:p>
            <w:pPr>
              <w:pStyle w:val="TableContents"/>
              <w:spacing w:before="0" w:after="283"/>
              <w:jc w:val="right"/>
              <w:rPr/>
            </w:pPr>
            <w:r>
              <w:rPr/>
              <w:t>337,616</w:t>
            </w:r>
          </w:p>
        </w:tc>
        <w:tc>
          <w:tcPr>
            <w:tcW w:w="170" w:type="dxa"/>
            <w:tcBorders/>
            <w:shd w:fill="CCEEFF" w:val="clear"/>
            <w:vAlign w:val="center"/>
          </w:tcPr>
          <w:p>
            <w:pPr>
              <w:pStyle w:val="TableContents"/>
              <w:spacing w:before="0" w:after="283"/>
              <w:rPr/>
            </w:pPr>
            <w:r>
              <w:rPr/>
              <w:t> </w:t>
            </w:r>
          </w:p>
        </w:tc>
      </w:tr>
      <w:tr>
        <w:trPr/>
        <w:tc>
          <w:tcPr>
            <w:tcW w:w="578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rPr>
                <w:bdr w:val="single" w:sz="2" w:space="1" w:color="000000"/>
              </w:rPr>
            </w:pPr>
            <w:r>
              <w:rPr>
                <w:bdr w:val="single" w:sz="2" w:space="1" w:color="000000"/>
              </w:rPr>
              <w:t> </w:t>
            </w:r>
          </w:p>
        </w:tc>
        <w:tc>
          <w:tcPr>
            <w:tcW w:w="1065"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rPr>
                <w:bdr w:val="single" w:sz="2" w:space="1" w:color="000000"/>
              </w:rPr>
            </w:pPr>
            <w:r>
              <w:rPr>
                <w:bdr w:val="single" w:sz="2" w:space="1" w:color="000000"/>
              </w:rPr>
              <w:t> </w:t>
            </w:r>
          </w:p>
        </w:tc>
        <w:tc>
          <w:tcPr>
            <w:tcW w:w="1065"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rPr>
                <w:bdr w:val="single" w:sz="2" w:space="1" w:color="000000"/>
              </w:rPr>
            </w:pPr>
            <w:r>
              <w:rPr>
                <w:bdr w:val="single" w:sz="2" w:space="1" w:color="000000"/>
              </w:rPr>
              <w:t> </w:t>
            </w:r>
          </w:p>
        </w:tc>
        <w:tc>
          <w:tcPr>
            <w:tcW w:w="1065" w:type="dxa"/>
            <w:tcBorders/>
            <w:shd w:fill="auto" w:val="clear"/>
            <w:vAlign w:val="center"/>
          </w:tcPr>
          <w:p>
            <w:pPr>
              <w:pStyle w:val="TableContents"/>
              <w:spacing w:before="0" w:after="0"/>
              <w:rPr>
                <w:bdr w:val="single" w:sz="2" w:space="1" w:color="000000"/>
              </w:rPr>
            </w:pPr>
            <w:r>
              <w:rPr>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5780" w:type="dxa"/>
            <w:tcBorders/>
            <w:shd w:fill="auto" w:val="clear"/>
            <w:vAlign w:val="center"/>
          </w:tcPr>
          <w:p>
            <w:pPr>
              <w:pStyle w:val="TableContents"/>
              <w:spacing w:before="0" w:after="0"/>
              <w:rPr>
                <w:rFonts w:ascii="Times New Roman" w:hAnsi="Times New Roman"/>
                <w:b/>
                <w:spacing w:val="0"/>
                <w:sz w:val="16"/>
              </w:rPr>
            </w:pPr>
            <w:r>
              <w:rPr>
                <w:rFonts w:ascii="Times New Roman" w:hAnsi="Times New Roman"/>
                <w:b/>
                <w:spacing w:val="0"/>
                <w:sz w:val="16"/>
              </w:rPr>
              <w:t>Cash flows from investing activities:</w:t>
            </w:r>
          </w:p>
        </w:tc>
        <w:tc>
          <w:tcPr>
            <w:tcW w:w="12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 </w:t>
            </w:r>
          </w:p>
        </w:tc>
        <w:tc>
          <w:tcPr>
            <w:tcW w:w="1065" w:type="dxa"/>
            <w:tcBorders/>
            <w:shd w:fill="auto" w:val="clear"/>
            <w:vAlign w:val="center"/>
          </w:tcPr>
          <w:p>
            <w:pPr>
              <w:pStyle w:val="TableContents"/>
              <w:spacing w:before="0" w:after="283"/>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 </w:t>
            </w:r>
          </w:p>
        </w:tc>
        <w:tc>
          <w:tcPr>
            <w:tcW w:w="1065" w:type="dxa"/>
            <w:tcBorders/>
            <w:shd w:fill="auto" w:val="clear"/>
            <w:vAlign w:val="center"/>
          </w:tcPr>
          <w:p>
            <w:pPr>
              <w:pStyle w:val="TableContents"/>
              <w:spacing w:before="0" w:after="283"/>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 </w:t>
            </w:r>
          </w:p>
        </w:tc>
        <w:tc>
          <w:tcPr>
            <w:tcW w:w="106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 </w:t>
            </w:r>
          </w:p>
        </w:tc>
      </w:tr>
      <w:tr>
        <w:trPr/>
        <w:tc>
          <w:tcPr>
            <w:tcW w:w="5780" w:type="dxa"/>
            <w:tcBorders/>
            <w:shd w:fill="CCEEFF" w:val="clear"/>
            <w:vAlign w:val="center"/>
          </w:tcPr>
          <w:p>
            <w:pPr>
              <w:pStyle w:val="TableContents"/>
              <w:spacing w:before="0" w:after="0"/>
              <w:rPr>
                <w:rFonts w:ascii="Times New Roman" w:hAnsi="Times New Roman"/>
                <w:spacing w:val="0"/>
                <w:sz w:val="16"/>
              </w:rPr>
            </w:pPr>
            <w:r>
              <w:rPr>
                <w:rFonts w:ascii="Times New Roman" w:hAnsi="Times New Roman"/>
                <w:spacing w:val="0"/>
                <w:sz w:val="16"/>
              </w:rPr>
              <w:t>Capital expenditures</w:t>
            </w:r>
          </w:p>
        </w:tc>
        <w:tc>
          <w:tcPr>
            <w:tcW w:w="120" w:type="dxa"/>
            <w:tcBorders/>
            <w:shd w:fill="CCEEFF" w:val="clear"/>
            <w:vAlign w:val="center"/>
          </w:tcPr>
          <w:p>
            <w:pPr>
              <w:pStyle w:val="TableContents"/>
              <w:spacing w:before="0" w:after="283"/>
              <w:rPr/>
            </w:pPr>
            <w:r>
              <w:rPr/>
              <w:t>  </w:t>
            </w:r>
          </w:p>
        </w:tc>
        <w:tc>
          <w:tcPr>
            <w:tcW w:w="170" w:type="dxa"/>
            <w:tcBorders/>
            <w:shd w:fill="CCEEFF" w:val="clear"/>
            <w:vAlign w:val="center"/>
          </w:tcPr>
          <w:p>
            <w:pPr>
              <w:pStyle w:val="TableContents"/>
              <w:spacing w:before="0" w:after="283"/>
              <w:rPr/>
            </w:pPr>
            <w:r>
              <w:rPr/>
              <w:t> </w:t>
            </w:r>
          </w:p>
        </w:tc>
        <w:tc>
          <w:tcPr>
            <w:tcW w:w="1065" w:type="dxa"/>
            <w:tcBorders/>
            <w:shd w:fill="CCEEFF" w:val="clear"/>
            <w:vAlign w:val="center"/>
          </w:tcPr>
          <w:p>
            <w:pPr>
              <w:pStyle w:val="TableContents"/>
              <w:spacing w:before="0" w:after="283"/>
              <w:jc w:val="right"/>
              <w:rPr/>
            </w:pPr>
            <w:r>
              <w:rPr/>
              <w:t>(83,016</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70" w:type="dxa"/>
            <w:tcBorders/>
            <w:shd w:fill="CCEEFF" w:val="clear"/>
            <w:vAlign w:val="center"/>
          </w:tcPr>
          <w:p>
            <w:pPr>
              <w:pStyle w:val="TableContents"/>
              <w:spacing w:before="0" w:after="283"/>
              <w:rPr/>
            </w:pPr>
            <w:r>
              <w:rPr/>
              <w:t> </w:t>
            </w:r>
          </w:p>
        </w:tc>
        <w:tc>
          <w:tcPr>
            <w:tcW w:w="1065" w:type="dxa"/>
            <w:tcBorders/>
            <w:shd w:fill="CCEEFF" w:val="clear"/>
            <w:vAlign w:val="center"/>
          </w:tcPr>
          <w:p>
            <w:pPr>
              <w:pStyle w:val="TableContents"/>
              <w:spacing w:before="0" w:after="283"/>
              <w:jc w:val="right"/>
              <w:rPr/>
            </w:pPr>
            <w:r>
              <w:rPr/>
              <w:t>(228,091</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70" w:type="dxa"/>
            <w:tcBorders/>
            <w:shd w:fill="CCEEFF" w:val="clear"/>
            <w:vAlign w:val="center"/>
          </w:tcPr>
          <w:p>
            <w:pPr>
              <w:pStyle w:val="TableContents"/>
              <w:spacing w:before="0" w:after="283"/>
              <w:rPr/>
            </w:pPr>
            <w:r>
              <w:rPr/>
              <w:t> </w:t>
            </w:r>
          </w:p>
        </w:tc>
        <w:tc>
          <w:tcPr>
            <w:tcW w:w="1065" w:type="dxa"/>
            <w:tcBorders/>
            <w:shd w:fill="CCEEFF" w:val="clear"/>
            <w:vAlign w:val="center"/>
          </w:tcPr>
          <w:p>
            <w:pPr>
              <w:pStyle w:val="TableContents"/>
              <w:spacing w:before="0" w:after="283"/>
              <w:jc w:val="right"/>
              <w:rPr/>
            </w:pPr>
            <w:r>
              <w:rPr/>
              <w:t>(216,286</w:t>
            </w:r>
          </w:p>
        </w:tc>
        <w:tc>
          <w:tcPr>
            <w:tcW w:w="170" w:type="dxa"/>
            <w:tcBorders/>
            <w:shd w:fill="CCEEFF" w:val="clear"/>
            <w:vAlign w:val="center"/>
          </w:tcPr>
          <w:p>
            <w:pPr>
              <w:pStyle w:val="TableContents"/>
              <w:spacing w:before="0" w:after="283"/>
              <w:rPr/>
            </w:pPr>
            <w:r>
              <w:rPr/>
              <w:t>) </w:t>
            </w:r>
          </w:p>
        </w:tc>
      </w:tr>
      <w:tr>
        <w:trPr/>
        <w:tc>
          <w:tcPr>
            <w:tcW w:w="5780" w:type="dxa"/>
            <w:tcBorders/>
            <w:shd w:fill="auto" w:val="clear"/>
            <w:vAlign w:val="center"/>
          </w:tcPr>
          <w:p>
            <w:pPr>
              <w:pStyle w:val="TableContents"/>
              <w:spacing w:before="0" w:after="0"/>
              <w:rPr>
                <w:rFonts w:ascii="Times New Roman" w:hAnsi="Times New Roman"/>
                <w:spacing w:val="0"/>
                <w:sz w:val="16"/>
              </w:rPr>
            </w:pPr>
            <w:r>
              <w:rPr>
                <w:rFonts w:ascii="Times New Roman" w:hAnsi="Times New Roman"/>
                <w:spacing w:val="0"/>
                <w:sz w:val="16"/>
              </w:rPr>
              <w:t>Proceeds from sale-leaseback transactions</w:t>
            </w:r>
          </w:p>
        </w:tc>
        <w:tc>
          <w:tcPr>
            <w:tcW w:w="12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 </w:t>
            </w:r>
          </w:p>
        </w:tc>
        <w:tc>
          <w:tcPr>
            <w:tcW w:w="1065" w:type="dxa"/>
            <w:tcBorders/>
            <w:shd w:fill="auto" w:val="clear"/>
            <w:vAlign w:val="center"/>
          </w:tcPr>
          <w:p>
            <w:pPr>
              <w:pStyle w:val="TableContents"/>
              <w:spacing w:before="0" w:after="0"/>
              <w:jc w:val="right"/>
              <w:rPr>
                <w:spacing w:val="0"/>
              </w:rPr>
            </w:pPr>
            <w:r>
              <w:rPr>
                <w:spacing w:val="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 </w:t>
            </w:r>
          </w:p>
        </w:tc>
        <w:tc>
          <w:tcPr>
            <w:tcW w:w="1065"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 </w:t>
            </w:r>
          </w:p>
        </w:tc>
        <w:tc>
          <w:tcPr>
            <w:tcW w:w="1065" w:type="dxa"/>
            <w:tcBorders/>
            <w:shd w:fill="auto" w:val="clear"/>
            <w:vAlign w:val="center"/>
          </w:tcPr>
          <w:p>
            <w:pPr>
              <w:pStyle w:val="TableContents"/>
              <w:spacing w:before="0" w:after="283"/>
              <w:jc w:val="right"/>
              <w:rPr/>
            </w:pPr>
            <w:r>
              <w:rPr/>
              <w:t>11,571</w:t>
            </w:r>
          </w:p>
        </w:tc>
        <w:tc>
          <w:tcPr>
            <w:tcW w:w="170" w:type="dxa"/>
            <w:tcBorders/>
            <w:shd w:fill="auto" w:val="clear"/>
            <w:vAlign w:val="center"/>
          </w:tcPr>
          <w:p>
            <w:pPr>
              <w:pStyle w:val="TableContents"/>
              <w:spacing w:before="0" w:after="283"/>
              <w:rPr/>
            </w:pPr>
            <w:r>
              <w:rPr/>
              <w:t> </w:t>
            </w:r>
          </w:p>
        </w:tc>
      </w:tr>
      <w:tr>
        <w:trPr/>
        <w:tc>
          <w:tcPr>
            <w:tcW w:w="5780" w:type="dxa"/>
            <w:tcBorders/>
            <w:shd w:fill="CCEEFF" w:val="clear"/>
            <w:vAlign w:val="center"/>
          </w:tcPr>
          <w:p>
            <w:pPr>
              <w:pStyle w:val="TableContents"/>
              <w:spacing w:before="0" w:after="0"/>
              <w:rPr>
                <w:rFonts w:ascii="Times New Roman" w:hAnsi="Times New Roman"/>
                <w:spacing w:val="0"/>
                <w:sz w:val="16"/>
              </w:rPr>
            </w:pPr>
            <w:r>
              <w:rPr>
                <w:rFonts w:ascii="Times New Roman" w:hAnsi="Times New Roman"/>
                <w:spacing w:val="0"/>
                <w:sz w:val="16"/>
              </w:rPr>
              <w:t>Proceeds from insurance</w:t>
            </w:r>
          </w:p>
        </w:tc>
        <w:tc>
          <w:tcPr>
            <w:tcW w:w="120" w:type="dxa"/>
            <w:tcBorders/>
            <w:shd w:fill="CCEEFF" w:val="clear"/>
            <w:vAlign w:val="center"/>
          </w:tcPr>
          <w:p>
            <w:pPr>
              <w:pStyle w:val="TableContents"/>
              <w:spacing w:before="0" w:after="283"/>
              <w:rPr/>
            </w:pPr>
            <w:r>
              <w:rPr/>
              <w:t>  </w:t>
            </w:r>
          </w:p>
        </w:tc>
        <w:tc>
          <w:tcPr>
            <w:tcW w:w="170" w:type="dxa"/>
            <w:tcBorders/>
            <w:shd w:fill="CCEEFF" w:val="clear"/>
            <w:vAlign w:val="center"/>
          </w:tcPr>
          <w:p>
            <w:pPr>
              <w:pStyle w:val="TableContents"/>
              <w:spacing w:before="0" w:after="283"/>
              <w:rPr/>
            </w:pPr>
            <w:r>
              <w:rPr/>
              <w:t> </w:t>
            </w:r>
          </w:p>
        </w:tc>
        <w:tc>
          <w:tcPr>
            <w:tcW w:w="1065" w:type="dxa"/>
            <w:tcBorders/>
            <w:shd w:fill="CCEEFF" w:val="clear"/>
            <w:vAlign w:val="center"/>
          </w:tcPr>
          <w:p>
            <w:pPr>
              <w:pStyle w:val="TableContents"/>
              <w:spacing w:before="0" w:after="283"/>
              <w:jc w:val="right"/>
              <w:rPr/>
            </w:pPr>
            <w:r>
              <w:rPr/>
              <w:t>595</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70" w:type="dxa"/>
            <w:tcBorders/>
            <w:shd w:fill="CCEEFF" w:val="clear"/>
            <w:vAlign w:val="center"/>
          </w:tcPr>
          <w:p>
            <w:pPr>
              <w:pStyle w:val="TableContents"/>
              <w:spacing w:before="0" w:after="283"/>
              <w:rPr/>
            </w:pPr>
            <w:r>
              <w:rPr/>
              <w:t> </w:t>
            </w:r>
          </w:p>
        </w:tc>
        <w:tc>
          <w:tcPr>
            <w:tcW w:w="1065"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70" w:type="dxa"/>
            <w:tcBorders/>
            <w:shd w:fill="CCEEFF" w:val="clear"/>
            <w:vAlign w:val="center"/>
          </w:tcPr>
          <w:p>
            <w:pPr>
              <w:pStyle w:val="TableContents"/>
              <w:spacing w:before="0" w:after="283"/>
              <w:rPr/>
            </w:pPr>
            <w:r>
              <w:rPr/>
              <w:t> </w:t>
            </w:r>
          </w:p>
        </w:tc>
        <w:tc>
          <w:tcPr>
            <w:tcW w:w="1065" w:type="dxa"/>
            <w:tcBorders/>
            <w:shd w:fill="CCEEFF" w:val="clear"/>
            <w:vAlign w:val="center"/>
          </w:tcPr>
          <w:p>
            <w:pPr>
              <w:pStyle w:val="TableContents"/>
              <w:spacing w:before="0" w:after="283"/>
              <w:jc w:val="right"/>
              <w:rPr/>
            </w:pPr>
            <w:r>
              <w:rPr/>
              <w:t>541</w:t>
            </w:r>
          </w:p>
        </w:tc>
        <w:tc>
          <w:tcPr>
            <w:tcW w:w="170" w:type="dxa"/>
            <w:tcBorders/>
            <w:shd w:fill="CCEEFF" w:val="clear"/>
            <w:vAlign w:val="center"/>
          </w:tcPr>
          <w:p>
            <w:pPr>
              <w:pStyle w:val="TableContents"/>
              <w:spacing w:before="0" w:after="283"/>
              <w:rPr/>
            </w:pPr>
            <w:r>
              <w:rPr/>
              <w:t> </w:t>
            </w:r>
          </w:p>
        </w:tc>
      </w:tr>
      <w:tr>
        <w:trPr/>
        <w:tc>
          <w:tcPr>
            <w:tcW w:w="5780" w:type="dxa"/>
            <w:tcBorders/>
            <w:shd w:fill="auto" w:val="clear"/>
            <w:vAlign w:val="center"/>
          </w:tcPr>
          <w:p>
            <w:pPr>
              <w:pStyle w:val="TableContents"/>
              <w:spacing w:before="0" w:after="0"/>
              <w:rPr>
                <w:rFonts w:ascii="Times New Roman" w:hAnsi="Times New Roman"/>
                <w:spacing w:val="0"/>
                <w:sz w:val="16"/>
              </w:rPr>
            </w:pPr>
            <w:r>
              <w:rPr>
                <w:rFonts w:ascii="Times New Roman" w:hAnsi="Times New Roman"/>
                <w:spacing w:val="0"/>
                <w:sz w:val="16"/>
              </w:rPr>
              <w:t>Proceeds from sales of property and equipment</w:t>
            </w:r>
          </w:p>
        </w:tc>
        <w:tc>
          <w:tcPr>
            <w:tcW w:w="12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 </w:t>
            </w:r>
          </w:p>
        </w:tc>
        <w:tc>
          <w:tcPr>
            <w:tcW w:w="1065" w:type="dxa"/>
            <w:tcBorders/>
            <w:shd w:fill="auto" w:val="clear"/>
            <w:vAlign w:val="center"/>
          </w:tcPr>
          <w:p>
            <w:pPr>
              <w:pStyle w:val="TableContents"/>
              <w:spacing w:before="0" w:after="283"/>
              <w:jc w:val="right"/>
              <w:rPr/>
            </w:pPr>
            <w:r>
              <w:rPr/>
              <w:t>461</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 </w:t>
            </w:r>
          </w:p>
        </w:tc>
        <w:tc>
          <w:tcPr>
            <w:tcW w:w="1065" w:type="dxa"/>
            <w:tcBorders/>
            <w:shd w:fill="auto" w:val="clear"/>
            <w:vAlign w:val="center"/>
          </w:tcPr>
          <w:p>
            <w:pPr>
              <w:pStyle w:val="TableContents"/>
              <w:spacing w:before="0" w:after="283"/>
              <w:jc w:val="right"/>
              <w:rPr/>
            </w:pPr>
            <w:r>
              <w:rPr/>
              <w:t>800</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 </w:t>
            </w:r>
          </w:p>
        </w:tc>
        <w:tc>
          <w:tcPr>
            <w:tcW w:w="1065" w:type="dxa"/>
            <w:tcBorders/>
            <w:shd w:fill="auto" w:val="clear"/>
            <w:vAlign w:val="center"/>
          </w:tcPr>
          <w:p>
            <w:pPr>
              <w:pStyle w:val="TableContents"/>
              <w:spacing w:before="0" w:after="283"/>
              <w:jc w:val="right"/>
              <w:rPr/>
            </w:pPr>
            <w:r>
              <w:rPr/>
              <w:t>366</w:t>
            </w:r>
          </w:p>
        </w:tc>
        <w:tc>
          <w:tcPr>
            <w:tcW w:w="170" w:type="dxa"/>
            <w:tcBorders/>
            <w:shd w:fill="auto" w:val="clear"/>
            <w:vAlign w:val="center"/>
          </w:tcPr>
          <w:p>
            <w:pPr>
              <w:pStyle w:val="TableContents"/>
              <w:spacing w:before="0" w:after="283"/>
              <w:rPr/>
            </w:pPr>
            <w:r>
              <w:rPr/>
              <w:t> </w:t>
            </w:r>
          </w:p>
        </w:tc>
      </w:tr>
      <w:tr>
        <w:trPr/>
        <w:tc>
          <w:tcPr>
            <w:tcW w:w="578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rPr>
                <w:bdr w:val="single" w:sz="2" w:space="1" w:color="000000"/>
              </w:rPr>
            </w:pPr>
            <w:r>
              <w:rPr>
                <w:bdr w:val="single" w:sz="2" w:space="1" w:color="000000"/>
              </w:rPr>
              <w:t> </w:t>
            </w:r>
          </w:p>
        </w:tc>
        <w:tc>
          <w:tcPr>
            <w:tcW w:w="1065"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rPr>
                <w:bdr w:val="single" w:sz="2" w:space="1" w:color="000000"/>
              </w:rPr>
            </w:pPr>
            <w:r>
              <w:rPr>
                <w:bdr w:val="single" w:sz="2" w:space="1" w:color="000000"/>
              </w:rPr>
              <w:t> </w:t>
            </w:r>
          </w:p>
        </w:tc>
        <w:tc>
          <w:tcPr>
            <w:tcW w:w="1065"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rPr>
                <w:bdr w:val="single" w:sz="2" w:space="1" w:color="000000"/>
              </w:rPr>
            </w:pPr>
            <w:r>
              <w:rPr>
                <w:bdr w:val="single" w:sz="2" w:space="1" w:color="000000"/>
              </w:rPr>
              <w:t> </w:t>
            </w:r>
          </w:p>
        </w:tc>
        <w:tc>
          <w:tcPr>
            <w:tcW w:w="1065" w:type="dxa"/>
            <w:tcBorders/>
            <w:shd w:fill="auto" w:val="clear"/>
            <w:vAlign w:val="center"/>
          </w:tcPr>
          <w:p>
            <w:pPr>
              <w:pStyle w:val="TableContents"/>
              <w:spacing w:before="0" w:after="0"/>
              <w:rPr>
                <w:bdr w:val="single" w:sz="2" w:space="1" w:color="000000"/>
              </w:rPr>
            </w:pPr>
            <w:r>
              <w:rPr>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5780" w:type="dxa"/>
            <w:tcBorders/>
            <w:shd w:fill="CCEEFF" w:val="clear"/>
            <w:vAlign w:val="center"/>
          </w:tcPr>
          <w:p>
            <w:pPr>
              <w:pStyle w:val="TableContents"/>
              <w:spacing w:before="0" w:after="0"/>
              <w:rPr>
                <w:rFonts w:ascii="Times New Roman" w:hAnsi="Times New Roman"/>
                <w:spacing w:val="0"/>
                <w:sz w:val="16"/>
              </w:rPr>
            </w:pPr>
            <w:r>
              <w:rPr>
                <w:rFonts w:ascii="Times New Roman" w:hAnsi="Times New Roman"/>
                <w:spacing w:val="0"/>
                <w:sz w:val="16"/>
              </w:rPr>
              <w:t>Net cash used in investing activities</w:t>
            </w:r>
          </w:p>
        </w:tc>
        <w:tc>
          <w:tcPr>
            <w:tcW w:w="120" w:type="dxa"/>
            <w:tcBorders/>
            <w:shd w:fill="CCEEFF" w:val="clear"/>
            <w:vAlign w:val="center"/>
          </w:tcPr>
          <w:p>
            <w:pPr>
              <w:pStyle w:val="TableContents"/>
              <w:spacing w:before="0" w:after="283"/>
              <w:rPr/>
            </w:pPr>
            <w:r>
              <w:rPr/>
              <w:t>  </w:t>
            </w:r>
          </w:p>
        </w:tc>
        <w:tc>
          <w:tcPr>
            <w:tcW w:w="170" w:type="dxa"/>
            <w:tcBorders/>
            <w:shd w:fill="CCEEFF" w:val="clear"/>
            <w:vAlign w:val="center"/>
          </w:tcPr>
          <w:p>
            <w:pPr>
              <w:pStyle w:val="TableContents"/>
              <w:spacing w:before="0" w:after="283"/>
              <w:rPr/>
            </w:pPr>
            <w:r>
              <w:rPr/>
              <w:t> </w:t>
            </w:r>
          </w:p>
        </w:tc>
        <w:tc>
          <w:tcPr>
            <w:tcW w:w="1065" w:type="dxa"/>
            <w:tcBorders/>
            <w:shd w:fill="CCEEFF" w:val="clear"/>
            <w:vAlign w:val="center"/>
          </w:tcPr>
          <w:p>
            <w:pPr>
              <w:pStyle w:val="TableContents"/>
              <w:spacing w:before="0" w:after="283"/>
              <w:jc w:val="right"/>
              <w:rPr/>
            </w:pPr>
            <w:r>
              <w:rPr/>
              <w:t>(81,960</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70" w:type="dxa"/>
            <w:tcBorders/>
            <w:shd w:fill="CCEEFF" w:val="clear"/>
            <w:vAlign w:val="center"/>
          </w:tcPr>
          <w:p>
            <w:pPr>
              <w:pStyle w:val="TableContents"/>
              <w:spacing w:before="0" w:after="283"/>
              <w:rPr/>
            </w:pPr>
            <w:r>
              <w:rPr/>
              <w:t> </w:t>
            </w:r>
          </w:p>
        </w:tc>
        <w:tc>
          <w:tcPr>
            <w:tcW w:w="1065" w:type="dxa"/>
            <w:tcBorders/>
            <w:shd w:fill="CCEEFF" w:val="clear"/>
            <w:vAlign w:val="center"/>
          </w:tcPr>
          <w:p>
            <w:pPr>
              <w:pStyle w:val="TableContents"/>
              <w:spacing w:before="0" w:after="283"/>
              <w:jc w:val="right"/>
              <w:rPr/>
            </w:pPr>
            <w:r>
              <w:rPr/>
              <w:t>(227,291</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70" w:type="dxa"/>
            <w:tcBorders/>
            <w:shd w:fill="CCEEFF" w:val="clear"/>
            <w:vAlign w:val="center"/>
          </w:tcPr>
          <w:p>
            <w:pPr>
              <w:pStyle w:val="TableContents"/>
              <w:spacing w:before="0" w:after="283"/>
              <w:rPr/>
            </w:pPr>
            <w:r>
              <w:rPr/>
              <w:t> </w:t>
            </w:r>
          </w:p>
        </w:tc>
        <w:tc>
          <w:tcPr>
            <w:tcW w:w="1065" w:type="dxa"/>
            <w:tcBorders/>
            <w:shd w:fill="CCEEFF" w:val="clear"/>
            <w:vAlign w:val="center"/>
          </w:tcPr>
          <w:p>
            <w:pPr>
              <w:pStyle w:val="TableContents"/>
              <w:spacing w:before="0" w:after="283"/>
              <w:jc w:val="right"/>
              <w:rPr/>
            </w:pPr>
            <w:r>
              <w:rPr/>
              <w:t>(203,808</w:t>
            </w:r>
          </w:p>
        </w:tc>
        <w:tc>
          <w:tcPr>
            <w:tcW w:w="170" w:type="dxa"/>
            <w:tcBorders/>
            <w:shd w:fill="CCEEFF" w:val="clear"/>
            <w:vAlign w:val="center"/>
          </w:tcPr>
          <w:p>
            <w:pPr>
              <w:pStyle w:val="TableContents"/>
              <w:spacing w:before="0" w:after="283"/>
              <w:rPr/>
            </w:pPr>
            <w:r>
              <w:rPr/>
              <w:t>) </w:t>
            </w:r>
          </w:p>
        </w:tc>
      </w:tr>
      <w:tr>
        <w:trPr/>
        <w:tc>
          <w:tcPr>
            <w:tcW w:w="578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rPr>
                <w:bdr w:val="single" w:sz="2" w:space="1" w:color="000000"/>
              </w:rPr>
            </w:pPr>
            <w:r>
              <w:rPr>
                <w:bdr w:val="single" w:sz="2" w:space="1" w:color="000000"/>
              </w:rPr>
              <w:t> </w:t>
            </w:r>
          </w:p>
        </w:tc>
        <w:tc>
          <w:tcPr>
            <w:tcW w:w="1065"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rPr>
                <w:bdr w:val="single" w:sz="2" w:space="1" w:color="000000"/>
              </w:rPr>
            </w:pPr>
            <w:r>
              <w:rPr>
                <w:bdr w:val="single" w:sz="2" w:space="1" w:color="000000"/>
              </w:rPr>
              <w:t> </w:t>
            </w:r>
          </w:p>
        </w:tc>
        <w:tc>
          <w:tcPr>
            <w:tcW w:w="1065"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rPr>
                <w:bdr w:val="single" w:sz="2" w:space="1" w:color="000000"/>
              </w:rPr>
            </w:pPr>
            <w:r>
              <w:rPr>
                <w:bdr w:val="single" w:sz="2" w:space="1" w:color="000000"/>
              </w:rPr>
              <w:t> </w:t>
            </w:r>
          </w:p>
        </w:tc>
        <w:tc>
          <w:tcPr>
            <w:tcW w:w="1065" w:type="dxa"/>
            <w:tcBorders/>
            <w:shd w:fill="auto" w:val="clear"/>
            <w:vAlign w:val="center"/>
          </w:tcPr>
          <w:p>
            <w:pPr>
              <w:pStyle w:val="TableContents"/>
              <w:spacing w:before="0" w:after="0"/>
              <w:rPr>
                <w:bdr w:val="single" w:sz="2" w:space="1" w:color="000000"/>
              </w:rPr>
            </w:pPr>
            <w:r>
              <w:rPr>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5780" w:type="dxa"/>
            <w:tcBorders/>
            <w:shd w:fill="auto" w:val="clear"/>
            <w:vAlign w:val="center"/>
          </w:tcPr>
          <w:p>
            <w:pPr>
              <w:pStyle w:val="TableContents"/>
              <w:spacing w:before="0" w:after="0"/>
              <w:rPr>
                <w:rFonts w:ascii="Times New Roman" w:hAnsi="Times New Roman"/>
                <w:b/>
                <w:spacing w:val="0"/>
                <w:sz w:val="16"/>
              </w:rPr>
            </w:pPr>
            <w:r>
              <w:rPr>
                <w:rFonts w:ascii="Times New Roman" w:hAnsi="Times New Roman"/>
                <w:b/>
                <w:spacing w:val="0"/>
                <w:sz w:val="16"/>
              </w:rPr>
              <w:t>Cash flows from financing activities:</w:t>
            </w:r>
          </w:p>
        </w:tc>
        <w:tc>
          <w:tcPr>
            <w:tcW w:w="12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 </w:t>
            </w:r>
          </w:p>
        </w:tc>
        <w:tc>
          <w:tcPr>
            <w:tcW w:w="1065" w:type="dxa"/>
            <w:tcBorders/>
            <w:shd w:fill="auto" w:val="clear"/>
            <w:vAlign w:val="center"/>
          </w:tcPr>
          <w:p>
            <w:pPr>
              <w:pStyle w:val="TableContents"/>
              <w:spacing w:before="0" w:after="283"/>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 </w:t>
            </w:r>
          </w:p>
        </w:tc>
        <w:tc>
          <w:tcPr>
            <w:tcW w:w="1065" w:type="dxa"/>
            <w:tcBorders/>
            <w:shd w:fill="auto" w:val="clear"/>
            <w:vAlign w:val="center"/>
          </w:tcPr>
          <w:p>
            <w:pPr>
              <w:pStyle w:val="TableContents"/>
              <w:spacing w:before="0" w:after="283"/>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 </w:t>
            </w:r>
          </w:p>
        </w:tc>
        <w:tc>
          <w:tcPr>
            <w:tcW w:w="106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 </w:t>
            </w:r>
          </w:p>
        </w:tc>
      </w:tr>
      <w:tr>
        <w:trPr/>
        <w:tc>
          <w:tcPr>
            <w:tcW w:w="5780" w:type="dxa"/>
            <w:tcBorders/>
            <w:shd w:fill="CCEEFF" w:val="clear"/>
            <w:vAlign w:val="center"/>
          </w:tcPr>
          <w:p>
            <w:pPr>
              <w:pStyle w:val="TableContents"/>
              <w:spacing w:before="0" w:after="0"/>
              <w:rPr>
                <w:rFonts w:ascii="Times New Roman" w:hAnsi="Times New Roman"/>
                <w:spacing w:val="0"/>
                <w:sz w:val="16"/>
              </w:rPr>
            </w:pPr>
            <w:r>
              <w:rPr>
                <w:rFonts w:ascii="Times New Roman" w:hAnsi="Times New Roman"/>
                <w:spacing w:val="0"/>
                <w:sz w:val="16"/>
              </w:rPr>
              <w:t>Proceeds from debt</w:t>
            </w:r>
          </w:p>
        </w:tc>
        <w:tc>
          <w:tcPr>
            <w:tcW w:w="120" w:type="dxa"/>
            <w:tcBorders/>
            <w:shd w:fill="CCEEFF" w:val="clear"/>
            <w:vAlign w:val="center"/>
          </w:tcPr>
          <w:p>
            <w:pPr>
              <w:pStyle w:val="TableContents"/>
              <w:spacing w:before="0" w:after="283"/>
              <w:rPr/>
            </w:pPr>
            <w:r>
              <w:rPr/>
              <w:t>  </w:t>
            </w:r>
          </w:p>
        </w:tc>
        <w:tc>
          <w:tcPr>
            <w:tcW w:w="170" w:type="dxa"/>
            <w:tcBorders/>
            <w:shd w:fill="CCEEFF" w:val="clear"/>
            <w:vAlign w:val="center"/>
          </w:tcPr>
          <w:p>
            <w:pPr>
              <w:pStyle w:val="TableContents"/>
              <w:spacing w:before="0" w:after="283"/>
              <w:rPr/>
            </w:pPr>
            <w:r>
              <w:rPr/>
              <w:t> </w:t>
            </w:r>
          </w:p>
        </w:tc>
        <w:tc>
          <w:tcPr>
            <w:tcW w:w="1065" w:type="dxa"/>
            <w:tcBorders/>
            <w:shd w:fill="CCEEFF" w:val="clear"/>
            <w:vAlign w:val="center"/>
          </w:tcPr>
          <w:p>
            <w:pPr>
              <w:pStyle w:val="TableContents"/>
              <w:spacing w:before="0" w:after="283"/>
              <w:jc w:val="right"/>
              <w:rPr/>
            </w:pPr>
            <w:r>
              <w:rPr/>
              <w:t>732,000</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70" w:type="dxa"/>
            <w:tcBorders/>
            <w:shd w:fill="CCEEFF" w:val="clear"/>
            <w:vAlign w:val="center"/>
          </w:tcPr>
          <w:p>
            <w:pPr>
              <w:pStyle w:val="TableContents"/>
              <w:spacing w:before="0" w:after="283"/>
              <w:rPr/>
            </w:pPr>
            <w:r>
              <w:rPr/>
              <w:t> </w:t>
            </w:r>
          </w:p>
        </w:tc>
        <w:tc>
          <w:tcPr>
            <w:tcW w:w="1065" w:type="dxa"/>
            <w:tcBorders/>
            <w:shd w:fill="CCEEFF" w:val="clear"/>
            <w:vAlign w:val="center"/>
          </w:tcPr>
          <w:p>
            <w:pPr>
              <w:pStyle w:val="TableContents"/>
              <w:spacing w:before="0" w:after="283"/>
              <w:jc w:val="right"/>
              <w:rPr/>
            </w:pPr>
            <w:r>
              <w:rPr/>
              <w:t>406,000</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70" w:type="dxa"/>
            <w:tcBorders/>
            <w:shd w:fill="CCEEFF" w:val="clear"/>
            <w:vAlign w:val="center"/>
          </w:tcPr>
          <w:p>
            <w:pPr>
              <w:pStyle w:val="TableContents"/>
              <w:spacing w:before="0" w:after="283"/>
              <w:rPr/>
            </w:pPr>
            <w:r>
              <w:rPr/>
              <w:t> </w:t>
            </w:r>
          </w:p>
        </w:tc>
        <w:tc>
          <w:tcPr>
            <w:tcW w:w="1065" w:type="dxa"/>
            <w:tcBorders/>
            <w:shd w:fill="CCEEFF" w:val="clear"/>
            <w:vAlign w:val="center"/>
          </w:tcPr>
          <w:p>
            <w:pPr>
              <w:pStyle w:val="TableContents"/>
              <w:spacing w:before="0" w:after="283"/>
              <w:jc w:val="right"/>
              <w:rPr/>
            </w:pPr>
            <w:r>
              <w:rPr/>
              <w:t>265,000</w:t>
            </w:r>
          </w:p>
        </w:tc>
        <w:tc>
          <w:tcPr>
            <w:tcW w:w="170" w:type="dxa"/>
            <w:tcBorders/>
            <w:shd w:fill="CCEEFF" w:val="clear"/>
            <w:vAlign w:val="center"/>
          </w:tcPr>
          <w:p>
            <w:pPr>
              <w:pStyle w:val="TableContents"/>
              <w:spacing w:before="0" w:after="283"/>
              <w:rPr/>
            </w:pPr>
            <w:r>
              <w:rPr/>
              <w:t> </w:t>
            </w:r>
          </w:p>
        </w:tc>
      </w:tr>
      <w:tr>
        <w:trPr/>
        <w:tc>
          <w:tcPr>
            <w:tcW w:w="5780" w:type="dxa"/>
            <w:tcBorders/>
            <w:shd w:fill="auto" w:val="clear"/>
            <w:vAlign w:val="center"/>
          </w:tcPr>
          <w:p>
            <w:pPr>
              <w:pStyle w:val="TableContents"/>
              <w:spacing w:before="0" w:after="0"/>
              <w:rPr>
                <w:rFonts w:ascii="Times New Roman" w:hAnsi="Times New Roman"/>
                <w:spacing w:val="0"/>
                <w:sz w:val="16"/>
              </w:rPr>
            </w:pPr>
            <w:r>
              <w:rPr>
                <w:rFonts w:ascii="Times New Roman" w:hAnsi="Times New Roman"/>
                <w:spacing w:val="0"/>
                <w:sz w:val="16"/>
              </w:rPr>
              <w:t>Payments of debt</w:t>
            </w:r>
          </w:p>
        </w:tc>
        <w:tc>
          <w:tcPr>
            <w:tcW w:w="12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 </w:t>
            </w:r>
          </w:p>
        </w:tc>
        <w:tc>
          <w:tcPr>
            <w:tcW w:w="1065" w:type="dxa"/>
            <w:tcBorders/>
            <w:shd w:fill="auto" w:val="clear"/>
            <w:vAlign w:val="center"/>
          </w:tcPr>
          <w:p>
            <w:pPr>
              <w:pStyle w:val="TableContents"/>
              <w:spacing w:before="0" w:after="283"/>
              <w:jc w:val="right"/>
              <w:rPr/>
            </w:pPr>
            <w:r>
              <w:rPr/>
              <w:t>(770,250</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 </w:t>
            </w:r>
          </w:p>
        </w:tc>
        <w:tc>
          <w:tcPr>
            <w:tcW w:w="1065" w:type="dxa"/>
            <w:tcBorders/>
            <w:shd w:fill="auto" w:val="clear"/>
            <w:vAlign w:val="center"/>
          </w:tcPr>
          <w:p>
            <w:pPr>
              <w:pStyle w:val="TableContents"/>
              <w:spacing w:before="0" w:after="283"/>
              <w:jc w:val="right"/>
              <w:rPr/>
            </w:pPr>
            <w:r>
              <w:rPr/>
              <w:t>(152,000</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 </w:t>
            </w:r>
          </w:p>
        </w:tc>
        <w:tc>
          <w:tcPr>
            <w:tcW w:w="1065" w:type="dxa"/>
            <w:tcBorders/>
            <w:shd w:fill="auto" w:val="clear"/>
            <w:vAlign w:val="center"/>
          </w:tcPr>
          <w:p>
            <w:pPr>
              <w:pStyle w:val="TableContents"/>
              <w:spacing w:before="0" w:after="283"/>
              <w:jc w:val="right"/>
              <w:rPr/>
            </w:pPr>
            <w:r>
              <w:rPr/>
              <w:t>(238,000</w:t>
            </w:r>
          </w:p>
        </w:tc>
        <w:tc>
          <w:tcPr>
            <w:tcW w:w="170" w:type="dxa"/>
            <w:tcBorders/>
            <w:shd w:fill="auto" w:val="clear"/>
            <w:vAlign w:val="center"/>
          </w:tcPr>
          <w:p>
            <w:pPr>
              <w:pStyle w:val="TableContents"/>
              <w:spacing w:before="0" w:after="283"/>
              <w:rPr/>
            </w:pPr>
            <w:r>
              <w:rPr/>
              <w:t>) </w:t>
            </w:r>
          </w:p>
        </w:tc>
      </w:tr>
      <w:tr>
        <w:trPr/>
        <w:tc>
          <w:tcPr>
            <w:tcW w:w="5780" w:type="dxa"/>
            <w:tcBorders/>
            <w:shd w:fill="CCEEFF" w:val="clear"/>
            <w:vAlign w:val="center"/>
          </w:tcPr>
          <w:p>
            <w:pPr>
              <w:pStyle w:val="TableContents"/>
              <w:spacing w:before="0" w:after="0"/>
              <w:rPr>
                <w:rFonts w:ascii="Times New Roman" w:hAnsi="Times New Roman"/>
                <w:spacing w:val="0"/>
                <w:sz w:val="16"/>
              </w:rPr>
            </w:pPr>
            <w:r>
              <w:rPr>
                <w:rFonts w:ascii="Times New Roman" w:hAnsi="Times New Roman"/>
                <w:spacing w:val="0"/>
                <w:sz w:val="16"/>
              </w:rPr>
              <w:t>Debt issuance costs</w:t>
            </w:r>
          </w:p>
        </w:tc>
        <w:tc>
          <w:tcPr>
            <w:tcW w:w="120" w:type="dxa"/>
            <w:tcBorders/>
            <w:shd w:fill="CCEEFF" w:val="clear"/>
            <w:vAlign w:val="center"/>
          </w:tcPr>
          <w:p>
            <w:pPr>
              <w:pStyle w:val="TableContents"/>
              <w:spacing w:before="0" w:after="283"/>
              <w:rPr/>
            </w:pPr>
            <w:r>
              <w:rPr/>
              <w:t>  </w:t>
            </w:r>
          </w:p>
        </w:tc>
        <w:tc>
          <w:tcPr>
            <w:tcW w:w="170" w:type="dxa"/>
            <w:tcBorders/>
            <w:shd w:fill="CCEEFF" w:val="clear"/>
            <w:vAlign w:val="center"/>
          </w:tcPr>
          <w:p>
            <w:pPr>
              <w:pStyle w:val="TableContents"/>
              <w:spacing w:before="0" w:after="283"/>
              <w:rPr/>
            </w:pPr>
            <w:r>
              <w:rPr/>
              <w:t> </w:t>
            </w:r>
          </w:p>
        </w:tc>
        <w:tc>
          <w:tcPr>
            <w:tcW w:w="1065" w:type="dxa"/>
            <w:tcBorders/>
            <w:shd w:fill="CCEEFF" w:val="clear"/>
            <w:vAlign w:val="center"/>
          </w:tcPr>
          <w:p>
            <w:pPr>
              <w:pStyle w:val="TableContents"/>
              <w:spacing w:before="0" w:after="283"/>
              <w:jc w:val="right"/>
              <w:rPr/>
            </w:pPr>
            <w:r>
              <w:rPr/>
              <w:t>(20,209</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70" w:type="dxa"/>
            <w:tcBorders/>
            <w:shd w:fill="CCEEFF" w:val="clear"/>
            <w:vAlign w:val="center"/>
          </w:tcPr>
          <w:p>
            <w:pPr>
              <w:pStyle w:val="TableContents"/>
              <w:spacing w:before="0" w:after="283"/>
              <w:rPr/>
            </w:pPr>
            <w:r>
              <w:rPr/>
              <w:t> </w:t>
            </w:r>
          </w:p>
        </w:tc>
        <w:tc>
          <w:tcPr>
            <w:tcW w:w="1065"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70" w:type="dxa"/>
            <w:tcBorders/>
            <w:shd w:fill="CCEEFF" w:val="clear"/>
            <w:vAlign w:val="center"/>
          </w:tcPr>
          <w:p>
            <w:pPr>
              <w:pStyle w:val="TableContents"/>
              <w:spacing w:before="0" w:after="283"/>
              <w:rPr/>
            </w:pPr>
            <w:r>
              <w:rPr/>
              <w:t> </w:t>
            </w:r>
          </w:p>
        </w:tc>
        <w:tc>
          <w:tcPr>
            <w:tcW w:w="1065" w:type="dxa"/>
            <w:tcBorders/>
            <w:shd w:fill="CCEEFF" w:val="clear"/>
            <w:vAlign w:val="center"/>
          </w:tcPr>
          <w:p>
            <w:pPr>
              <w:pStyle w:val="TableContents"/>
              <w:spacing w:before="0" w:after="283"/>
              <w:jc w:val="right"/>
              <w:rPr/>
            </w:pPr>
            <w:r>
              <w:rPr/>
              <w:t>—  </w:t>
            </w:r>
          </w:p>
        </w:tc>
        <w:tc>
          <w:tcPr>
            <w:tcW w:w="170" w:type="dxa"/>
            <w:tcBorders/>
            <w:shd w:fill="CCEEFF" w:val="clear"/>
            <w:vAlign w:val="center"/>
          </w:tcPr>
          <w:p>
            <w:pPr>
              <w:pStyle w:val="TableContents"/>
              <w:spacing w:before="0" w:after="283"/>
              <w:rPr/>
            </w:pPr>
            <w:r>
              <w:rPr/>
              <w:t> </w:t>
            </w:r>
          </w:p>
        </w:tc>
      </w:tr>
      <w:tr>
        <w:trPr/>
        <w:tc>
          <w:tcPr>
            <w:tcW w:w="5780" w:type="dxa"/>
            <w:tcBorders/>
            <w:shd w:fill="auto" w:val="clear"/>
            <w:vAlign w:val="center"/>
          </w:tcPr>
          <w:p>
            <w:pPr>
              <w:pStyle w:val="TableContents"/>
              <w:spacing w:before="0" w:after="0"/>
              <w:rPr>
                <w:rFonts w:ascii="Times New Roman" w:hAnsi="Times New Roman"/>
                <w:spacing w:val="0"/>
                <w:sz w:val="16"/>
              </w:rPr>
            </w:pPr>
            <w:r>
              <w:rPr>
                <w:rFonts w:ascii="Times New Roman" w:hAnsi="Times New Roman"/>
                <w:spacing w:val="0"/>
                <w:sz w:val="16"/>
              </w:rPr>
              <w:t>Net proceeds from the issuance of common stock</w:t>
            </w:r>
          </w:p>
        </w:tc>
        <w:tc>
          <w:tcPr>
            <w:tcW w:w="12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 </w:t>
            </w:r>
          </w:p>
        </w:tc>
        <w:tc>
          <w:tcPr>
            <w:tcW w:w="1065" w:type="dxa"/>
            <w:tcBorders/>
            <w:shd w:fill="auto" w:val="clear"/>
            <w:vAlign w:val="center"/>
          </w:tcPr>
          <w:p>
            <w:pPr>
              <w:pStyle w:val="TableContents"/>
              <w:spacing w:before="0" w:after="283"/>
              <w:jc w:val="right"/>
              <w:rPr/>
            </w:pPr>
            <w:r>
              <w:rPr/>
              <w:t>182,207</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 </w:t>
            </w:r>
          </w:p>
        </w:tc>
        <w:tc>
          <w:tcPr>
            <w:tcW w:w="1065"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 </w:t>
            </w:r>
          </w:p>
        </w:tc>
        <w:tc>
          <w:tcPr>
            <w:tcW w:w="1065" w:type="dxa"/>
            <w:tcBorders/>
            <w:shd w:fill="auto" w:val="clear"/>
            <w:vAlign w:val="center"/>
          </w:tcPr>
          <w:p>
            <w:pPr>
              <w:pStyle w:val="TableContents"/>
              <w:spacing w:before="0" w:after="283"/>
              <w:jc w:val="right"/>
              <w:rPr/>
            </w:pPr>
            <w:r>
              <w:rPr/>
              <w:t>—  </w:t>
            </w:r>
          </w:p>
        </w:tc>
        <w:tc>
          <w:tcPr>
            <w:tcW w:w="170" w:type="dxa"/>
            <w:tcBorders/>
            <w:shd w:fill="auto" w:val="clear"/>
            <w:vAlign w:val="center"/>
          </w:tcPr>
          <w:p>
            <w:pPr>
              <w:pStyle w:val="TableContents"/>
              <w:spacing w:before="0" w:after="283"/>
              <w:rPr/>
            </w:pPr>
            <w:r>
              <w:rPr/>
              <w:t> </w:t>
            </w:r>
          </w:p>
        </w:tc>
      </w:tr>
      <w:tr>
        <w:trPr/>
        <w:tc>
          <w:tcPr>
            <w:tcW w:w="5780" w:type="dxa"/>
            <w:tcBorders/>
            <w:shd w:fill="CCEEFF" w:val="clear"/>
            <w:vAlign w:val="center"/>
          </w:tcPr>
          <w:p>
            <w:pPr>
              <w:pStyle w:val="TableContents"/>
              <w:spacing w:before="0" w:after="0"/>
              <w:rPr>
                <w:rFonts w:ascii="Times New Roman" w:hAnsi="Times New Roman"/>
                <w:spacing w:val="0"/>
                <w:sz w:val="16"/>
              </w:rPr>
            </w:pPr>
            <w:r>
              <w:rPr>
                <w:rFonts w:ascii="Times New Roman" w:hAnsi="Times New Roman"/>
                <w:spacing w:val="0"/>
                <w:sz w:val="16"/>
              </w:rPr>
              <w:t>Repurchase of common stock under share repurchase program</w:t>
            </w:r>
          </w:p>
        </w:tc>
        <w:tc>
          <w:tcPr>
            <w:tcW w:w="120" w:type="dxa"/>
            <w:tcBorders/>
            <w:shd w:fill="CCEEFF" w:val="clear"/>
            <w:vAlign w:val="center"/>
          </w:tcPr>
          <w:p>
            <w:pPr>
              <w:pStyle w:val="TableContents"/>
              <w:spacing w:before="0" w:after="283"/>
              <w:rPr/>
            </w:pPr>
            <w:r>
              <w:rPr/>
              <w:t>  </w:t>
            </w:r>
          </w:p>
        </w:tc>
        <w:tc>
          <w:tcPr>
            <w:tcW w:w="170" w:type="dxa"/>
            <w:tcBorders/>
            <w:shd w:fill="CCEEFF" w:val="clear"/>
            <w:vAlign w:val="center"/>
          </w:tcPr>
          <w:p>
            <w:pPr>
              <w:pStyle w:val="TableContents"/>
              <w:spacing w:before="0" w:after="283"/>
              <w:rPr/>
            </w:pPr>
            <w:r>
              <w:rPr/>
              <w:t> </w:t>
            </w:r>
          </w:p>
        </w:tc>
        <w:tc>
          <w:tcPr>
            <w:tcW w:w="1065"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70" w:type="dxa"/>
            <w:tcBorders/>
            <w:shd w:fill="CCEEFF" w:val="clear"/>
            <w:vAlign w:val="center"/>
          </w:tcPr>
          <w:p>
            <w:pPr>
              <w:pStyle w:val="TableContents"/>
              <w:spacing w:before="0" w:after="283"/>
              <w:rPr/>
            </w:pPr>
            <w:r>
              <w:rPr/>
              <w:t> </w:t>
            </w:r>
          </w:p>
        </w:tc>
        <w:tc>
          <w:tcPr>
            <w:tcW w:w="1065" w:type="dxa"/>
            <w:tcBorders/>
            <w:shd w:fill="CCEEFF" w:val="clear"/>
            <w:vAlign w:val="center"/>
          </w:tcPr>
          <w:p>
            <w:pPr>
              <w:pStyle w:val="TableContents"/>
              <w:spacing w:before="0" w:after="283"/>
              <w:jc w:val="right"/>
              <w:rPr/>
            </w:pPr>
            <w:r>
              <w:rPr/>
              <w:t>(297,317</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70" w:type="dxa"/>
            <w:tcBorders/>
            <w:shd w:fill="CCEEFF" w:val="clear"/>
            <w:vAlign w:val="center"/>
          </w:tcPr>
          <w:p>
            <w:pPr>
              <w:pStyle w:val="TableContents"/>
              <w:spacing w:before="0" w:after="283"/>
              <w:rPr/>
            </w:pPr>
            <w:r>
              <w:rPr/>
              <w:t> </w:t>
            </w:r>
          </w:p>
        </w:tc>
        <w:tc>
          <w:tcPr>
            <w:tcW w:w="1065" w:type="dxa"/>
            <w:tcBorders/>
            <w:shd w:fill="CCEEFF" w:val="clear"/>
            <w:vAlign w:val="center"/>
          </w:tcPr>
          <w:p>
            <w:pPr>
              <w:pStyle w:val="TableContents"/>
              <w:spacing w:before="0" w:after="283"/>
              <w:jc w:val="right"/>
              <w:rPr/>
            </w:pPr>
            <w:r>
              <w:rPr/>
              <w:t>(149,125</w:t>
            </w:r>
          </w:p>
        </w:tc>
        <w:tc>
          <w:tcPr>
            <w:tcW w:w="170" w:type="dxa"/>
            <w:tcBorders/>
            <w:shd w:fill="CCEEFF" w:val="clear"/>
            <w:vAlign w:val="center"/>
          </w:tcPr>
          <w:p>
            <w:pPr>
              <w:pStyle w:val="TableContents"/>
              <w:spacing w:before="0" w:after="283"/>
              <w:rPr/>
            </w:pPr>
            <w:r>
              <w:rPr/>
              <w:t>) </w:t>
            </w:r>
          </w:p>
        </w:tc>
      </w:tr>
      <w:tr>
        <w:trPr/>
        <w:tc>
          <w:tcPr>
            <w:tcW w:w="5780" w:type="dxa"/>
            <w:tcBorders/>
            <w:shd w:fill="auto" w:val="clear"/>
            <w:vAlign w:val="center"/>
          </w:tcPr>
          <w:p>
            <w:pPr>
              <w:pStyle w:val="TableContents"/>
              <w:spacing w:before="0" w:after="0"/>
              <w:rPr>
                <w:rFonts w:ascii="Times New Roman" w:hAnsi="Times New Roman"/>
                <w:spacing w:val="0"/>
                <w:sz w:val="16"/>
              </w:rPr>
            </w:pPr>
            <w:r>
              <w:rPr>
                <w:rFonts w:ascii="Times New Roman" w:hAnsi="Times New Roman"/>
                <w:spacing w:val="0"/>
                <w:sz w:val="16"/>
              </w:rPr>
              <w:t>Repurchases of common stock to satisfy employee withholding tax obligations</w:t>
            </w:r>
          </w:p>
        </w:tc>
        <w:tc>
          <w:tcPr>
            <w:tcW w:w="12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 </w:t>
            </w:r>
          </w:p>
        </w:tc>
        <w:tc>
          <w:tcPr>
            <w:tcW w:w="1065" w:type="dxa"/>
            <w:tcBorders/>
            <w:shd w:fill="auto" w:val="clear"/>
            <w:vAlign w:val="center"/>
          </w:tcPr>
          <w:p>
            <w:pPr>
              <w:pStyle w:val="TableContents"/>
              <w:spacing w:before="0" w:after="283"/>
              <w:jc w:val="right"/>
              <w:rPr/>
            </w:pPr>
            <w:r>
              <w:rPr/>
              <w:t>(929</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 </w:t>
            </w:r>
          </w:p>
        </w:tc>
        <w:tc>
          <w:tcPr>
            <w:tcW w:w="1065" w:type="dxa"/>
            <w:tcBorders/>
            <w:shd w:fill="auto" w:val="clear"/>
            <w:vAlign w:val="center"/>
          </w:tcPr>
          <w:p>
            <w:pPr>
              <w:pStyle w:val="TableContents"/>
              <w:spacing w:before="0" w:after="283"/>
              <w:jc w:val="right"/>
              <w:rPr/>
            </w:pPr>
            <w:r>
              <w:rPr/>
              <w:t>(595</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 </w:t>
            </w:r>
          </w:p>
        </w:tc>
        <w:tc>
          <w:tcPr>
            <w:tcW w:w="1065" w:type="dxa"/>
            <w:tcBorders/>
            <w:shd w:fill="auto" w:val="clear"/>
            <w:vAlign w:val="center"/>
          </w:tcPr>
          <w:p>
            <w:pPr>
              <w:pStyle w:val="TableContents"/>
              <w:spacing w:before="0" w:after="283"/>
              <w:jc w:val="right"/>
              <w:rPr/>
            </w:pPr>
            <w:r>
              <w:rPr/>
              <w:t>(673</w:t>
            </w:r>
          </w:p>
        </w:tc>
        <w:tc>
          <w:tcPr>
            <w:tcW w:w="170" w:type="dxa"/>
            <w:tcBorders/>
            <w:shd w:fill="auto" w:val="clear"/>
            <w:vAlign w:val="center"/>
          </w:tcPr>
          <w:p>
            <w:pPr>
              <w:pStyle w:val="TableContents"/>
              <w:spacing w:before="0" w:after="283"/>
              <w:rPr/>
            </w:pPr>
            <w:r>
              <w:rPr/>
              <w:t>) </w:t>
            </w:r>
          </w:p>
        </w:tc>
      </w:tr>
      <w:tr>
        <w:trPr/>
        <w:tc>
          <w:tcPr>
            <w:tcW w:w="5780" w:type="dxa"/>
            <w:tcBorders/>
            <w:shd w:fill="CCEEFF" w:val="clear"/>
            <w:vAlign w:val="center"/>
          </w:tcPr>
          <w:p>
            <w:pPr>
              <w:pStyle w:val="TableContents"/>
              <w:spacing w:before="0" w:after="0"/>
              <w:rPr>
                <w:rFonts w:ascii="Times New Roman" w:hAnsi="Times New Roman"/>
                <w:spacing w:val="0"/>
                <w:sz w:val="16"/>
              </w:rPr>
            </w:pPr>
            <w:r>
              <w:rPr>
                <w:rFonts w:ascii="Times New Roman" w:hAnsi="Times New Roman"/>
                <w:spacing w:val="0"/>
                <w:sz w:val="16"/>
              </w:rPr>
              <w:t>Dividends paid</w:t>
            </w:r>
          </w:p>
        </w:tc>
        <w:tc>
          <w:tcPr>
            <w:tcW w:w="120" w:type="dxa"/>
            <w:tcBorders/>
            <w:shd w:fill="CCEEFF" w:val="clear"/>
            <w:vAlign w:val="center"/>
          </w:tcPr>
          <w:p>
            <w:pPr>
              <w:pStyle w:val="TableContents"/>
              <w:spacing w:before="0" w:after="283"/>
              <w:rPr/>
            </w:pPr>
            <w:r>
              <w:rPr/>
              <w:t>  </w:t>
            </w:r>
          </w:p>
        </w:tc>
        <w:tc>
          <w:tcPr>
            <w:tcW w:w="170" w:type="dxa"/>
            <w:tcBorders/>
            <w:shd w:fill="CCEEFF" w:val="clear"/>
            <w:vAlign w:val="center"/>
          </w:tcPr>
          <w:p>
            <w:pPr>
              <w:pStyle w:val="TableContents"/>
              <w:spacing w:before="0" w:after="283"/>
              <w:rPr/>
            </w:pPr>
            <w:r>
              <w:rPr/>
              <w:t> </w:t>
            </w:r>
          </w:p>
        </w:tc>
        <w:tc>
          <w:tcPr>
            <w:tcW w:w="1065" w:type="dxa"/>
            <w:tcBorders/>
            <w:shd w:fill="CCEEFF" w:val="clear"/>
            <w:vAlign w:val="center"/>
          </w:tcPr>
          <w:p>
            <w:pPr>
              <w:pStyle w:val="TableContents"/>
              <w:spacing w:before="0" w:after="283"/>
              <w:jc w:val="right"/>
              <w:rPr/>
            </w:pPr>
            <w:r>
              <w:rPr/>
              <w:t>(4,891</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70" w:type="dxa"/>
            <w:tcBorders/>
            <w:shd w:fill="CCEEFF" w:val="clear"/>
            <w:vAlign w:val="center"/>
          </w:tcPr>
          <w:p>
            <w:pPr>
              <w:pStyle w:val="TableContents"/>
              <w:spacing w:before="0" w:after="283"/>
              <w:rPr/>
            </w:pPr>
            <w:r>
              <w:rPr/>
              <w:t> </w:t>
            </w:r>
          </w:p>
        </w:tc>
        <w:tc>
          <w:tcPr>
            <w:tcW w:w="1065" w:type="dxa"/>
            <w:tcBorders/>
            <w:shd w:fill="CCEEFF" w:val="clear"/>
            <w:vAlign w:val="center"/>
          </w:tcPr>
          <w:p>
            <w:pPr>
              <w:pStyle w:val="TableContents"/>
              <w:spacing w:before="0" w:after="283"/>
              <w:jc w:val="right"/>
              <w:rPr/>
            </w:pPr>
            <w:r>
              <w:rPr/>
              <w:t>(15,724</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70" w:type="dxa"/>
            <w:tcBorders/>
            <w:shd w:fill="CCEEFF" w:val="clear"/>
            <w:vAlign w:val="center"/>
          </w:tcPr>
          <w:p>
            <w:pPr>
              <w:pStyle w:val="TableContents"/>
              <w:spacing w:before="0" w:after="283"/>
              <w:rPr/>
            </w:pPr>
            <w:r>
              <w:rPr/>
              <w:t> </w:t>
            </w:r>
          </w:p>
        </w:tc>
        <w:tc>
          <w:tcPr>
            <w:tcW w:w="1065" w:type="dxa"/>
            <w:tcBorders/>
            <w:shd w:fill="CCEEFF" w:val="clear"/>
            <w:vAlign w:val="center"/>
          </w:tcPr>
          <w:p>
            <w:pPr>
              <w:pStyle w:val="TableContents"/>
              <w:spacing w:before="0" w:after="283"/>
              <w:jc w:val="right"/>
              <w:rPr/>
            </w:pPr>
            <w:r>
              <w:rPr/>
              <w:t>(11,570</w:t>
            </w:r>
          </w:p>
        </w:tc>
        <w:tc>
          <w:tcPr>
            <w:tcW w:w="170" w:type="dxa"/>
            <w:tcBorders/>
            <w:shd w:fill="CCEEFF" w:val="clear"/>
            <w:vAlign w:val="center"/>
          </w:tcPr>
          <w:p>
            <w:pPr>
              <w:pStyle w:val="TableContents"/>
              <w:spacing w:before="0" w:after="283"/>
              <w:rPr/>
            </w:pPr>
            <w:r>
              <w:rPr/>
              <w:t>) </w:t>
            </w:r>
          </w:p>
        </w:tc>
      </w:tr>
      <w:tr>
        <w:trPr/>
        <w:tc>
          <w:tcPr>
            <w:tcW w:w="5780" w:type="dxa"/>
            <w:tcBorders/>
            <w:shd w:fill="auto" w:val="clear"/>
            <w:vAlign w:val="center"/>
          </w:tcPr>
          <w:p>
            <w:pPr>
              <w:pStyle w:val="TableContents"/>
              <w:spacing w:before="0" w:after="0"/>
              <w:rPr>
                <w:rFonts w:ascii="Times New Roman" w:hAnsi="Times New Roman"/>
                <w:spacing w:val="0"/>
                <w:sz w:val="16"/>
              </w:rPr>
            </w:pPr>
            <w:r>
              <w:rPr>
                <w:rFonts w:ascii="Times New Roman" w:hAnsi="Times New Roman"/>
                <w:spacing w:val="0"/>
                <w:sz w:val="16"/>
              </w:rPr>
              <w:t>Proceeds from the exercise of stock options</w:t>
            </w:r>
          </w:p>
        </w:tc>
        <w:tc>
          <w:tcPr>
            <w:tcW w:w="12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 </w:t>
            </w:r>
          </w:p>
        </w:tc>
        <w:tc>
          <w:tcPr>
            <w:tcW w:w="1065" w:type="dxa"/>
            <w:tcBorders/>
            <w:shd w:fill="auto" w:val="clear"/>
            <w:vAlign w:val="center"/>
          </w:tcPr>
          <w:p>
            <w:pPr>
              <w:pStyle w:val="TableContents"/>
              <w:spacing w:before="0" w:after="283"/>
              <w:jc w:val="right"/>
              <w:rPr/>
            </w:pPr>
            <w:r>
              <w:rPr/>
              <w:t>492</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 </w:t>
            </w:r>
          </w:p>
        </w:tc>
        <w:tc>
          <w:tcPr>
            <w:tcW w:w="1065" w:type="dxa"/>
            <w:tcBorders/>
            <w:shd w:fill="auto" w:val="clear"/>
            <w:vAlign w:val="center"/>
          </w:tcPr>
          <w:p>
            <w:pPr>
              <w:pStyle w:val="TableContents"/>
              <w:spacing w:before="0" w:after="283"/>
              <w:jc w:val="right"/>
              <w:rPr/>
            </w:pPr>
            <w:r>
              <w:rPr/>
              <w:t>1,051</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 </w:t>
            </w:r>
          </w:p>
        </w:tc>
        <w:tc>
          <w:tcPr>
            <w:tcW w:w="1065" w:type="dxa"/>
            <w:tcBorders/>
            <w:shd w:fill="auto" w:val="clear"/>
            <w:vAlign w:val="center"/>
          </w:tcPr>
          <w:p>
            <w:pPr>
              <w:pStyle w:val="TableContents"/>
              <w:spacing w:before="0" w:after="283"/>
              <w:jc w:val="right"/>
              <w:rPr/>
            </w:pPr>
            <w:r>
              <w:rPr/>
              <w:t>3,350</w:t>
            </w:r>
          </w:p>
        </w:tc>
        <w:tc>
          <w:tcPr>
            <w:tcW w:w="170" w:type="dxa"/>
            <w:tcBorders/>
            <w:shd w:fill="auto" w:val="clear"/>
            <w:vAlign w:val="center"/>
          </w:tcPr>
          <w:p>
            <w:pPr>
              <w:pStyle w:val="TableContents"/>
              <w:spacing w:before="0" w:after="283"/>
              <w:rPr/>
            </w:pPr>
            <w:r>
              <w:rPr/>
              <w:t> </w:t>
            </w:r>
          </w:p>
        </w:tc>
      </w:tr>
      <w:tr>
        <w:trPr/>
        <w:tc>
          <w:tcPr>
            <w:tcW w:w="578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rPr>
                <w:bdr w:val="single" w:sz="2" w:space="1" w:color="000000"/>
              </w:rPr>
            </w:pPr>
            <w:r>
              <w:rPr>
                <w:bdr w:val="single" w:sz="2" w:space="1" w:color="000000"/>
              </w:rPr>
              <w:t> </w:t>
            </w:r>
          </w:p>
        </w:tc>
        <w:tc>
          <w:tcPr>
            <w:tcW w:w="1065"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rPr>
                <w:bdr w:val="single" w:sz="2" w:space="1" w:color="000000"/>
              </w:rPr>
            </w:pPr>
            <w:r>
              <w:rPr>
                <w:bdr w:val="single" w:sz="2" w:space="1" w:color="000000"/>
              </w:rPr>
              <w:t> </w:t>
            </w:r>
          </w:p>
        </w:tc>
        <w:tc>
          <w:tcPr>
            <w:tcW w:w="1065"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rPr>
                <w:bdr w:val="single" w:sz="2" w:space="1" w:color="000000"/>
              </w:rPr>
            </w:pPr>
            <w:r>
              <w:rPr>
                <w:bdr w:val="single" w:sz="2" w:space="1" w:color="000000"/>
              </w:rPr>
              <w:t> </w:t>
            </w:r>
          </w:p>
        </w:tc>
        <w:tc>
          <w:tcPr>
            <w:tcW w:w="1065" w:type="dxa"/>
            <w:tcBorders/>
            <w:shd w:fill="auto" w:val="clear"/>
            <w:vAlign w:val="center"/>
          </w:tcPr>
          <w:p>
            <w:pPr>
              <w:pStyle w:val="TableContents"/>
              <w:spacing w:before="0" w:after="0"/>
              <w:rPr>
                <w:bdr w:val="single" w:sz="2" w:space="1" w:color="000000"/>
              </w:rPr>
            </w:pPr>
            <w:r>
              <w:rPr>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5780" w:type="dxa"/>
            <w:tcBorders/>
            <w:shd w:fill="CCEEFF" w:val="clear"/>
            <w:vAlign w:val="center"/>
          </w:tcPr>
          <w:p>
            <w:pPr>
              <w:pStyle w:val="TableContents"/>
              <w:spacing w:before="0" w:after="0"/>
              <w:rPr>
                <w:rFonts w:ascii="Times New Roman" w:hAnsi="Times New Roman"/>
                <w:sz w:val="16"/>
              </w:rPr>
            </w:pPr>
            <w:r>
              <w:rPr>
                <w:rFonts w:ascii="Times New Roman" w:hAnsi="Times New Roman"/>
                <w:sz w:val="16"/>
              </w:rPr>
              <w:t>Net cash provided by (used in) financing activities</w:t>
            </w:r>
          </w:p>
        </w:tc>
        <w:tc>
          <w:tcPr>
            <w:tcW w:w="120" w:type="dxa"/>
            <w:tcBorders/>
            <w:shd w:fill="CCEEFF" w:val="clear"/>
            <w:vAlign w:val="center"/>
          </w:tcPr>
          <w:p>
            <w:pPr>
              <w:pStyle w:val="TableContents"/>
              <w:spacing w:before="0" w:after="283"/>
              <w:rPr/>
            </w:pPr>
            <w:r>
              <w:rPr/>
              <w:t>  </w:t>
            </w:r>
          </w:p>
        </w:tc>
        <w:tc>
          <w:tcPr>
            <w:tcW w:w="170" w:type="dxa"/>
            <w:tcBorders/>
            <w:shd w:fill="CCEEFF" w:val="clear"/>
            <w:vAlign w:val="center"/>
          </w:tcPr>
          <w:p>
            <w:pPr>
              <w:pStyle w:val="TableContents"/>
              <w:spacing w:before="0" w:after="283"/>
              <w:rPr/>
            </w:pPr>
            <w:r>
              <w:rPr/>
              <w:t> </w:t>
            </w:r>
          </w:p>
        </w:tc>
        <w:tc>
          <w:tcPr>
            <w:tcW w:w="1065" w:type="dxa"/>
            <w:tcBorders/>
            <w:shd w:fill="CCEEFF" w:val="clear"/>
            <w:vAlign w:val="center"/>
          </w:tcPr>
          <w:p>
            <w:pPr>
              <w:pStyle w:val="TableContents"/>
              <w:spacing w:before="0" w:after="283"/>
              <w:jc w:val="right"/>
              <w:rPr/>
            </w:pPr>
            <w:r>
              <w:rPr/>
              <w:t>118,420</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70" w:type="dxa"/>
            <w:tcBorders/>
            <w:shd w:fill="CCEEFF" w:val="clear"/>
            <w:vAlign w:val="center"/>
          </w:tcPr>
          <w:p>
            <w:pPr>
              <w:pStyle w:val="TableContents"/>
              <w:spacing w:before="0" w:after="283"/>
              <w:rPr/>
            </w:pPr>
            <w:r>
              <w:rPr/>
              <w:t> </w:t>
            </w:r>
          </w:p>
        </w:tc>
        <w:tc>
          <w:tcPr>
            <w:tcW w:w="1065" w:type="dxa"/>
            <w:tcBorders/>
            <w:shd w:fill="CCEEFF" w:val="clear"/>
            <w:vAlign w:val="center"/>
          </w:tcPr>
          <w:p>
            <w:pPr>
              <w:pStyle w:val="TableContents"/>
              <w:spacing w:before="0" w:after="283"/>
              <w:jc w:val="right"/>
              <w:rPr/>
            </w:pPr>
            <w:r>
              <w:rPr/>
              <w:t>(58,585</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70" w:type="dxa"/>
            <w:tcBorders/>
            <w:shd w:fill="CCEEFF" w:val="clear"/>
            <w:vAlign w:val="center"/>
          </w:tcPr>
          <w:p>
            <w:pPr>
              <w:pStyle w:val="TableContents"/>
              <w:spacing w:before="0" w:after="283"/>
              <w:rPr/>
            </w:pPr>
            <w:r>
              <w:rPr/>
              <w:t> </w:t>
            </w:r>
          </w:p>
        </w:tc>
        <w:tc>
          <w:tcPr>
            <w:tcW w:w="1065" w:type="dxa"/>
            <w:tcBorders/>
            <w:shd w:fill="CCEEFF" w:val="clear"/>
            <w:vAlign w:val="center"/>
          </w:tcPr>
          <w:p>
            <w:pPr>
              <w:pStyle w:val="TableContents"/>
              <w:spacing w:before="0" w:after="283"/>
              <w:jc w:val="right"/>
              <w:rPr/>
            </w:pPr>
            <w:r>
              <w:rPr/>
              <w:t>(131,018</w:t>
            </w:r>
          </w:p>
        </w:tc>
        <w:tc>
          <w:tcPr>
            <w:tcW w:w="170" w:type="dxa"/>
            <w:tcBorders/>
            <w:shd w:fill="CCEEFF" w:val="clear"/>
            <w:vAlign w:val="center"/>
          </w:tcPr>
          <w:p>
            <w:pPr>
              <w:pStyle w:val="TableContents"/>
              <w:spacing w:before="0" w:after="283"/>
              <w:rPr/>
            </w:pPr>
            <w:r>
              <w:rPr/>
              <w:t>) </w:t>
            </w:r>
          </w:p>
        </w:tc>
      </w:tr>
      <w:tr>
        <w:trPr/>
        <w:tc>
          <w:tcPr>
            <w:tcW w:w="578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rPr>
                <w:bdr w:val="single" w:sz="2" w:space="1" w:color="000000"/>
              </w:rPr>
            </w:pPr>
            <w:r>
              <w:rPr>
                <w:bdr w:val="single" w:sz="2" w:space="1" w:color="000000"/>
              </w:rPr>
              <w:t> </w:t>
            </w:r>
          </w:p>
        </w:tc>
        <w:tc>
          <w:tcPr>
            <w:tcW w:w="1065"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rPr>
                <w:bdr w:val="single" w:sz="2" w:space="1" w:color="000000"/>
              </w:rPr>
            </w:pPr>
            <w:r>
              <w:rPr>
                <w:bdr w:val="single" w:sz="2" w:space="1" w:color="000000"/>
              </w:rPr>
              <w:t> </w:t>
            </w:r>
          </w:p>
        </w:tc>
        <w:tc>
          <w:tcPr>
            <w:tcW w:w="1065"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rPr>
                <w:bdr w:val="single" w:sz="2" w:space="1" w:color="000000"/>
              </w:rPr>
            </w:pPr>
            <w:r>
              <w:rPr>
                <w:bdr w:val="single" w:sz="2" w:space="1" w:color="000000"/>
              </w:rPr>
              <w:t> </w:t>
            </w:r>
          </w:p>
        </w:tc>
        <w:tc>
          <w:tcPr>
            <w:tcW w:w="1065" w:type="dxa"/>
            <w:tcBorders/>
            <w:shd w:fill="auto" w:val="clear"/>
            <w:vAlign w:val="center"/>
          </w:tcPr>
          <w:p>
            <w:pPr>
              <w:pStyle w:val="TableContents"/>
              <w:spacing w:before="0" w:after="0"/>
              <w:rPr>
                <w:bdr w:val="single" w:sz="2" w:space="1" w:color="000000"/>
              </w:rPr>
            </w:pPr>
            <w:r>
              <w:rPr>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5780" w:type="dxa"/>
            <w:tcBorders/>
            <w:shd w:fill="auto" w:val="clear"/>
            <w:vAlign w:val="center"/>
          </w:tcPr>
          <w:p>
            <w:pPr>
              <w:pStyle w:val="TableContents"/>
              <w:spacing w:before="0" w:after="0"/>
              <w:rPr>
                <w:rFonts w:ascii="Times New Roman" w:hAnsi="Times New Roman"/>
                <w:spacing w:val="0"/>
                <w:sz w:val="16"/>
              </w:rPr>
            </w:pPr>
            <w:r>
              <w:rPr>
                <w:rFonts w:ascii="Times New Roman" w:hAnsi="Times New Roman"/>
                <w:spacing w:val="0"/>
                <w:sz w:val="16"/>
              </w:rPr>
              <w:t>Increase (decrease) in cash and cash equivalents</w:t>
            </w:r>
          </w:p>
        </w:tc>
        <w:tc>
          <w:tcPr>
            <w:tcW w:w="12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 </w:t>
            </w:r>
          </w:p>
        </w:tc>
        <w:tc>
          <w:tcPr>
            <w:tcW w:w="1065" w:type="dxa"/>
            <w:tcBorders/>
            <w:shd w:fill="auto" w:val="clear"/>
            <w:vAlign w:val="center"/>
          </w:tcPr>
          <w:p>
            <w:pPr>
              <w:pStyle w:val="TableContents"/>
              <w:spacing w:before="0" w:after="283"/>
              <w:jc w:val="right"/>
              <w:rPr/>
            </w:pPr>
            <w:r>
              <w:rPr/>
              <w:t>(12,764</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 </w:t>
            </w:r>
          </w:p>
        </w:tc>
        <w:tc>
          <w:tcPr>
            <w:tcW w:w="1065" w:type="dxa"/>
            <w:tcBorders/>
            <w:shd w:fill="auto" w:val="clear"/>
            <w:vAlign w:val="center"/>
          </w:tcPr>
          <w:p>
            <w:pPr>
              <w:pStyle w:val="TableContents"/>
              <w:spacing w:before="0" w:after="283"/>
              <w:jc w:val="right"/>
              <w:rPr/>
            </w:pPr>
            <w:r>
              <w:rPr/>
              <w:t>3,070</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 </w:t>
            </w:r>
          </w:p>
        </w:tc>
        <w:tc>
          <w:tcPr>
            <w:tcW w:w="1065" w:type="dxa"/>
            <w:tcBorders/>
            <w:shd w:fill="auto" w:val="clear"/>
            <w:vAlign w:val="center"/>
          </w:tcPr>
          <w:p>
            <w:pPr>
              <w:pStyle w:val="TableContents"/>
              <w:spacing w:before="0" w:after="283"/>
              <w:jc w:val="right"/>
              <w:rPr/>
            </w:pPr>
            <w:r>
              <w:rPr/>
              <w:t>2,790</w:t>
            </w:r>
          </w:p>
        </w:tc>
        <w:tc>
          <w:tcPr>
            <w:tcW w:w="170" w:type="dxa"/>
            <w:tcBorders/>
            <w:shd w:fill="auto" w:val="clear"/>
            <w:vAlign w:val="center"/>
          </w:tcPr>
          <w:p>
            <w:pPr>
              <w:pStyle w:val="TableContents"/>
              <w:spacing w:before="0" w:after="283"/>
              <w:rPr/>
            </w:pPr>
            <w:r>
              <w:rPr/>
              <w:t> </w:t>
            </w:r>
          </w:p>
        </w:tc>
      </w:tr>
      <w:tr>
        <w:trPr/>
        <w:tc>
          <w:tcPr>
            <w:tcW w:w="5780" w:type="dxa"/>
            <w:tcBorders/>
            <w:shd w:fill="CCEEFF" w:val="clear"/>
            <w:vAlign w:val="center"/>
          </w:tcPr>
          <w:p>
            <w:pPr>
              <w:pStyle w:val="TableContents"/>
              <w:spacing w:before="0" w:after="0"/>
              <w:ind w:left="0" w:right="0" w:hanging="0"/>
              <w:rPr>
                <w:rFonts w:ascii="Times New Roman" w:hAnsi="Times New Roman"/>
                <w:spacing w:val="0"/>
                <w:sz w:val="16"/>
              </w:rPr>
            </w:pPr>
            <w:r>
              <w:rPr>
                <w:rFonts w:ascii="Times New Roman" w:hAnsi="Times New Roman"/>
                <w:spacing w:val="0"/>
                <w:sz w:val="16"/>
              </w:rPr>
              <w:t>Beginning cash and cash equivalents</w:t>
            </w:r>
          </w:p>
        </w:tc>
        <w:tc>
          <w:tcPr>
            <w:tcW w:w="120" w:type="dxa"/>
            <w:tcBorders/>
            <w:shd w:fill="CCEEFF" w:val="clear"/>
            <w:vAlign w:val="center"/>
          </w:tcPr>
          <w:p>
            <w:pPr>
              <w:pStyle w:val="TableContents"/>
              <w:spacing w:before="0" w:after="283"/>
              <w:rPr/>
            </w:pPr>
            <w:r>
              <w:rPr/>
              <w:t>  </w:t>
            </w:r>
          </w:p>
        </w:tc>
        <w:tc>
          <w:tcPr>
            <w:tcW w:w="170" w:type="dxa"/>
            <w:tcBorders/>
            <w:shd w:fill="CCEEFF" w:val="clear"/>
            <w:vAlign w:val="center"/>
          </w:tcPr>
          <w:p>
            <w:pPr>
              <w:pStyle w:val="TableContents"/>
              <w:spacing w:before="0" w:after="283"/>
              <w:rPr/>
            </w:pPr>
            <w:r>
              <w:rPr/>
              <w:t> </w:t>
            </w:r>
          </w:p>
        </w:tc>
        <w:tc>
          <w:tcPr>
            <w:tcW w:w="1065" w:type="dxa"/>
            <w:tcBorders/>
            <w:shd w:fill="CCEEFF" w:val="clear"/>
            <w:vAlign w:val="center"/>
          </w:tcPr>
          <w:p>
            <w:pPr>
              <w:pStyle w:val="TableContents"/>
              <w:spacing w:before="0" w:after="283"/>
              <w:jc w:val="right"/>
              <w:rPr/>
            </w:pPr>
            <w:r>
              <w:rPr/>
              <w:t>24,655</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70" w:type="dxa"/>
            <w:tcBorders/>
            <w:shd w:fill="CCEEFF" w:val="clear"/>
            <w:vAlign w:val="center"/>
          </w:tcPr>
          <w:p>
            <w:pPr>
              <w:pStyle w:val="TableContents"/>
              <w:spacing w:before="0" w:after="283"/>
              <w:rPr/>
            </w:pPr>
            <w:r>
              <w:rPr/>
              <w:t> </w:t>
            </w:r>
          </w:p>
        </w:tc>
        <w:tc>
          <w:tcPr>
            <w:tcW w:w="1065" w:type="dxa"/>
            <w:tcBorders/>
            <w:shd w:fill="CCEEFF" w:val="clear"/>
            <w:vAlign w:val="center"/>
          </w:tcPr>
          <w:p>
            <w:pPr>
              <w:pStyle w:val="TableContents"/>
              <w:spacing w:before="0" w:after="283"/>
              <w:jc w:val="right"/>
              <w:rPr/>
            </w:pPr>
            <w:r>
              <w:rPr/>
              <w:t>21,585</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70" w:type="dxa"/>
            <w:tcBorders/>
            <w:shd w:fill="CCEEFF" w:val="clear"/>
            <w:vAlign w:val="center"/>
          </w:tcPr>
          <w:p>
            <w:pPr>
              <w:pStyle w:val="TableContents"/>
              <w:spacing w:before="0" w:after="283"/>
              <w:rPr/>
            </w:pPr>
            <w:r>
              <w:rPr/>
              <w:t> </w:t>
            </w:r>
          </w:p>
        </w:tc>
        <w:tc>
          <w:tcPr>
            <w:tcW w:w="1065" w:type="dxa"/>
            <w:tcBorders/>
            <w:shd w:fill="CCEEFF" w:val="clear"/>
            <w:vAlign w:val="center"/>
          </w:tcPr>
          <w:p>
            <w:pPr>
              <w:pStyle w:val="TableContents"/>
              <w:spacing w:before="0" w:after="283"/>
              <w:jc w:val="right"/>
              <w:rPr/>
            </w:pPr>
            <w:r>
              <w:rPr/>
              <w:t>18,795</w:t>
            </w:r>
          </w:p>
        </w:tc>
        <w:tc>
          <w:tcPr>
            <w:tcW w:w="170" w:type="dxa"/>
            <w:tcBorders/>
            <w:shd w:fill="CCEEFF" w:val="clear"/>
            <w:vAlign w:val="center"/>
          </w:tcPr>
          <w:p>
            <w:pPr>
              <w:pStyle w:val="TableContents"/>
              <w:spacing w:before="0" w:after="283"/>
              <w:rPr/>
            </w:pPr>
            <w:r>
              <w:rPr/>
              <w:t> </w:t>
            </w:r>
          </w:p>
        </w:tc>
      </w:tr>
      <w:tr>
        <w:trPr/>
        <w:tc>
          <w:tcPr>
            <w:tcW w:w="578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rPr>
                <w:bdr w:val="single" w:sz="2" w:space="1" w:color="000000"/>
              </w:rPr>
            </w:pPr>
            <w:r>
              <w:rPr>
                <w:bdr w:val="single" w:sz="2" w:space="1" w:color="000000"/>
              </w:rPr>
              <w:t> </w:t>
            </w:r>
          </w:p>
        </w:tc>
        <w:tc>
          <w:tcPr>
            <w:tcW w:w="1065"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rPr>
                <w:bdr w:val="single" w:sz="2" w:space="1" w:color="000000"/>
              </w:rPr>
            </w:pPr>
            <w:r>
              <w:rPr>
                <w:bdr w:val="single" w:sz="2" w:space="1" w:color="000000"/>
              </w:rPr>
              <w:t> </w:t>
            </w:r>
          </w:p>
        </w:tc>
        <w:tc>
          <w:tcPr>
            <w:tcW w:w="1065"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rPr>
                <w:bdr w:val="single" w:sz="2" w:space="1" w:color="000000"/>
              </w:rPr>
            </w:pPr>
            <w:r>
              <w:rPr>
                <w:bdr w:val="single" w:sz="2" w:space="1" w:color="000000"/>
              </w:rPr>
              <w:t> </w:t>
            </w:r>
          </w:p>
        </w:tc>
        <w:tc>
          <w:tcPr>
            <w:tcW w:w="1065" w:type="dxa"/>
            <w:tcBorders/>
            <w:shd w:fill="auto" w:val="clear"/>
            <w:vAlign w:val="center"/>
          </w:tcPr>
          <w:p>
            <w:pPr>
              <w:pStyle w:val="TableContents"/>
              <w:spacing w:before="0" w:after="0"/>
              <w:rPr>
                <w:bdr w:val="single" w:sz="2" w:space="1" w:color="000000"/>
              </w:rPr>
            </w:pPr>
            <w:r>
              <w:rPr>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5780" w:type="dxa"/>
            <w:tcBorders/>
            <w:shd w:fill="auto" w:val="clear"/>
            <w:vAlign w:val="center"/>
          </w:tcPr>
          <w:p>
            <w:pPr>
              <w:pStyle w:val="TableContents"/>
              <w:spacing w:before="0" w:after="0"/>
              <w:rPr>
                <w:rFonts w:ascii="Times New Roman" w:hAnsi="Times New Roman"/>
                <w:b/>
                <w:spacing w:val="0"/>
                <w:sz w:val="16"/>
              </w:rPr>
            </w:pPr>
            <w:r>
              <w:rPr>
                <w:rFonts w:ascii="Times New Roman" w:hAnsi="Times New Roman"/>
                <w:b/>
                <w:spacing w:val="0"/>
                <w:sz w:val="16"/>
              </w:rPr>
              <w:t>Ending cash and cash equivalents</w:t>
            </w:r>
          </w:p>
        </w:tc>
        <w:tc>
          <w:tcPr>
            <w:tcW w:w="12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1065" w:type="dxa"/>
            <w:tcBorders/>
            <w:shd w:fill="auto" w:val="clear"/>
            <w:vAlign w:val="center"/>
          </w:tcPr>
          <w:p>
            <w:pPr>
              <w:pStyle w:val="TableContents"/>
              <w:spacing w:before="0" w:after="283"/>
              <w:jc w:val="right"/>
              <w:rPr/>
            </w:pPr>
            <w:r>
              <w:rPr/>
              <w:t>11,891</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1065" w:type="dxa"/>
            <w:tcBorders/>
            <w:shd w:fill="auto" w:val="clear"/>
            <w:vAlign w:val="center"/>
          </w:tcPr>
          <w:p>
            <w:pPr>
              <w:pStyle w:val="TableContents"/>
              <w:spacing w:before="0" w:after="283"/>
              <w:jc w:val="right"/>
              <w:rPr/>
            </w:pPr>
            <w:r>
              <w:rPr/>
              <w:t>24,655</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1065" w:type="dxa"/>
            <w:tcBorders/>
            <w:shd w:fill="auto" w:val="clear"/>
            <w:vAlign w:val="center"/>
          </w:tcPr>
          <w:p>
            <w:pPr>
              <w:pStyle w:val="TableContents"/>
              <w:spacing w:before="0" w:after="283"/>
              <w:jc w:val="right"/>
              <w:rPr/>
            </w:pPr>
            <w:r>
              <w:rPr/>
              <w:t>21,585</w:t>
            </w:r>
          </w:p>
        </w:tc>
        <w:tc>
          <w:tcPr>
            <w:tcW w:w="170" w:type="dxa"/>
            <w:tcBorders/>
            <w:shd w:fill="auto" w:val="clear"/>
            <w:vAlign w:val="center"/>
          </w:tcPr>
          <w:p>
            <w:pPr>
              <w:pStyle w:val="TableContents"/>
              <w:spacing w:before="0" w:after="283"/>
              <w:rPr/>
            </w:pPr>
            <w:r>
              <w:rPr/>
              <w:t> </w:t>
            </w:r>
          </w:p>
        </w:tc>
      </w:tr>
      <w:tr>
        <w:trPr/>
        <w:tc>
          <w:tcPr>
            <w:tcW w:w="578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rPr>
                <w:bdr w:val="double" w:sz="6" w:space="1" w:color="000000"/>
              </w:rPr>
            </w:pPr>
            <w:r>
              <w:rPr>
                <w:bdr w:val="double" w:sz="6" w:space="1" w:color="000000"/>
              </w:rPr>
              <w:t> </w:t>
            </w:r>
          </w:p>
        </w:tc>
        <w:tc>
          <w:tcPr>
            <w:tcW w:w="1065" w:type="dxa"/>
            <w:tcBorders/>
            <w:shd w:fill="auto" w:val="clear"/>
            <w:vAlign w:val="center"/>
          </w:tcPr>
          <w:p>
            <w:pPr>
              <w:pStyle w:val="TableContents"/>
              <w:spacing w:before="0" w:after="0"/>
              <w:rPr>
                <w:bdr w:val="double" w:sz="6" w:space="1" w:color="000000"/>
              </w:rPr>
            </w:pPr>
            <w:r>
              <w:rPr>
                <w:bdr w:val="double" w:sz="6"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rPr>
                <w:bdr w:val="double" w:sz="6" w:space="1" w:color="000000"/>
              </w:rPr>
            </w:pPr>
            <w:r>
              <w:rPr>
                <w:bdr w:val="double" w:sz="6" w:space="1" w:color="000000"/>
              </w:rPr>
              <w:t> </w:t>
            </w:r>
          </w:p>
        </w:tc>
        <w:tc>
          <w:tcPr>
            <w:tcW w:w="1065" w:type="dxa"/>
            <w:tcBorders/>
            <w:shd w:fill="auto" w:val="clear"/>
            <w:vAlign w:val="center"/>
          </w:tcPr>
          <w:p>
            <w:pPr>
              <w:pStyle w:val="TableContents"/>
              <w:spacing w:before="0" w:after="0"/>
              <w:rPr>
                <w:bdr w:val="double" w:sz="6" w:space="1" w:color="000000"/>
              </w:rPr>
            </w:pPr>
            <w:r>
              <w:rPr>
                <w:bdr w:val="double" w:sz="6" w:space="1" w:color="000000"/>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rPr>
                <w:bdr w:val="double" w:sz="6" w:space="1" w:color="000000"/>
              </w:rPr>
            </w:pPr>
            <w:r>
              <w:rPr>
                <w:bdr w:val="double" w:sz="6" w:space="1" w:color="000000"/>
              </w:rPr>
              <w:t> </w:t>
            </w:r>
          </w:p>
        </w:tc>
        <w:tc>
          <w:tcPr>
            <w:tcW w:w="1065" w:type="dxa"/>
            <w:tcBorders/>
            <w:shd w:fill="auto" w:val="clear"/>
            <w:vAlign w:val="center"/>
          </w:tcPr>
          <w:p>
            <w:pPr>
              <w:pStyle w:val="TableContents"/>
              <w:spacing w:before="0" w:after="0"/>
              <w:rPr>
                <w:bdr w:val="double" w:sz="6" w:space="1" w:color="000000"/>
              </w:rPr>
            </w:pPr>
            <w:r>
              <w:rPr>
                <w:bdr w:val="double" w:sz="6" w:space="1" w:color="000000"/>
              </w:rPr>
              <w:t> </w:t>
            </w:r>
          </w:p>
        </w:tc>
        <w:tc>
          <w:tcPr>
            <w:tcW w:w="170" w:type="dxa"/>
            <w:tcBorders/>
            <w:shd w:fill="auto" w:val="clear"/>
            <w:vAlign w:val="center"/>
          </w:tcPr>
          <w:p>
            <w:pPr>
              <w:pStyle w:val="TableContents"/>
              <w:spacing w:before="0" w:after="283"/>
              <w:rPr/>
            </w:pPr>
            <w:r>
              <w:rPr/>
              <w:t> </w:t>
            </w:r>
          </w:p>
        </w:tc>
      </w:tr>
      <w:tr>
        <w:trPr/>
        <w:tc>
          <w:tcPr>
            <w:tcW w:w="5780" w:type="dxa"/>
            <w:tcBorders/>
            <w:shd w:fill="CCEEFF" w:val="clear"/>
            <w:vAlign w:val="center"/>
          </w:tcPr>
          <w:p>
            <w:pPr>
              <w:pStyle w:val="TableContents"/>
              <w:spacing w:before="0" w:after="0"/>
              <w:ind w:left="0" w:right="0" w:hanging="0"/>
              <w:rPr>
                <w:rFonts w:ascii="Times New Roman" w:hAnsi="Times New Roman"/>
                <w:spacing w:val="0"/>
                <w:sz w:val="16"/>
              </w:rPr>
            </w:pPr>
            <w:r>
              <w:rPr>
                <w:rFonts w:ascii="Times New Roman" w:hAnsi="Times New Roman"/>
                <w:spacing w:val="0"/>
                <w:sz w:val="16"/>
              </w:rPr>
              <w:t>Supplemental disclosures of cash flow information:</w:t>
            </w:r>
          </w:p>
        </w:tc>
        <w:tc>
          <w:tcPr>
            <w:tcW w:w="120" w:type="dxa"/>
            <w:tcBorders/>
            <w:shd w:fill="CCEEFF" w:val="clear"/>
            <w:vAlign w:val="center"/>
          </w:tcPr>
          <w:p>
            <w:pPr>
              <w:pStyle w:val="TableContents"/>
              <w:spacing w:before="0" w:after="283"/>
              <w:rPr/>
            </w:pPr>
            <w:r>
              <w:rPr/>
              <w:t>  </w:t>
            </w:r>
          </w:p>
        </w:tc>
        <w:tc>
          <w:tcPr>
            <w:tcW w:w="170" w:type="dxa"/>
            <w:tcBorders/>
            <w:shd w:fill="CCEEFF" w:val="clear"/>
            <w:vAlign w:val="center"/>
          </w:tcPr>
          <w:p>
            <w:pPr>
              <w:pStyle w:val="TableContents"/>
              <w:spacing w:before="0" w:after="283"/>
              <w:rPr/>
            </w:pPr>
            <w:r>
              <w:rPr/>
              <w:t> </w:t>
            </w:r>
          </w:p>
        </w:tc>
        <w:tc>
          <w:tcPr>
            <w:tcW w:w="1065" w:type="dxa"/>
            <w:tcBorders/>
            <w:shd w:fill="CCEEFF" w:val="clear"/>
            <w:vAlign w:val="center"/>
          </w:tcPr>
          <w:p>
            <w:pPr>
              <w:pStyle w:val="TableContents"/>
              <w:spacing w:before="0" w:after="283"/>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70" w:type="dxa"/>
            <w:tcBorders/>
            <w:shd w:fill="CCEEFF" w:val="clear"/>
            <w:vAlign w:val="center"/>
          </w:tcPr>
          <w:p>
            <w:pPr>
              <w:pStyle w:val="TableContents"/>
              <w:spacing w:before="0" w:after="283"/>
              <w:rPr/>
            </w:pPr>
            <w:r>
              <w:rPr/>
              <w:t> </w:t>
            </w:r>
          </w:p>
        </w:tc>
        <w:tc>
          <w:tcPr>
            <w:tcW w:w="1065" w:type="dxa"/>
            <w:tcBorders/>
            <w:shd w:fill="CCEEFF" w:val="clear"/>
            <w:vAlign w:val="center"/>
          </w:tcPr>
          <w:p>
            <w:pPr>
              <w:pStyle w:val="TableContents"/>
              <w:spacing w:before="0" w:after="283"/>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70" w:type="dxa"/>
            <w:tcBorders/>
            <w:shd w:fill="CCEEFF" w:val="clear"/>
            <w:vAlign w:val="center"/>
          </w:tcPr>
          <w:p>
            <w:pPr>
              <w:pStyle w:val="TableContents"/>
              <w:spacing w:before="0" w:after="283"/>
              <w:rPr/>
            </w:pPr>
            <w:r>
              <w:rPr/>
              <w:t> </w:t>
            </w:r>
          </w:p>
        </w:tc>
        <w:tc>
          <w:tcPr>
            <w:tcW w:w="1065" w:type="dxa"/>
            <w:tcBorders/>
            <w:shd w:fill="CCEEFF" w:val="clear"/>
            <w:vAlign w:val="center"/>
          </w:tcPr>
          <w:p>
            <w:pPr>
              <w:pStyle w:val="TableContents"/>
              <w:spacing w:before="0" w:after="283"/>
              <w:rPr/>
            </w:pPr>
            <w:r>
              <w:rPr/>
              <w:t> </w:t>
            </w:r>
          </w:p>
        </w:tc>
        <w:tc>
          <w:tcPr>
            <w:tcW w:w="170" w:type="dxa"/>
            <w:tcBorders/>
            <w:shd w:fill="CCEEFF" w:val="clear"/>
            <w:vAlign w:val="center"/>
          </w:tcPr>
          <w:p>
            <w:pPr>
              <w:pStyle w:val="TableContents"/>
              <w:spacing w:before="0" w:after="283"/>
              <w:rPr/>
            </w:pPr>
            <w:r>
              <w:rPr/>
              <w:t> </w:t>
            </w:r>
          </w:p>
        </w:tc>
      </w:tr>
      <w:tr>
        <w:trPr/>
        <w:tc>
          <w:tcPr>
            <w:tcW w:w="5780" w:type="dxa"/>
            <w:tcBorders/>
            <w:shd w:fill="auto" w:val="clear"/>
            <w:vAlign w:val="center"/>
          </w:tcPr>
          <w:p>
            <w:pPr>
              <w:pStyle w:val="TableContents"/>
              <w:spacing w:before="0" w:after="0"/>
              <w:rPr>
                <w:rFonts w:ascii="Times New Roman" w:hAnsi="Times New Roman"/>
                <w:sz w:val="16"/>
              </w:rPr>
            </w:pPr>
            <w:r>
              <w:rPr>
                <w:rFonts w:ascii="Times New Roman" w:hAnsi="Times New Roman"/>
                <w:sz w:val="16"/>
              </w:rPr>
              <w:t>Increase (decrease) for capital expenditures in accounts payable</w:t>
            </w:r>
          </w:p>
        </w:tc>
        <w:tc>
          <w:tcPr>
            <w:tcW w:w="12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1065" w:type="dxa"/>
            <w:tcBorders/>
            <w:shd w:fill="auto" w:val="clear"/>
            <w:vAlign w:val="center"/>
          </w:tcPr>
          <w:p>
            <w:pPr>
              <w:pStyle w:val="TableContents"/>
              <w:spacing w:before="0" w:after="283"/>
              <w:jc w:val="right"/>
              <w:rPr/>
            </w:pPr>
            <w:r>
              <w:rPr/>
              <w:t>(19,383</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1065" w:type="dxa"/>
            <w:tcBorders/>
            <w:shd w:fill="auto" w:val="clear"/>
            <w:vAlign w:val="center"/>
          </w:tcPr>
          <w:p>
            <w:pPr>
              <w:pStyle w:val="TableContents"/>
              <w:spacing w:before="0" w:after="283"/>
              <w:jc w:val="right"/>
              <w:rPr/>
            </w:pPr>
            <w:r>
              <w:rPr/>
              <w:t>2,906</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1065" w:type="dxa"/>
            <w:tcBorders/>
            <w:shd w:fill="auto" w:val="clear"/>
            <w:vAlign w:val="center"/>
          </w:tcPr>
          <w:p>
            <w:pPr>
              <w:pStyle w:val="TableContents"/>
              <w:spacing w:before="0" w:after="283"/>
              <w:jc w:val="right"/>
              <w:rPr/>
            </w:pPr>
            <w:r>
              <w:rPr/>
              <w:t>(5,321</w:t>
            </w:r>
          </w:p>
        </w:tc>
        <w:tc>
          <w:tcPr>
            <w:tcW w:w="170" w:type="dxa"/>
            <w:tcBorders/>
            <w:shd w:fill="auto" w:val="clear"/>
            <w:vAlign w:val="center"/>
          </w:tcPr>
          <w:p>
            <w:pPr>
              <w:pStyle w:val="TableContents"/>
              <w:spacing w:before="0" w:after="283"/>
              <w:rPr/>
            </w:pPr>
            <w:r>
              <w:rPr/>
              <w:t>) </w:t>
            </w:r>
          </w:p>
        </w:tc>
      </w:tr>
      <w:tr>
        <w:trPr/>
        <w:tc>
          <w:tcPr>
            <w:tcW w:w="5780" w:type="dxa"/>
            <w:tcBorders/>
            <w:shd w:fill="CCEEFF" w:val="clear"/>
            <w:vAlign w:val="center"/>
          </w:tcPr>
          <w:p>
            <w:pPr>
              <w:pStyle w:val="TableContents"/>
              <w:spacing w:before="0" w:after="0"/>
              <w:rPr>
                <w:rFonts w:ascii="Times New Roman" w:hAnsi="Times New Roman"/>
                <w:spacing w:val="0"/>
                <w:sz w:val="16"/>
              </w:rPr>
            </w:pPr>
            <w:r>
              <w:rPr>
                <w:rFonts w:ascii="Times New Roman" w:hAnsi="Times New Roman"/>
                <w:spacing w:val="0"/>
                <w:sz w:val="16"/>
              </w:rPr>
              <w:t>Cash paid (received) for income taxes, net</w:t>
            </w:r>
          </w:p>
        </w:tc>
        <w:tc>
          <w:tcPr>
            <w:tcW w:w="120" w:type="dxa"/>
            <w:tcBorders/>
            <w:shd w:fill="CCEEFF" w:val="clear"/>
            <w:vAlign w:val="center"/>
          </w:tcPr>
          <w:p>
            <w:pPr>
              <w:pStyle w:val="TableContents"/>
              <w:spacing w:before="0" w:after="283"/>
              <w:rPr/>
            </w:pPr>
            <w:r>
              <w:rPr/>
              <w:t>  </w:t>
            </w:r>
          </w:p>
        </w:tc>
        <w:tc>
          <w:tcPr>
            <w:tcW w:w="170" w:type="dxa"/>
            <w:tcBorders/>
            <w:shd w:fill="CCEEFF" w:val="clear"/>
            <w:vAlign w:val="center"/>
          </w:tcPr>
          <w:p>
            <w:pPr>
              <w:pStyle w:val="TableContents"/>
              <w:spacing w:before="0" w:after="283"/>
              <w:rPr/>
            </w:pPr>
            <w:r>
              <w:rPr/>
              <w:t>$</w:t>
            </w:r>
          </w:p>
        </w:tc>
        <w:tc>
          <w:tcPr>
            <w:tcW w:w="1065" w:type="dxa"/>
            <w:tcBorders/>
            <w:shd w:fill="CCEEFF" w:val="clear"/>
            <w:vAlign w:val="center"/>
          </w:tcPr>
          <w:p>
            <w:pPr>
              <w:pStyle w:val="TableContents"/>
              <w:spacing w:before="0" w:after="283"/>
              <w:jc w:val="right"/>
              <w:rPr/>
            </w:pPr>
            <w:r>
              <w:rPr/>
              <w:t>(9,352</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70" w:type="dxa"/>
            <w:tcBorders/>
            <w:shd w:fill="CCEEFF" w:val="clear"/>
            <w:vAlign w:val="center"/>
          </w:tcPr>
          <w:p>
            <w:pPr>
              <w:pStyle w:val="TableContents"/>
              <w:spacing w:before="0" w:after="283"/>
              <w:rPr/>
            </w:pPr>
            <w:r>
              <w:rPr/>
              <w:t>$</w:t>
            </w:r>
          </w:p>
        </w:tc>
        <w:tc>
          <w:tcPr>
            <w:tcW w:w="1065" w:type="dxa"/>
            <w:tcBorders/>
            <w:shd w:fill="CCEEFF" w:val="clear"/>
            <w:vAlign w:val="center"/>
          </w:tcPr>
          <w:p>
            <w:pPr>
              <w:pStyle w:val="TableContents"/>
              <w:spacing w:before="0" w:after="283"/>
              <w:jc w:val="right"/>
              <w:rPr/>
            </w:pPr>
            <w:r>
              <w:rPr/>
              <w:t>27,245</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70" w:type="dxa"/>
            <w:tcBorders/>
            <w:shd w:fill="CCEEFF" w:val="clear"/>
            <w:vAlign w:val="center"/>
          </w:tcPr>
          <w:p>
            <w:pPr>
              <w:pStyle w:val="TableContents"/>
              <w:spacing w:before="0" w:after="283"/>
              <w:rPr/>
            </w:pPr>
            <w:r>
              <w:rPr/>
              <w:t>$</w:t>
            </w:r>
          </w:p>
        </w:tc>
        <w:tc>
          <w:tcPr>
            <w:tcW w:w="1065" w:type="dxa"/>
            <w:tcBorders/>
            <w:shd w:fill="CCEEFF" w:val="clear"/>
            <w:vAlign w:val="center"/>
          </w:tcPr>
          <w:p>
            <w:pPr>
              <w:pStyle w:val="TableContents"/>
              <w:spacing w:before="0" w:after="283"/>
              <w:jc w:val="right"/>
              <w:rPr/>
            </w:pPr>
            <w:r>
              <w:rPr/>
              <w:t>13,464</w:t>
            </w:r>
          </w:p>
        </w:tc>
        <w:tc>
          <w:tcPr>
            <w:tcW w:w="170" w:type="dxa"/>
            <w:tcBorders/>
            <w:shd w:fill="CCEEFF" w:val="clear"/>
            <w:vAlign w:val="center"/>
          </w:tcPr>
          <w:p>
            <w:pPr>
              <w:pStyle w:val="TableContents"/>
              <w:spacing w:before="0" w:after="283"/>
              <w:rPr/>
            </w:pPr>
            <w:r>
              <w:rPr/>
              <w:t> </w:t>
            </w:r>
          </w:p>
        </w:tc>
      </w:tr>
      <w:tr>
        <w:trPr/>
        <w:tc>
          <w:tcPr>
            <w:tcW w:w="5780" w:type="dxa"/>
            <w:tcBorders/>
            <w:shd w:fill="auto" w:val="clear"/>
            <w:vAlign w:val="center"/>
          </w:tcPr>
          <w:p>
            <w:pPr>
              <w:pStyle w:val="TableContents"/>
              <w:spacing w:before="0" w:after="0"/>
              <w:rPr>
                <w:rFonts w:ascii="Times New Roman" w:hAnsi="Times New Roman"/>
                <w:spacing w:val="0"/>
                <w:sz w:val="16"/>
              </w:rPr>
            </w:pPr>
            <w:r>
              <w:rPr>
                <w:rFonts w:ascii="Times New Roman" w:hAnsi="Times New Roman"/>
                <w:spacing w:val="0"/>
                <w:sz w:val="16"/>
              </w:rPr>
              <w:t>Cash paid for interest, net</w:t>
            </w:r>
          </w:p>
        </w:tc>
        <w:tc>
          <w:tcPr>
            <w:tcW w:w="12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1065" w:type="dxa"/>
            <w:tcBorders/>
            <w:shd w:fill="auto" w:val="clear"/>
            <w:vAlign w:val="center"/>
          </w:tcPr>
          <w:p>
            <w:pPr>
              <w:pStyle w:val="TableContents"/>
              <w:spacing w:before="0" w:after="283"/>
              <w:jc w:val="right"/>
              <w:rPr/>
            </w:pPr>
            <w:r>
              <w:rPr/>
              <w:t>17,916</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1065" w:type="dxa"/>
            <w:tcBorders/>
            <w:shd w:fill="auto" w:val="clear"/>
            <w:vAlign w:val="center"/>
          </w:tcPr>
          <w:p>
            <w:pPr>
              <w:pStyle w:val="TableContents"/>
              <w:spacing w:before="0" w:after="283"/>
              <w:jc w:val="right"/>
              <w:rPr/>
            </w:pPr>
            <w:r>
              <w:rPr/>
              <w:t>20,115</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1065" w:type="dxa"/>
            <w:tcBorders/>
            <w:shd w:fill="auto" w:val="clear"/>
            <w:vAlign w:val="center"/>
          </w:tcPr>
          <w:p>
            <w:pPr>
              <w:pStyle w:val="TableContents"/>
              <w:spacing w:before="0" w:after="283"/>
              <w:jc w:val="right"/>
              <w:rPr/>
            </w:pPr>
            <w:r>
              <w:rPr/>
              <w:t>12,247</w:t>
            </w:r>
          </w:p>
        </w:tc>
        <w:tc>
          <w:tcPr>
            <w:tcW w:w="170" w:type="dxa"/>
            <w:tcBorders/>
            <w:shd w:fill="auto" w:val="clear"/>
            <w:vAlign w:val="center"/>
          </w:tcPr>
          <w:p>
            <w:pPr>
              <w:pStyle w:val="TableContents"/>
              <w:spacing w:before="0" w:after="283"/>
              <w:rPr/>
            </w:pPr>
            <w:r>
              <w:rPr/>
              <w:t> </w:t>
            </w:r>
          </w:p>
        </w:tc>
      </w:tr>
      <w:tr>
        <w:trPr/>
        <w:tc>
          <w:tcPr>
            <w:tcW w:w="5780" w:type="dxa"/>
            <w:tcBorders/>
            <w:shd w:fill="CCEEFF" w:val="clear"/>
            <w:vAlign w:val="center"/>
          </w:tcPr>
          <w:p>
            <w:pPr>
              <w:pStyle w:val="TableContents"/>
              <w:spacing w:before="0" w:after="0"/>
              <w:rPr>
                <w:rFonts w:ascii="Times New Roman" w:hAnsi="Times New Roman"/>
                <w:spacing w:val="0"/>
                <w:sz w:val="16"/>
              </w:rPr>
            </w:pPr>
            <w:r>
              <w:rPr>
                <w:rFonts w:ascii="Times New Roman" w:hAnsi="Times New Roman"/>
                <w:spacing w:val="0"/>
                <w:sz w:val="16"/>
              </w:rPr>
              <w:t>Dividends declared, not paid</w:t>
            </w:r>
          </w:p>
        </w:tc>
        <w:tc>
          <w:tcPr>
            <w:tcW w:w="120" w:type="dxa"/>
            <w:tcBorders/>
            <w:shd w:fill="CCEEFF" w:val="clear"/>
            <w:vAlign w:val="center"/>
          </w:tcPr>
          <w:p>
            <w:pPr>
              <w:pStyle w:val="TableContents"/>
              <w:spacing w:before="0" w:after="283"/>
              <w:rPr/>
            </w:pPr>
            <w:r>
              <w:rPr/>
              <w:t>  </w:t>
            </w:r>
          </w:p>
        </w:tc>
        <w:tc>
          <w:tcPr>
            <w:tcW w:w="170" w:type="dxa"/>
            <w:tcBorders/>
            <w:shd w:fill="CCEEFF" w:val="clear"/>
            <w:vAlign w:val="center"/>
          </w:tcPr>
          <w:p>
            <w:pPr>
              <w:pStyle w:val="TableContents"/>
              <w:spacing w:before="0" w:after="283"/>
              <w:rPr/>
            </w:pPr>
            <w:r>
              <w:rPr/>
              <w:t>$</w:t>
            </w:r>
          </w:p>
        </w:tc>
        <w:tc>
          <w:tcPr>
            <w:tcW w:w="1065" w:type="dxa"/>
            <w:tcBorders/>
            <w:shd w:fill="CCEEFF" w:val="clear"/>
            <w:vAlign w:val="center"/>
          </w:tcPr>
          <w:p>
            <w:pPr>
              <w:pStyle w:val="TableContents"/>
              <w:spacing w:before="0" w:after="0"/>
              <w:jc w:val="right"/>
              <w:rPr>
                <w:spacing w:val="0"/>
              </w:rPr>
            </w:pPr>
            <w:r>
              <w:rPr>
                <w:spacing w:val="0"/>
              </w:rPr>
              <w:t>—</w:t>
            </w:r>
          </w:p>
          <w:p>
            <w:pPr>
              <w:pStyle w:val="TableContents"/>
              <w:spacing w:before="0" w:after="0"/>
              <w:jc w:val="right"/>
              <w:rPr>
                <w:spacing w:val="0"/>
              </w:rPr>
            </w:pPr>
            <w:r>
              <w:rPr>
                <w:spacing w:val="0"/>
              </w:rPr>
              <w:t> </w:t>
            </w:r>
          </w:p>
          <w:p>
            <w:pPr>
              <w:pStyle w:val="TableContents"/>
              <w:spacing w:before="0" w:after="0"/>
              <w:jc w:val="right"/>
              <w:rPr>
                <w:spacing w:val="0"/>
              </w:rPr>
            </w:pPr>
            <w:r>
              <w:rPr>
                <w:spacing w:val="0"/>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70" w:type="dxa"/>
            <w:tcBorders/>
            <w:shd w:fill="CCEEFF" w:val="clear"/>
            <w:vAlign w:val="center"/>
          </w:tcPr>
          <w:p>
            <w:pPr>
              <w:pStyle w:val="TableContents"/>
              <w:spacing w:before="0" w:after="283"/>
              <w:rPr/>
            </w:pPr>
            <w:r>
              <w:rPr/>
              <w:t>$</w:t>
            </w:r>
          </w:p>
        </w:tc>
        <w:tc>
          <w:tcPr>
            <w:tcW w:w="1065" w:type="dxa"/>
            <w:tcBorders/>
            <w:shd w:fill="CCEEFF" w:val="clear"/>
            <w:vAlign w:val="center"/>
          </w:tcPr>
          <w:p>
            <w:pPr>
              <w:pStyle w:val="TableContents"/>
              <w:spacing w:before="0" w:after="283"/>
              <w:jc w:val="right"/>
              <w:rPr/>
            </w:pPr>
            <w:r>
              <w:rPr/>
              <w:t>4,891</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70" w:type="dxa"/>
            <w:tcBorders/>
            <w:shd w:fill="CCEEFF" w:val="clear"/>
            <w:vAlign w:val="center"/>
          </w:tcPr>
          <w:p>
            <w:pPr>
              <w:pStyle w:val="TableContents"/>
              <w:spacing w:before="0" w:after="283"/>
              <w:rPr/>
            </w:pPr>
            <w:r>
              <w:rPr/>
              <w:t>$</w:t>
            </w:r>
          </w:p>
        </w:tc>
        <w:tc>
          <w:tcPr>
            <w:tcW w:w="1065" w:type="dxa"/>
            <w:tcBorders/>
            <w:shd w:fill="CCEEFF" w:val="clear"/>
            <w:vAlign w:val="center"/>
          </w:tcPr>
          <w:p>
            <w:pPr>
              <w:pStyle w:val="TableContents"/>
              <w:spacing w:before="0" w:after="283"/>
              <w:jc w:val="right"/>
              <w:rPr/>
            </w:pPr>
            <w:r>
              <w:rPr/>
              <w:t>—  </w:t>
            </w:r>
          </w:p>
        </w:tc>
        <w:tc>
          <w:tcPr>
            <w:tcW w:w="170" w:type="dxa"/>
            <w:tcBorders/>
            <w:shd w:fill="CCEEFF" w:val="clear"/>
            <w:vAlign w:val="center"/>
          </w:tcPr>
          <w:p>
            <w:pPr>
              <w:pStyle w:val="TableContents"/>
              <w:spacing w:before="0" w:after="283"/>
              <w:rPr/>
            </w:pPr>
            <w:r>
              <w:rPr/>
              <w:t> </w:t>
            </w:r>
          </w:p>
        </w:tc>
      </w:tr>
    </w:tbl>
    <w:p>
      <w:pPr>
        <w:pStyle w:val="TextBody"/>
        <w:spacing w:before="240" w:after="0"/>
        <w:jc w:val="center"/>
        <w:rPr>
          <w:rFonts w:ascii="Times New Roman" w:hAnsi="Times New Roman"/>
          <w:spacing w:val="0"/>
          <w:sz w:val="20"/>
        </w:rPr>
      </w:pPr>
      <w:r>
        <w:rPr>
          <w:rFonts w:ascii="Times New Roman" w:hAnsi="Times New Roman"/>
          <w:spacing w:val="0"/>
          <w:sz w:val="20"/>
        </w:rPr>
        <w:t xml:space="preserve">See accompanying notes to consolidated financial statements.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F-7 </w:t>
      </w:r>
    </w:p>
    <w:p>
      <w:pPr>
        <w:pStyle w:val="HorizontalLine"/>
        <w:rPr/>
      </w:pPr>
      <w:r>
        <w:rPr/>
      </w:r>
    </w:p>
    <w:p>
      <w:pPr>
        <w:pStyle w:val="TextBody"/>
        <w:spacing w:before="0" w:after="0"/>
        <w:rPr/>
      </w:pPr>
      <w:hyperlink w:anchor="toc">
        <w:r>
          <w:rPr>
            <w:rStyle w:val="InternetLink"/>
            <w:b/>
            <w:sz w:val="20"/>
          </w:rPr>
          <w:t>Table of Contents</w:t>
        </w:r>
      </w:hyperlink>
    </w:p>
    <w:p>
      <w:pPr>
        <w:pStyle w:val="TextBody"/>
        <w:spacing w:before="0" w:after="0"/>
        <w:jc w:val="center"/>
        <w:rPr>
          <w:rFonts w:ascii="Times New Roman" w:hAnsi="Times New Roman"/>
          <w:b/>
          <w:spacing w:val="0"/>
          <w:sz w:val="20"/>
        </w:rPr>
      </w:pPr>
      <w:r>
        <w:rPr>
          <w:rFonts w:ascii="Times New Roman" w:hAnsi="Times New Roman"/>
          <w:b/>
          <w:spacing w:val="0"/>
          <w:sz w:val="20"/>
        </w:rPr>
        <w:t xml:space="preserve">DAVE &amp; BUSTER’S ENTERTAINMENT, INC. </w:t>
      </w:r>
    </w:p>
    <w:p>
      <w:pPr>
        <w:pStyle w:val="TextBody"/>
        <w:spacing w:before="0" w:after="0"/>
        <w:jc w:val="center"/>
        <w:rPr>
          <w:rFonts w:ascii="Times New Roman" w:hAnsi="Times New Roman"/>
          <w:b/>
          <w:spacing w:val="0"/>
          <w:sz w:val="20"/>
        </w:rPr>
      </w:pPr>
      <w:r>
        <w:rPr>
          <w:rFonts w:ascii="Times New Roman" w:hAnsi="Times New Roman"/>
          <w:b/>
          <w:spacing w:val="0"/>
          <w:sz w:val="20"/>
        </w:rPr>
        <w:t xml:space="preserve">NOTES TO CONSOLIDATED FINANCIAL STATEMENTS </w:t>
      </w:r>
    </w:p>
    <w:p>
      <w:pPr>
        <w:pStyle w:val="TextBody"/>
        <w:spacing w:before="0" w:after="0"/>
        <w:jc w:val="center"/>
        <w:rPr>
          <w:rFonts w:ascii="Times New Roman" w:hAnsi="Times New Roman"/>
          <w:b/>
          <w:spacing w:val="0"/>
          <w:sz w:val="20"/>
        </w:rPr>
      </w:pPr>
      <w:r>
        <w:rPr>
          <w:rFonts w:ascii="Times New Roman" w:hAnsi="Times New Roman"/>
          <w:b/>
          <w:spacing w:val="0"/>
          <w:sz w:val="20"/>
        </w:rPr>
        <w:t xml:space="preserve">(in thousands, except share and per share amounts) </w:t>
      </w:r>
    </w:p>
    <w:p>
      <w:pPr>
        <w:pStyle w:val="TextBody"/>
        <w:spacing w:before="240" w:after="0"/>
        <w:jc w:val="left"/>
        <w:rPr>
          <w:rFonts w:ascii="Times New Roman" w:hAnsi="Times New Roman"/>
          <w:b/>
          <w:spacing w:val="0"/>
          <w:sz w:val="20"/>
        </w:rPr>
      </w:pPr>
      <w:r>
        <w:rPr>
          <w:rFonts w:ascii="Times New Roman" w:hAnsi="Times New Roman"/>
          <w:b/>
          <w:spacing w:val="0"/>
          <w:sz w:val="20"/>
        </w:rPr>
        <w:t xml:space="preserve">Note 1: Description of the Business and Summary of Significant Accounting Policies​​​​​​​ </w:t>
      </w:r>
    </w:p>
    <w:p>
      <w:pPr>
        <w:pStyle w:val="TextBody"/>
        <w:spacing w:before="12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Description of the business </w:t>
      </w:r>
    </w:p>
    <w:p>
      <w:pPr>
        <w:pStyle w:val="TextBody"/>
        <w:spacing w:before="120" w:after="0"/>
        <w:jc w:val="left"/>
        <w:rPr/>
      </w:pPr>
      <w:r>
        <w:rPr/>
        <w:t xml:space="preserve">— </w:t>
      </w:r>
      <w:r>
        <w:rPr>
          <w:rFonts w:ascii="Times New Roman" w:hAnsi="Times New Roman"/>
          <w:sz w:val="20"/>
        </w:rPr>
        <w:t xml:space="preserve">Dave &amp; Buster’s Entertainment, Inc. (“D&amp;B Entertainment”) is a Delaware corporation formed in June 2010. References to the “Company”, “we”, “us”, and “our” refers to D&amp;B Entertainment, any predecessor companies, and its wholly-owned subsidiaries, Dave &amp; Buster’s Holdings, Inc. (“D&amp;B Holdings”), a holding company which owns 100% of the outstanding common stock of Dave &amp; Buster’s, Inc. (“D&amp;B Inc”), the operating company. The Company, headquartered in Dallas, Texas, is a leading operator of high-volume entertainment and dining venues (“stores”) in North America for adults and families under the name “Dave &amp; Buster’s”. The Company operates its business as one operating and one reportable segment.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During fiscal 2020, we opened six new stores, and management made the decision to not </w:t>
      </w:r>
    </w:p>
    <w:p>
      <w:pPr>
        <w:pStyle w:val="TextBody"/>
        <w:spacing w:before="240" w:after="0"/>
        <w:jc w:val="left"/>
        <w:rPr>
          <w:rFonts w:ascii="Times New Roman" w:hAnsi="Times New Roman"/>
          <w:spacing w:val="0"/>
          <w:sz w:val="20"/>
        </w:rPr>
      </w:pPr>
      <w:r>
        <w:rPr>
          <w:rFonts w:ascii="Times New Roman" w:hAnsi="Times New Roman"/>
          <w:spacing w:val="0"/>
          <w:sz w:val="20"/>
        </w:rPr>
        <w:t>re-open</w:t>
      </w:r>
    </w:p>
    <w:p>
      <w:pPr>
        <w:pStyle w:val="TextBody"/>
        <w:spacing w:before="240" w:after="0"/>
        <w:jc w:val="left"/>
        <w:rPr>
          <w:rFonts w:ascii="Times New Roman" w:hAnsi="Times New Roman"/>
          <w:spacing w:val="0"/>
          <w:sz w:val="20"/>
        </w:rPr>
      </w:pPr>
      <w:r>
        <w:rPr>
          <w:rFonts w:ascii="Times New Roman" w:hAnsi="Times New Roman"/>
          <w:spacing w:val="0"/>
          <w:sz w:val="20"/>
        </w:rPr>
        <w:t>two stores located in the Chicago, Illinois area and Houston, Texas area, which are at or near the end of their respective lease terms. As of January 31, 2021, we owned and operated</w:t>
      </w:r>
    </w:p>
    <w:p>
      <w:pPr>
        <w:pStyle w:val="TextBody"/>
        <w:spacing w:before="240" w:after="0"/>
        <w:jc w:val="left"/>
        <w:rPr>
          <w:spacing w:val="0"/>
        </w:rPr>
      </w:pPr>
      <w:r>
        <w:rPr>
          <w:spacing w:val="0"/>
        </w:rPr>
        <w:t> </w:t>
      </w:r>
    </w:p>
    <w:p>
      <w:pPr>
        <w:pStyle w:val="TextBody"/>
        <w:spacing w:before="240" w:after="0"/>
        <w:jc w:val="left"/>
        <w:rPr>
          <w:rFonts w:ascii="Times New Roman" w:hAnsi="Times New Roman"/>
          <w:sz w:val="20"/>
        </w:rPr>
      </w:pPr>
      <w:r>
        <w:rPr>
          <w:rFonts w:ascii="Times New Roman" w:hAnsi="Times New Roman"/>
          <w:sz w:val="20"/>
        </w:rPr>
        <w:t>140</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stores located in </w:t>
      </w:r>
    </w:p>
    <w:p>
      <w:pPr>
        <w:pStyle w:val="TextBody"/>
        <w:spacing w:before="240" w:after="0"/>
        <w:jc w:val="left"/>
        <w:rPr>
          <w:rFonts w:ascii="Times New Roman" w:hAnsi="Times New Roman"/>
          <w:sz w:val="20"/>
        </w:rPr>
      </w:pPr>
      <w:r>
        <w:rPr>
          <w:rFonts w:ascii="Times New Roman" w:hAnsi="Times New Roman"/>
          <w:sz w:val="20"/>
        </w:rPr>
        <w:t>40</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states, Puerto Rico and </w:t>
      </w:r>
    </w:p>
    <w:p>
      <w:pPr>
        <w:pStyle w:val="TextBody"/>
        <w:spacing w:before="240" w:after="0"/>
        <w:jc w:val="left"/>
        <w:rPr>
          <w:rFonts w:ascii="Times New Roman" w:hAnsi="Times New Roman"/>
          <w:sz w:val="20"/>
        </w:rPr>
      </w:pPr>
      <w:r>
        <w:rPr>
          <w:rFonts w:ascii="Times New Roman" w:hAnsi="Times New Roman"/>
          <w:sz w:val="20"/>
        </w:rPr>
        <w:t xml:space="preserve">one </w:t>
      </w:r>
    </w:p>
    <w:p>
      <w:pPr>
        <w:pStyle w:val="TextBody"/>
        <w:spacing w:before="240" w:after="0"/>
        <w:jc w:val="left"/>
        <w:rPr>
          <w:spacing w:val="0"/>
        </w:rPr>
      </w:pPr>
      <w:r>
        <w:rPr>
          <w:spacing w:val="0"/>
        </w:rPr>
        <w:t> </w:t>
      </w:r>
    </w:p>
    <w:p>
      <w:pPr>
        <w:pStyle w:val="TextBody"/>
        <w:spacing w:before="240" w:after="0"/>
        <w:jc w:val="left"/>
        <w:rPr>
          <w:rFonts w:ascii="Times New Roman" w:hAnsi="Times New Roman"/>
          <w:spacing w:val="0"/>
          <w:sz w:val="20"/>
        </w:rPr>
      </w:pPr>
      <w:r>
        <w:rPr>
          <w:rFonts w:ascii="Times New Roman" w:hAnsi="Times New Roman"/>
          <w:spacing w:val="0"/>
          <w:sz w:val="20"/>
        </w:rPr>
        <w:t>Canadian province.</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The Company’s two stores located in the Canadian province of Ontario generated revenues of approximately $2,896, </w:t>
      </w:r>
    </w:p>
    <w:p>
      <w:pPr>
        <w:pStyle w:val="TextBody"/>
        <w:spacing w:before="240" w:after="0"/>
        <w:jc w:val="left"/>
        <w:rPr>
          <w:rFonts w:ascii="Times New Roman" w:hAnsi="Times New Roman"/>
          <w:spacing w:val="0"/>
          <w:sz w:val="20"/>
        </w:rPr>
      </w:pPr>
      <w:r>
        <w:rPr>
          <w:rFonts w:ascii="Times New Roman" w:hAnsi="Times New Roman"/>
          <w:spacing w:val="0"/>
          <w:sz w:val="20"/>
        </w:rPr>
        <w:t>$</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18,649, and $18,848 in fiscal 2020, 2019 and 2018, respectively. As of January 31, 2021, less than 2.0% of our long-lived assets were located outside of the United States. </w:t>
      </w:r>
    </w:p>
    <w:p>
      <w:pPr>
        <w:pStyle w:val="TextBody"/>
        <w:spacing w:before="24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COVID-19</w:t>
      </w:r>
    </w:p>
    <w:p>
      <w:pPr>
        <w:pStyle w:val="TextBody"/>
        <w:spacing w:before="24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Considerations</w:t>
      </w:r>
    </w:p>
    <w:p>
      <w:pPr>
        <w:pStyle w:val="TextBody"/>
        <w:spacing w:before="240" w:after="0"/>
        <w:jc w:val="left"/>
        <w:rPr/>
      </w:pPr>
      <w:r>
        <w:rPr/>
        <w:t xml:space="preserve">— </w:t>
      </w:r>
      <w:r>
        <w:rPr>
          <w:rFonts w:ascii="Times New Roman" w:hAnsi="Times New Roman"/>
          <w:sz w:val="20"/>
        </w:rPr>
        <w:t xml:space="preserve">On March 11, 2020, the World Health Organization declared the </w:t>
      </w:r>
    </w:p>
    <w:p>
      <w:pPr>
        <w:pStyle w:val="TextBody"/>
        <w:spacing w:before="240" w:after="0"/>
        <w:jc w:val="left"/>
        <w:rPr>
          <w:rFonts w:ascii="Times New Roman" w:hAnsi="Times New Roman"/>
          <w:spacing w:val="0"/>
          <w:sz w:val="20"/>
        </w:rPr>
      </w:pPr>
      <w:r>
        <w:rPr>
          <w:rFonts w:ascii="Times New Roman" w:hAnsi="Times New Roman"/>
          <w:spacing w:val="0"/>
          <w:sz w:val="20"/>
        </w:rPr>
        <w:t>COVID-19</w:t>
      </w:r>
    </w:p>
    <w:p>
      <w:pPr>
        <w:pStyle w:val="TextBody"/>
        <w:spacing w:before="240" w:after="0"/>
        <w:jc w:val="left"/>
        <w:rPr>
          <w:rFonts w:ascii="Times New Roman" w:hAnsi="Times New Roman"/>
          <w:sz w:val="20"/>
        </w:rPr>
      </w:pPr>
      <w:r>
        <w:rPr>
          <w:rFonts w:ascii="Times New Roman" w:hAnsi="Times New Roman"/>
          <w:sz w:val="20"/>
        </w:rPr>
        <w:t xml:space="preserve">outbreak to be a global pandemic and on March 13, 2020, the United States declared a National Public Health Emergency. As a result, several state and local mandates were implemented that encouraged the practice of social distancing, placed restrictions from individuals gathering in groups and, in many areas, placed complete restrictions on </w:t>
      </w:r>
    </w:p>
    <w:p>
      <w:pPr>
        <w:pStyle w:val="TextBody"/>
        <w:spacing w:before="240" w:after="0"/>
        <w:jc w:val="left"/>
        <w:rPr>
          <w:rFonts w:ascii="Times New Roman" w:hAnsi="Times New Roman"/>
          <w:spacing w:val="0"/>
          <w:sz w:val="20"/>
        </w:rPr>
      </w:pPr>
      <w:r>
        <w:rPr>
          <w:rFonts w:ascii="Times New Roman" w:hAnsi="Times New Roman"/>
          <w:spacing w:val="0"/>
          <w:sz w:val="20"/>
        </w:rPr>
        <w:t>non-essential</w:t>
      </w:r>
    </w:p>
    <w:p>
      <w:pPr>
        <w:pStyle w:val="TextBody"/>
        <w:spacing w:before="240" w:after="0"/>
        <w:jc w:val="left"/>
        <w:rPr>
          <w:rFonts w:ascii="Times New Roman" w:hAnsi="Times New Roman"/>
          <w:sz w:val="20"/>
        </w:rPr>
      </w:pPr>
      <w:r>
        <w:rPr>
          <w:rFonts w:ascii="Times New Roman" w:hAnsi="Times New Roman"/>
          <w:sz w:val="20"/>
        </w:rPr>
        <w:t xml:space="preserve">movement outside of the home. Shortly after the national emergency declaration, state and local officials began placing restrictions on businesses, some of which allowed </w:t>
      </w:r>
    </w:p>
    <w:p>
      <w:pPr>
        <w:pStyle w:val="TextBody"/>
        <w:spacing w:before="240" w:after="0"/>
        <w:jc w:val="left"/>
        <w:rPr>
          <w:rFonts w:ascii="Times New Roman" w:hAnsi="Times New Roman"/>
          <w:spacing w:val="0"/>
          <w:sz w:val="20"/>
        </w:rPr>
      </w:pPr>
      <w:r>
        <w:rPr>
          <w:rFonts w:ascii="Times New Roman" w:hAnsi="Times New Roman"/>
          <w:spacing w:val="0"/>
          <w:sz w:val="20"/>
        </w:rPr>
        <w:t>To-Go</w:t>
      </w:r>
    </w:p>
    <w:p>
      <w:pPr>
        <w:pStyle w:val="TextBody"/>
        <w:spacing w:before="240" w:after="0"/>
        <w:jc w:val="left"/>
        <w:rPr>
          <w:rFonts w:ascii="Times New Roman" w:hAnsi="Times New Roman"/>
          <w:sz w:val="20"/>
        </w:rPr>
      </w:pPr>
      <w:r>
        <w:rPr>
          <w:rFonts w:ascii="Times New Roman" w:hAnsi="Times New Roman"/>
          <w:sz w:val="20"/>
        </w:rPr>
        <w:t>or curbside service only while others limited capacity in the dining room or midway. By March 20, 2020, all of our 137 operating stores were temporarily closed (including our one new store that opened on March 16, 2020).</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On April 30, 2020, our first store </w:t>
      </w:r>
    </w:p>
    <w:p>
      <w:pPr>
        <w:pStyle w:val="TextBody"/>
        <w:spacing w:before="240" w:after="0"/>
        <w:jc w:val="left"/>
        <w:rPr>
          <w:rFonts w:ascii="Times New Roman" w:hAnsi="Times New Roman"/>
          <w:spacing w:val="0"/>
          <w:sz w:val="20"/>
        </w:rPr>
      </w:pPr>
      <w:r>
        <w:rPr>
          <w:rFonts w:ascii="Times New Roman" w:hAnsi="Times New Roman"/>
          <w:spacing w:val="0"/>
          <w:sz w:val="20"/>
        </w:rPr>
        <w:t>re-opened</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to the public, as state and local guidelines began to allow dining rooms and arcades to open at limited capacity and/or limited hours of operation. By the end of fiscal 2020, we had </w:t>
      </w:r>
    </w:p>
    <w:p>
      <w:pPr>
        <w:pStyle w:val="TextBody"/>
        <w:spacing w:before="240" w:after="0"/>
        <w:jc w:val="left"/>
        <w:rPr>
          <w:rFonts w:ascii="Times New Roman" w:hAnsi="Times New Roman"/>
          <w:spacing w:val="0"/>
          <w:sz w:val="20"/>
        </w:rPr>
      </w:pPr>
      <w:r>
        <w:rPr>
          <w:rFonts w:ascii="Times New Roman" w:hAnsi="Times New Roman"/>
          <w:spacing w:val="0"/>
          <w:sz w:val="20"/>
        </w:rPr>
        <w:t>re-opened</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an additional 101 stores with limited operations. Many of these stores that were </w:t>
      </w:r>
    </w:p>
    <w:p>
      <w:pPr>
        <w:pStyle w:val="TextBody"/>
        <w:spacing w:before="240" w:after="0"/>
        <w:jc w:val="left"/>
        <w:rPr>
          <w:rFonts w:ascii="Times New Roman" w:hAnsi="Times New Roman"/>
          <w:spacing w:val="0"/>
          <w:sz w:val="20"/>
        </w:rPr>
      </w:pPr>
      <w:r>
        <w:rPr>
          <w:rFonts w:ascii="Times New Roman" w:hAnsi="Times New Roman"/>
          <w:spacing w:val="0"/>
          <w:sz w:val="20"/>
        </w:rPr>
        <w:t>re-opened</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in limited capacity were required to temporarily close again in areas more severely impacted by the </w:t>
      </w:r>
    </w:p>
    <w:p>
      <w:pPr>
        <w:pStyle w:val="TextBody"/>
        <w:spacing w:before="240" w:after="0"/>
        <w:jc w:val="left"/>
        <w:rPr>
          <w:rFonts w:ascii="Times New Roman" w:hAnsi="Times New Roman"/>
          <w:spacing w:val="0"/>
          <w:sz w:val="20"/>
        </w:rPr>
      </w:pPr>
      <w:r>
        <w:rPr>
          <w:rFonts w:ascii="Times New Roman" w:hAnsi="Times New Roman"/>
          <w:spacing w:val="0"/>
          <w:sz w:val="20"/>
        </w:rPr>
        <w:t>COVID-19</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pandemic, particularly during the fourth quarter holiday season. The Company also opened five new stores in the second half of the fiscal year, all of which commenced construction prior to the outbreak of the </w:t>
      </w:r>
    </w:p>
    <w:p>
      <w:pPr>
        <w:pStyle w:val="TextBody"/>
        <w:spacing w:before="240" w:after="0"/>
        <w:jc w:val="left"/>
        <w:rPr>
          <w:rFonts w:ascii="Times New Roman" w:hAnsi="Times New Roman"/>
          <w:spacing w:val="0"/>
          <w:sz w:val="20"/>
        </w:rPr>
      </w:pPr>
      <w:r>
        <w:rPr>
          <w:rFonts w:ascii="Times New Roman" w:hAnsi="Times New Roman"/>
          <w:spacing w:val="0"/>
          <w:sz w:val="20"/>
        </w:rPr>
        <w:t>COVID-19</w:t>
      </w:r>
    </w:p>
    <w:p>
      <w:pPr>
        <w:pStyle w:val="TextBody"/>
        <w:spacing w:before="240" w:after="0"/>
        <w:jc w:val="left"/>
        <w:rPr>
          <w:rFonts w:ascii="Times New Roman" w:hAnsi="Times New Roman"/>
          <w:spacing w:val="0"/>
          <w:sz w:val="20"/>
        </w:rPr>
      </w:pPr>
      <w:r>
        <w:rPr>
          <w:rFonts w:ascii="Times New Roman" w:hAnsi="Times New Roman"/>
          <w:spacing w:val="0"/>
          <w:sz w:val="20"/>
        </w:rPr>
        <w:t>pandemic. As of January 31, 2021, 107 of our 140 stores were open and operating in limited capacity.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As stores are </w:t>
      </w:r>
    </w:p>
    <w:p>
      <w:pPr>
        <w:pStyle w:val="TextBody"/>
        <w:spacing w:before="240" w:after="0"/>
        <w:jc w:val="left"/>
        <w:rPr>
          <w:rFonts w:ascii="Times New Roman" w:hAnsi="Times New Roman"/>
          <w:spacing w:val="0"/>
          <w:sz w:val="20"/>
        </w:rPr>
      </w:pPr>
      <w:r>
        <w:rPr>
          <w:rFonts w:ascii="Times New Roman" w:hAnsi="Times New Roman"/>
          <w:spacing w:val="0"/>
          <w:sz w:val="20"/>
        </w:rPr>
        <w:t>re-opened,</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typically in limited capacity, the Company has </w:t>
      </w:r>
    </w:p>
    <w:p>
      <w:pPr>
        <w:pStyle w:val="TextBody"/>
        <w:spacing w:before="240" w:after="0"/>
        <w:jc w:val="left"/>
        <w:rPr>
          <w:rFonts w:ascii="Times New Roman" w:hAnsi="Times New Roman"/>
          <w:spacing w:val="0"/>
          <w:sz w:val="20"/>
        </w:rPr>
      </w:pPr>
      <w:r>
        <w:rPr>
          <w:rFonts w:ascii="Times New Roman" w:hAnsi="Times New Roman"/>
          <w:spacing w:val="0"/>
          <w:sz w:val="20"/>
        </w:rPr>
        <w:t>reduced</w:t>
      </w:r>
    </w:p>
    <w:p>
      <w:pPr>
        <w:pStyle w:val="TextBody"/>
        <w:spacing w:before="240" w:after="0"/>
        <w:jc w:val="left"/>
        <w:rPr>
          <w:spacing w:val="0"/>
        </w:rPr>
      </w:pPr>
      <w:r>
        <w:rPr>
          <w:spacing w:val="0"/>
        </w:rPr>
        <w:t> </w:t>
      </w:r>
    </w:p>
    <w:p>
      <w:pPr>
        <w:pStyle w:val="TextBody"/>
        <w:spacing w:before="240" w:after="0"/>
        <w:jc w:val="left"/>
        <w:rPr>
          <w:rFonts w:ascii="Times New Roman" w:hAnsi="Times New Roman"/>
          <w:spacing w:val="0"/>
          <w:sz w:val="20"/>
        </w:rPr>
      </w:pPr>
      <w:r>
        <w:rPr>
          <w:rFonts w:ascii="Times New Roman" w:hAnsi="Times New Roman"/>
          <w:spacing w:val="0"/>
          <w:sz w:val="20"/>
        </w:rPr>
        <w:t>labor and other operating costs. The Company has also been in ongoing discussions with landlords and other vendors to negotiate relief from cash payments under existing lease and trade payable obligations. During fiscal 2020, a total of 126 rent relief agreements related to our operating locations and corporate headquarters were initially executed, which generally provide for full deferral for three months beginning April 2020, with partial deferral continuing for periods of up to six months, at approximately 50% of those locations. As the pandemic continued to impact our business into the fourth quarter, the Company renewed negotiations with the majority of these landlords in order to provide additional rent relief, generally seeking to push out or extend the terms of deferral pay back periods and/or provide rent relief beyond the periods in the initial agreements. As of the end of fiscal 2020, the Company had executed 17 of these additional rent relief agreements. The Company also negotiated extended and reduced payment terms with several vendors.</w:t>
      </w:r>
    </w:p>
    <w:p>
      <w:pPr>
        <w:pStyle w:val="TextBody"/>
        <w:spacing w:before="240" w:after="0"/>
        <w:jc w:val="left"/>
        <w:rPr>
          <w:rFonts w:ascii="Times New Roman" w:hAnsi="Times New Roman"/>
          <w:spacing w:val="0"/>
          <w:sz w:val="20"/>
        </w:rPr>
      </w:pPr>
      <w:r>
        <w:rPr>
          <w:rFonts w:ascii="Times New Roman" w:hAnsi="Times New Roman"/>
          <w:spacing w:val="0"/>
          <w:sz w:val="20"/>
        </w:rPr>
        <w:t>In addition to reducing or deferring expenditures, including capital expenditures and discretionary spending, the</w:t>
      </w:r>
    </w:p>
    <w:p>
      <w:pPr>
        <w:pStyle w:val="TextBody"/>
        <w:spacing w:before="240" w:after="0"/>
        <w:jc w:val="left"/>
        <w:rPr>
          <w:rFonts w:ascii="Times New Roman" w:hAnsi="Times New Roman"/>
          <w:sz w:val="20"/>
        </w:rPr>
      </w:pPr>
      <w:r>
        <w:rPr>
          <w:rFonts w:ascii="Times New Roman" w:hAnsi="Times New Roman"/>
          <w:sz w:val="20"/>
        </w:rPr>
        <w:t>Company obtained additional liquidity through the sale of common stock, which resulted in net proceeds of</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F-8 </w:t>
      </w:r>
    </w:p>
    <w:p>
      <w:pPr>
        <w:pStyle w:val="HorizontalLine"/>
        <w:rPr/>
      </w:pPr>
      <w:r>
        <w:rPr/>
      </w:r>
    </w:p>
    <w:p>
      <w:pPr>
        <w:pStyle w:val="TextBody"/>
        <w:spacing w:before="0" w:after="0"/>
        <w:rPr/>
      </w:pPr>
      <w:hyperlink w:anchor="toc">
        <w:r>
          <w:rPr>
            <w:rStyle w:val="InternetLink"/>
            <w:b/>
            <w:sz w:val="20"/>
          </w:rPr>
          <w:t>Table of Contents</w:t>
        </w:r>
      </w:hyperlink>
    </w:p>
    <w:p>
      <w:pPr>
        <w:pStyle w:val="TextBody"/>
        <w:spacing w:before="0" w:after="0"/>
        <w:ind w:left="0" w:right="0" w:hanging="0"/>
        <w:jc w:val="left"/>
        <w:rPr>
          <w:rFonts w:ascii="Times New Roman" w:hAnsi="Times New Roman"/>
          <w:spacing w:val="0"/>
          <w:sz w:val="20"/>
        </w:rPr>
      </w:pPr>
      <w:r>
        <w:rPr>
          <w:rFonts w:ascii="Times New Roman" w:hAnsi="Times New Roman"/>
          <w:spacing w:val="0"/>
          <w:sz w:val="20"/>
        </w:rPr>
        <w:t xml:space="preserve">$182,207. On October 27, 2020, D&amp;B Inc completed the private sale of $550,000 in aggregate principal amount of 7.625% senior secured notes due 2025. At the same time, the revolving credit commitments under our existing credit facility were extended through August 17, 2024, and the suspension of our financial ratio covenants was extended until the last day of the first quarter of fiscal year 2022. See </w:t>
      </w:r>
    </w:p>
    <w:p>
      <w:pPr>
        <w:pStyle w:val="TextBody"/>
        <w:spacing w:before="0" w:after="0"/>
        <w:jc w:val="left"/>
        <w:rPr>
          <w:rFonts w:ascii="Times New Roman" w:hAnsi="Times New Roman"/>
          <w:spacing w:val="0"/>
          <w:sz w:val="20"/>
        </w:rPr>
      </w:pPr>
      <w:r>
        <w:rPr>
          <w:rFonts w:ascii="Times New Roman" w:hAnsi="Times New Roman"/>
          <w:spacing w:val="0"/>
          <w:sz w:val="20"/>
        </w:rPr>
        <w:t>Note 5,</w:t>
      </w:r>
    </w:p>
    <w:p>
      <w:pPr>
        <w:pStyle w:val="TextBody"/>
        <w:spacing w:before="0" w:after="0"/>
        <w:jc w:val="left"/>
        <w:rPr>
          <w:spacing w:val="0"/>
        </w:rPr>
      </w:pPr>
      <w:r>
        <w:rPr>
          <w:spacing w:val="0"/>
        </w:rPr>
        <w:t> </w:t>
      </w:r>
    </w:p>
    <w:p>
      <w:pPr>
        <w:pStyle w:val="TextBody"/>
        <w:spacing w:before="0" w:after="0"/>
        <w:jc w:val="left"/>
        <w:rPr>
          <w:rFonts w:ascii="Times New Roman" w:hAnsi="Times New Roman"/>
          <w:spacing w:val="0"/>
          <w:sz w:val="20"/>
        </w:rPr>
      </w:pPr>
      <w:r>
        <w:rPr>
          <w:rFonts w:ascii="Times New Roman" w:hAnsi="Times New Roman"/>
          <w:spacing w:val="0"/>
          <w:sz w:val="20"/>
        </w:rPr>
        <w:t>Debt, for more information on these transactions.</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The measures taken by the Company provide sufficient liquidity to meet estimated cash flow needs and covenant compliance obligations for at least the next twelve months from the issuance of the financial statements. We cannot predict whether, when or the manner in which the conditions surrounding </w:t>
      </w:r>
    </w:p>
    <w:p>
      <w:pPr>
        <w:pStyle w:val="TextBody"/>
        <w:spacing w:before="240" w:after="0"/>
        <w:jc w:val="left"/>
        <w:rPr>
          <w:rFonts w:ascii="Times New Roman" w:hAnsi="Times New Roman"/>
          <w:spacing w:val="0"/>
          <w:sz w:val="20"/>
        </w:rPr>
      </w:pPr>
      <w:r>
        <w:rPr>
          <w:rFonts w:ascii="Times New Roman" w:hAnsi="Times New Roman"/>
          <w:spacing w:val="0"/>
          <w:sz w:val="20"/>
        </w:rPr>
        <w:t>COVID-19</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will change including the timing of lifting any restrictions, when our remaining closed stores will </w:t>
      </w:r>
    </w:p>
    <w:p>
      <w:pPr>
        <w:pStyle w:val="TextBody"/>
        <w:spacing w:before="240" w:after="0"/>
        <w:jc w:val="left"/>
        <w:rPr>
          <w:rFonts w:ascii="Times New Roman" w:hAnsi="Times New Roman"/>
          <w:spacing w:val="0"/>
          <w:sz w:val="20"/>
        </w:rPr>
      </w:pPr>
      <w:r>
        <w:rPr>
          <w:rFonts w:ascii="Times New Roman" w:hAnsi="Times New Roman"/>
          <w:spacing w:val="0"/>
          <w:sz w:val="20"/>
        </w:rPr>
        <w:t>re-open,</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staffing levels for </w:t>
      </w:r>
    </w:p>
    <w:p>
      <w:pPr>
        <w:pStyle w:val="TextBody"/>
        <w:spacing w:before="240" w:after="0"/>
        <w:jc w:val="left"/>
        <w:rPr>
          <w:rFonts w:ascii="Times New Roman" w:hAnsi="Times New Roman"/>
          <w:spacing w:val="0"/>
          <w:sz w:val="20"/>
        </w:rPr>
      </w:pPr>
      <w:r>
        <w:rPr>
          <w:rFonts w:ascii="Times New Roman" w:hAnsi="Times New Roman"/>
          <w:spacing w:val="0"/>
          <w:sz w:val="20"/>
        </w:rPr>
        <w:t>re-opened</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stores, customer </w:t>
      </w:r>
    </w:p>
    <w:p>
      <w:pPr>
        <w:pStyle w:val="TextBody"/>
        <w:spacing w:before="240" w:after="0"/>
        <w:jc w:val="left"/>
        <w:rPr>
          <w:rFonts w:ascii="Times New Roman" w:hAnsi="Times New Roman"/>
          <w:spacing w:val="0"/>
          <w:sz w:val="20"/>
        </w:rPr>
      </w:pPr>
      <w:r>
        <w:rPr>
          <w:rFonts w:ascii="Times New Roman" w:hAnsi="Times New Roman"/>
          <w:spacing w:val="0"/>
          <w:sz w:val="20"/>
        </w:rPr>
        <w:t>re-engagement</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with our brand, or possible </w:t>
      </w:r>
    </w:p>
    <w:p>
      <w:pPr>
        <w:pStyle w:val="TextBody"/>
        <w:spacing w:before="240" w:after="0"/>
        <w:jc w:val="left"/>
        <w:rPr>
          <w:rFonts w:ascii="Times New Roman" w:hAnsi="Times New Roman"/>
          <w:spacing w:val="0"/>
          <w:sz w:val="20"/>
        </w:rPr>
      </w:pPr>
      <w:r>
        <w:rPr>
          <w:rFonts w:ascii="Times New Roman" w:hAnsi="Times New Roman"/>
          <w:spacing w:val="0"/>
          <w:sz w:val="20"/>
        </w:rPr>
        <w:t>re-closures</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of our currently open stores. </w:t>
      </w:r>
    </w:p>
    <w:p>
      <w:pPr>
        <w:pStyle w:val="TextBody"/>
        <w:spacing w:before="24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Principles of consolidation </w:t>
      </w:r>
    </w:p>
    <w:p>
      <w:pPr>
        <w:pStyle w:val="TextBody"/>
        <w:spacing w:before="240" w:after="0"/>
        <w:jc w:val="left"/>
        <w:rPr>
          <w:spacing w:val="0"/>
        </w:rPr>
      </w:pPr>
      <w:r>
        <w:rPr>
          <w:spacing w:val="0"/>
        </w:rPr>
        <w:t xml:space="preserve">— </w:t>
      </w:r>
      <w:r>
        <w:rPr>
          <w:rFonts w:ascii="Times New Roman" w:hAnsi="Times New Roman"/>
          <w:spacing w:val="0"/>
          <w:sz w:val="20"/>
        </w:rPr>
        <w:t xml:space="preserve">The accompanying consolidated financial statements include the accounts of D&amp;B Entertainment and its wholly owned subsidiaries and have been prepared in accordance with generally accepted accounting principles in the United States (“GAAP”). All intercompany accounts and transactions have been eliminated in consolidation. </w:t>
      </w:r>
    </w:p>
    <w:p>
      <w:pPr>
        <w:pStyle w:val="TextBody"/>
        <w:spacing w:before="240" w:after="0"/>
        <w:jc w:val="left"/>
        <w:rPr/>
      </w:pPr>
      <w:r>
        <w:rPr/>
        <w:t> </w:t>
      </w:r>
    </w:p>
    <w:p>
      <w:pPr>
        <w:pStyle w:val="TextBody"/>
        <w:spacing w:before="24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Fiscal year</w:t>
      </w:r>
    </w:p>
    <w:p>
      <w:pPr>
        <w:pStyle w:val="TextBody"/>
        <w:spacing w:before="240" w:after="0"/>
        <w:jc w:val="left"/>
        <w:rPr>
          <w:spacing w:val="0"/>
        </w:rPr>
      </w:pPr>
      <w:r>
        <w:rPr>
          <w:spacing w:val="0"/>
        </w:rPr>
        <w:t xml:space="preserve">— </w:t>
      </w:r>
      <w:r>
        <w:rPr>
          <w:rFonts w:ascii="Times New Roman" w:hAnsi="Times New Roman"/>
          <w:spacing w:val="0"/>
          <w:sz w:val="20"/>
        </w:rPr>
        <w:t>The Company’s fiscal year consists of 52 or 53 weeks ending on the Sunday after the Saturday closest to January 31. Fiscal years 2020, 2019 and 2018, which ended on January 31, 2021, February 2, 2020</w:t>
      </w:r>
    </w:p>
    <w:p>
      <w:pPr>
        <w:pStyle w:val="TextBody"/>
        <w:spacing w:before="240" w:after="0"/>
        <w:jc w:val="left"/>
        <w:rPr>
          <w:rFonts w:ascii="Times New Roman" w:hAnsi="Times New Roman"/>
          <w:spacing w:val="0"/>
          <w:sz w:val="20"/>
        </w:rPr>
      </w:pPr>
      <w:r>
        <w:rPr>
          <w:rFonts w:ascii="Times New Roman" w:hAnsi="Times New Roman"/>
          <w:spacing w:val="0"/>
          <w:sz w:val="20"/>
        </w:rPr>
        <w:t>,</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and February 3, 2019, respectively, each contained 52 weeks. Each quarterly period has 13 weeks, except in a </w:t>
      </w:r>
    </w:p>
    <w:p>
      <w:pPr>
        <w:pStyle w:val="TextBody"/>
        <w:spacing w:before="240" w:after="0"/>
        <w:jc w:val="left"/>
        <w:rPr>
          <w:rFonts w:ascii="Times New Roman" w:hAnsi="Times New Roman"/>
          <w:spacing w:val="0"/>
          <w:sz w:val="20"/>
        </w:rPr>
      </w:pPr>
      <w:r>
        <w:rPr>
          <w:rFonts w:ascii="Times New Roman" w:hAnsi="Times New Roman"/>
          <w:spacing w:val="0"/>
          <w:sz w:val="20"/>
        </w:rPr>
        <w:t>53-week</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year when the fourth quarter has 14 weeks. </w:t>
      </w:r>
    </w:p>
    <w:p>
      <w:pPr>
        <w:pStyle w:val="TextBody"/>
        <w:spacing w:before="240" w:after="0"/>
        <w:jc w:val="left"/>
        <w:rPr/>
      </w:pPr>
      <w:r>
        <w:rPr/>
        <w:t> </w:t>
      </w:r>
    </w:p>
    <w:p>
      <w:pPr>
        <w:pStyle w:val="TextBody"/>
        <w:spacing w:before="24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Use of estimates</w:t>
      </w:r>
    </w:p>
    <w:p>
      <w:pPr>
        <w:pStyle w:val="TextBody"/>
        <w:spacing w:before="240" w:after="0"/>
        <w:jc w:val="left"/>
        <w:rPr>
          <w:spacing w:val="0"/>
        </w:rPr>
      </w:pPr>
      <w:r>
        <w:rPr>
          <w:spacing w:val="0"/>
        </w:rPr>
        <w:t xml:space="preserve">— </w:t>
      </w:r>
      <w:r>
        <w:rPr>
          <w:rFonts w:ascii="Times New Roman" w:hAnsi="Times New Roman"/>
          <w:spacing w:val="0"/>
          <w:sz w:val="20"/>
        </w:rPr>
        <w:t xml:space="preserve">The preparation of the consolidated financial statements in conformity with GAAP requires management to make estimates and assumptions that affect the reported amounts of assets, liabilities, revenues, expenses and related disclosure of contingent assets and liabilities at the date of the consolidated financial statements and for the period then ended. Actual results could differ from those estimates. </w:t>
      </w:r>
    </w:p>
    <w:p>
      <w:pPr>
        <w:pStyle w:val="TextBody"/>
        <w:spacing w:before="240" w:after="0"/>
        <w:jc w:val="left"/>
        <w:rPr/>
      </w:pPr>
      <w:r>
        <w:rPr/>
        <w:t> </w:t>
      </w:r>
    </w:p>
    <w:p>
      <w:pPr>
        <w:pStyle w:val="TextBody"/>
        <w:spacing w:before="24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Cash and cash equivalents</w:t>
      </w:r>
    </w:p>
    <w:p>
      <w:pPr>
        <w:pStyle w:val="TextBody"/>
        <w:spacing w:before="240" w:after="0"/>
        <w:jc w:val="left"/>
        <w:rPr/>
      </w:pPr>
      <w:r>
        <w:rPr/>
        <w:t xml:space="preserve">— </w:t>
      </w:r>
      <w:r>
        <w:rPr>
          <w:rFonts w:ascii="Times New Roman" w:hAnsi="Times New Roman"/>
          <w:sz w:val="20"/>
        </w:rPr>
        <w:t>We consider transaction settlements in process from credit card companies and all highly-liquid investments with original maturities of three months or less to be cash equivalents. Our cash management system provides for the daily funding of all major bank disbursement accounts as checks are presented for payment. Under this system, outstanding checks in excess of the cash balances at certain banks creates book overdrafts. Book overdrafts of $8,168 and $14,026 are presented in “Accounts payable” in the Consolidated Balance Sheets as of January 31, 2021 and February 2, 2020, respectively. Changes in the book overdraft position are presented within “Net cash provided by operating activities” within the Consolidated Statements of Cash Flows. As of January 31, 2021, the Company had no restricted cash.</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Cash and cash equivalents are maintained with multiple financial institutions. Generally, these deposits may be redeemed upon demand and are maintained with financial institutions with reputable credit and therefore bear minimal credit risk. The Company maintains cash and cash equivalent balances that exceed federally insured limits with a number of financial institutions. </w:t>
      </w:r>
    </w:p>
    <w:p>
      <w:pPr>
        <w:pStyle w:val="TextBody"/>
        <w:spacing w:before="240" w:after="0"/>
        <w:jc w:val="left"/>
        <w:rPr/>
      </w:pPr>
      <w:r>
        <w:rPr/>
        <w:t> </w:t>
      </w:r>
    </w:p>
    <w:p>
      <w:pPr>
        <w:pStyle w:val="TextBody"/>
        <w:spacing w:before="24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Inventories </w:t>
      </w:r>
    </w:p>
    <w:p>
      <w:pPr>
        <w:pStyle w:val="TextBody"/>
        <w:spacing w:before="240" w:after="0"/>
        <w:jc w:val="left"/>
        <w:rPr/>
      </w:pPr>
      <w:r>
        <w:rPr/>
        <w:t xml:space="preserve">— </w:t>
      </w:r>
      <w:r>
        <w:rPr>
          <w:rFonts w:ascii="Times New Roman" w:hAnsi="Times New Roman"/>
          <w:sz w:val="20"/>
        </w:rPr>
        <w:t xml:space="preserve">Inventories consist of food, beverages, amusement merchandise and other supplies and are stated at the lower of cost </w:t>
      </w:r>
    </w:p>
    <w:p>
      <w:pPr>
        <w:pStyle w:val="TextBody"/>
        <w:spacing w:before="240" w:after="0"/>
        <w:jc w:val="left"/>
        <w:rPr>
          <w:rFonts w:ascii="Times New Roman" w:hAnsi="Times New Roman"/>
          <w:spacing w:val="0"/>
          <w:sz w:val="20"/>
        </w:rPr>
      </w:pPr>
      <w:r>
        <w:rPr>
          <w:rFonts w:ascii="Times New Roman" w:hAnsi="Times New Roman"/>
          <w:spacing w:val="0"/>
          <w:sz w:val="20"/>
        </w:rPr>
        <w:t>(first-in,</w:t>
      </w:r>
    </w:p>
    <w:p>
      <w:pPr>
        <w:pStyle w:val="TextBody"/>
        <w:spacing w:before="240" w:after="0"/>
        <w:jc w:val="left"/>
        <w:rPr>
          <w:rFonts w:ascii="Times New Roman" w:hAnsi="Times New Roman"/>
          <w:spacing w:val="0"/>
          <w:sz w:val="20"/>
        </w:rPr>
      </w:pPr>
      <w:r>
        <w:rPr>
          <w:rFonts w:ascii="Times New Roman" w:hAnsi="Times New Roman"/>
          <w:spacing w:val="0"/>
          <w:sz w:val="20"/>
        </w:rPr>
        <w:t>first-out</w:t>
      </w:r>
    </w:p>
    <w:p>
      <w:pPr>
        <w:pStyle w:val="TextBody"/>
        <w:spacing w:before="240" w:after="0"/>
        <w:jc w:val="left"/>
        <w:rPr>
          <w:rFonts w:ascii="Times New Roman" w:hAnsi="Times New Roman"/>
          <w:sz w:val="20"/>
        </w:rPr>
      </w:pPr>
      <w:r>
        <w:rPr>
          <w:rFonts w:ascii="Times New Roman" w:hAnsi="Times New Roman"/>
          <w:sz w:val="20"/>
        </w:rPr>
        <w:t>method) or net realizable value. We record inventory reserves for obsolete and slow-moving inventory.</w:t>
      </w:r>
    </w:p>
    <w:p>
      <w:pPr>
        <w:pStyle w:val="TextBody"/>
        <w:spacing w:before="24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Cloud-Based Computing Arrangements </w:t>
      </w:r>
    </w:p>
    <w:p>
      <w:pPr>
        <w:pStyle w:val="TextBody"/>
        <w:spacing w:before="240" w:after="0"/>
        <w:jc w:val="left"/>
        <w:rPr/>
      </w:pPr>
      <w:r>
        <w:rPr/>
        <w:t xml:space="preserve">— </w:t>
      </w:r>
      <w:r>
        <w:rPr>
          <w:rFonts w:ascii="Times New Roman" w:hAnsi="Times New Roman"/>
          <w:sz w:val="20"/>
        </w:rPr>
        <w:t xml:space="preserve">The Company defers application development stage costs for cloud-based computing arrangements and amortizes those costs over the related service (subscription) agreement. The unamortized cost is included in “Prepaid expenses” in the Consolidated Balance Sheets. </w:t>
      </w:r>
    </w:p>
    <w:p>
      <w:pPr>
        <w:pStyle w:val="TextBody"/>
        <w:spacing w:before="24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Property and equipment</w:t>
      </w:r>
    </w:p>
    <w:p>
      <w:pPr>
        <w:pStyle w:val="TextBody"/>
        <w:spacing w:before="240" w:after="0"/>
        <w:jc w:val="left"/>
        <w:rPr/>
      </w:pPr>
      <w:r>
        <w:rPr/>
        <w:t xml:space="preserve">— </w:t>
      </w:r>
      <w:r>
        <w:rPr>
          <w:rFonts w:ascii="Times New Roman" w:hAnsi="Times New Roman"/>
          <w:sz w:val="20"/>
        </w:rPr>
        <w:t xml:space="preserve">Property and equipment are carried at cost less accumulated depreciation. Depreciation is computed on the straight-line method, based on the shorter of the estimated useful lives or the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F-9 </w:t>
      </w:r>
    </w:p>
    <w:p>
      <w:pPr>
        <w:pStyle w:val="HorizontalLine"/>
        <w:rPr/>
      </w:pPr>
      <w:r>
        <w:rPr/>
      </w:r>
    </w:p>
    <w:p>
      <w:pPr>
        <w:pStyle w:val="TextBody"/>
        <w:spacing w:before="0" w:after="0"/>
        <w:rPr/>
      </w:pPr>
      <w:hyperlink w:anchor="toc">
        <w:r>
          <w:rPr>
            <w:rStyle w:val="InternetLink"/>
            <w:b/>
            <w:sz w:val="20"/>
          </w:rPr>
          <w:t>Table of Contents</w:t>
        </w:r>
      </w:hyperlink>
    </w:p>
    <w:p>
      <w:pPr>
        <w:pStyle w:val="TextBody"/>
        <w:spacing w:before="0" w:after="0"/>
        <w:ind w:left="0" w:right="0" w:hanging="0"/>
        <w:jc w:val="left"/>
        <w:rPr>
          <w:rFonts w:ascii="Times New Roman" w:hAnsi="Times New Roman"/>
          <w:sz w:val="20"/>
        </w:rPr>
      </w:pPr>
      <w:r>
        <w:rPr>
          <w:rFonts w:ascii="Times New Roman" w:hAnsi="Times New Roman"/>
          <w:sz w:val="20"/>
        </w:rPr>
        <w:t>terms of the underlying leases of the related assets. Estimated depreciable lives for the categories of property and equipment follows:</w:t>
      </w:r>
    </w:p>
    <w:tbl>
      <w:tblPr>
        <w:tblW w:w="6115" w:type="dxa"/>
        <w:jc w:val="left"/>
        <w:tblInd w:w="0" w:type="dxa"/>
        <w:tblCellMar>
          <w:top w:w="0" w:type="dxa"/>
          <w:left w:w="0" w:type="dxa"/>
          <w:bottom w:w="0" w:type="dxa"/>
          <w:right w:w="0" w:type="dxa"/>
        </w:tblCellMar>
      </w:tblPr>
      <w:tblGrid>
        <w:gridCol w:w="3065"/>
        <w:gridCol w:w="120"/>
        <w:gridCol w:w="2930"/>
      </w:tblGrid>
      <w:tr>
        <w:trPr/>
        <w:tc>
          <w:tcPr>
            <w:tcW w:w="306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930" w:type="dxa"/>
            <w:tcBorders/>
            <w:shd w:fill="auto" w:val="clear"/>
            <w:vAlign w:val="center"/>
          </w:tcPr>
          <w:p>
            <w:pPr>
              <w:pStyle w:val="TableContents"/>
              <w:spacing w:before="0" w:after="283"/>
              <w:rPr>
                <w:sz w:val="4"/>
                <w:szCs w:val="4"/>
              </w:rPr>
            </w:pPr>
            <w:r>
              <w:rPr>
                <w:sz w:val="4"/>
                <w:szCs w:val="4"/>
              </w:rPr>
            </w:r>
          </w:p>
        </w:tc>
      </w:tr>
      <w:tr>
        <w:trPr/>
        <w:tc>
          <w:tcPr>
            <w:tcW w:w="306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930" w:type="dxa"/>
            <w:tcBorders/>
            <w:shd w:fill="auto" w:val="clear"/>
            <w:vAlign w:val="center"/>
          </w:tcPr>
          <w:p>
            <w:pPr>
              <w:pStyle w:val="TableContents"/>
              <w:spacing w:before="0" w:after="0"/>
              <w:jc w:val="center"/>
              <w:rPr>
                <w:b/>
                <w:spacing w:val="0"/>
              </w:rPr>
            </w:pPr>
            <w:r>
              <w:rPr>
                <w:b/>
                <w:spacing w:val="0"/>
              </w:rPr>
              <w:t>Estimated Depreciable Lives</w:t>
              <w:br/>
              <w:t>(In Years)</w:t>
            </w:r>
          </w:p>
        </w:tc>
      </w:tr>
      <w:tr>
        <w:trPr/>
        <w:tc>
          <w:tcPr>
            <w:tcW w:w="306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Building and building improvements</w:t>
            </w:r>
          </w:p>
        </w:tc>
        <w:tc>
          <w:tcPr>
            <w:tcW w:w="120" w:type="dxa"/>
            <w:tcBorders/>
            <w:shd w:fill="CCEEFF" w:val="clear"/>
            <w:vAlign w:val="center"/>
          </w:tcPr>
          <w:p>
            <w:pPr>
              <w:pStyle w:val="TableContents"/>
              <w:spacing w:before="0" w:after="283"/>
              <w:rPr/>
            </w:pPr>
            <w:r>
              <w:rPr/>
              <w:t>  </w:t>
            </w:r>
          </w:p>
        </w:tc>
        <w:tc>
          <w:tcPr>
            <w:tcW w:w="2930" w:type="dxa"/>
            <w:tcBorders/>
            <w:shd w:fill="CCEEFF" w:val="clear"/>
            <w:vAlign w:val="center"/>
          </w:tcPr>
          <w:p>
            <w:pPr>
              <w:pStyle w:val="TableContents"/>
              <w:spacing w:before="0" w:after="0"/>
              <w:jc w:val="center"/>
              <w:rPr>
                <w:spacing w:val="0"/>
              </w:rPr>
            </w:pPr>
            <w:r>
              <w:rPr>
                <w:spacing w:val="0"/>
              </w:rPr>
              <w:t>5-40</w:t>
            </w:r>
          </w:p>
        </w:tc>
      </w:tr>
      <w:tr>
        <w:trPr/>
        <w:tc>
          <w:tcPr>
            <w:tcW w:w="306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Leasehold improvements</w:t>
            </w:r>
          </w:p>
        </w:tc>
        <w:tc>
          <w:tcPr>
            <w:tcW w:w="120" w:type="dxa"/>
            <w:tcBorders/>
            <w:shd w:fill="auto" w:val="clear"/>
            <w:vAlign w:val="center"/>
          </w:tcPr>
          <w:p>
            <w:pPr>
              <w:pStyle w:val="TableContents"/>
              <w:spacing w:before="0" w:after="283"/>
              <w:rPr/>
            </w:pPr>
            <w:r>
              <w:rPr/>
              <w:t>  </w:t>
            </w:r>
          </w:p>
        </w:tc>
        <w:tc>
          <w:tcPr>
            <w:tcW w:w="2930" w:type="dxa"/>
            <w:tcBorders/>
            <w:shd w:fill="auto" w:val="clear"/>
            <w:vAlign w:val="center"/>
          </w:tcPr>
          <w:p>
            <w:pPr>
              <w:pStyle w:val="TableContents"/>
              <w:spacing w:before="0" w:after="0"/>
              <w:jc w:val="center"/>
              <w:rPr>
                <w:spacing w:val="0"/>
              </w:rPr>
            </w:pPr>
            <w:r>
              <w:rPr>
                <w:spacing w:val="0"/>
              </w:rPr>
              <w:t>5-20</w:t>
            </w:r>
          </w:p>
        </w:tc>
      </w:tr>
      <w:tr>
        <w:trPr/>
        <w:tc>
          <w:tcPr>
            <w:tcW w:w="306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Furniture, fixtures and equipment</w:t>
            </w:r>
          </w:p>
        </w:tc>
        <w:tc>
          <w:tcPr>
            <w:tcW w:w="120" w:type="dxa"/>
            <w:tcBorders/>
            <w:shd w:fill="CCEEFF" w:val="clear"/>
            <w:vAlign w:val="center"/>
          </w:tcPr>
          <w:p>
            <w:pPr>
              <w:pStyle w:val="TableContents"/>
              <w:spacing w:before="0" w:after="283"/>
              <w:rPr/>
            </w:pPr>
            <w:r>
              <w:rPr/>
              <w:t>  </w:t>
            </w:r>
          </w:p>
        </w:tc>
        <w:tc>
          <w:tcPr>
            <w:tcW w:w="2930" w:type="dxa"/>
            <w:tcBorders/>
            <w:shd w:fill="CCEEFF" w:val="clear"/>
            <w:vAlign w:val="center"/>
          </w:tcPr>
          <w:p>
            <w:pPr>
              <w:pStyle w:val="TableContents"/>
              <w:spacing w:before="0" w:after="0"/>
              <w:jc w:val="center"/>
              <w:rPr>
                <w:spacing w:val="0"/>
              </w:rPr>
            </w:pPr>
            <w:r>
              <w:rPr>
                <w:spacing w:val="0"/>
              </w:rPr>
              <w:t>3-10</w:t>
            </w:r>
          </w:p>
        </w:tc>
      </w:tr>
      <w:tr>
        <w:trPr/>
        <w:tc>
          <w:tcPr>
            <w:tcW w:w="306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Games</w:t>
            </w:r>
          </w:p>
        </w:tc>
        <w:tc>
          <w:tcPr>
            <w:tcW w:w="120" w:type="dxa"/>
            <w:tcBorders/>
            <w:shd w:fill="auto" w:val="clear"/>
            <w:vAlign w:val="center"/>
          </w:tcPr>
          <w:p>
            <w:pPr>
              <w:pStyle w:val="TableContents"/>
              <w:spacing w:before="0" w:after="283"/>
              <w:rPr/>
            </w:pPr>
            <w:r>
              <w:rPr/>
              <w:t>  </w:t>
            </w:r>
          </w:p>
        </w:tc>
        <w:tc>
          <w:tcPr>
            <w:tcW w:w="2930" w:type="dxa"/>
            <w:tcBorders/>
            <w:shd w:fill="auto" w:val="clear"/>
            <w:vAlign w:val="center"/>
          </w:tcPr>
          <w:p>
            <w:pPr>
              <w:pStyle w:val="TableContents"/>
              <w:spacing w:before="0" w:after="0"/>
              <w:jc w:val="center"/>
              <w:rPr>
                <w:spacing w:val="0"/>
              </w:rPr>
            </w:pPr>
            <w:r>
              <w:rPr>
                <w:spacing w:val="0"/>
              </w:rPr>
              <w:t>3-20</w:t>
            </w:r>
          </w:p>
        </w:tc>
      </w:tr>
    </w:tbl>
    <w:p>
      <w:pPr>
        <w:pStyle w:val="TextBody"/>
        <w:spacing w:before="240" w:after="0"/>
        <w:jc w:val="left"/>
        <w:rPr>
          <w:rFonts w:ascii="Times New Roman" w:hAnsi="Times New Roman"/>
          <w:spacing w:val="0"/>
          <w:sz w:val="20"/>
        </w:rPr>
      </w:pPr>
      <w:r>
        <w:rPr>
          <w:rFonts w:ascii="Times New Roman" w:hAnsi="Times New Roman"/>
          <w:spacing w:val="0"/>
          <w:sz w:val="20"/>
        </w:rPr>
        <w:t>Expenditures that extend the life, increase capacity of or improve the safety or the efficiency of the property and equipment are capitalized,</w:t>
        <w:br/>
        <w:t xml:space="preserve">whereas costs incurred to maintain the appearance and functionality of such assets are charged to repair and maintenance expense. Application development stage costs for significant internally developed software projects are capitalized and amortized as part of furniture, fixtures, and equipment. Interest cost on funds used during the acquisition period of significant capital assets are capitalized as part of the asset and depreciated. Gains and losses related to store property and equipment disposals are recorded in “Other store operating expenses” in the Consolidated Statements of Comprehensive Income (Loss).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Annually or more frequently if an event occurs or circumstances change that would indicate that the carrying values of these assets may not be recoverable, we evaluate long-lived assets related to each store to be held and used in business, including property and equipment and </w:t>
      </w:r>
    </w:p>
    <w:p>
      <w:pPr>
        <w:pStyle w:val="TextBody"/>
        <w:spacing w:before="240" w:after="0"/>
        <w:jc w:val="left"/>
        <w:rPr>
          <w:rFonts w:ascii="Times New Roman" w:hAnsi="Times New Roman"/>
          <w:spacing w:val="0"/>
          <w:sz w:val="20"/>
        </w:rPr>
      </w:pPr>
      <w:r>
        <w:rPr>
          <w:rFonts w:ascii="Times New Roman" w:hAnsi="Times New Roman"/>
          <w:spacing w:val="0"/>
          <w:sz w:val="20"/>
        </w:rPr>
        <w:t>right-of-use</w:t>
      </w:r>
    </w:p>
    <w:p>
      <w:pPr>
        <w:pStyle w:val="TextBody"/>
        <w:spacing w:before="240" w:after="0"/>
        <w:jc w:val="left"/>
        <w:rPr>
          <w:rFonts w:ascii="Times New Roman" w:hAnsi="Times New Roman"/>
          <w:spacing w:val="0"/>
          <w:sz w:val="20"/>
        </w:rPr>
      </w:pPr>
      <w:r>
        <w:rPr>
          <w:rFonts w:ascii="Times New Roman" w:hAnsi="Times New Roman"/>
          <w:spacing w:val="0"/>
          <w:sz w:val="20"/>
        </w:rPr>
        <w:t>(“ROU”) assets. In determining the recoverability of the asset value, an analysis is performed at the individual store level, since this is the lowest level of identifiable cash flows and primarily includes an assessment of historical cash flows and other relevant factors and circumstances, including the maturity of the store, changes in the economic environment, unfavorable changes in legal factors or business climate and future operating plans. The more significant inputs used in determining our estimate of the projected undiscounted cash flows included future revenue growth and projected margins as well as the estimate of the remaining useful life of the assets. If the carrying amount is not recoverable, we record an impairment charge equal to the excess of the carrying amount over the fair value, which is estimated based on discounted projected future operating cash flows of the store over the remaining service life using a risk adjusted discount rate that is commensurate with the inherent risk.</w:t>
      </w:r>
    </w:p>
    <w:p>
      <w:pPr>
        <w:pStyle w:val="TextBody"/>
        <w:spacing w:before="240" w:after="0"/>
        <w:jc w:val="left"/>
        <w:rPr>
          <w:rFonts w:ascii="Times New Roman" w:hAnsi="Times New Roman"/>
          <w:sz w:val="20"/>
        </w:rPr>
      </w:pPr>
      <w:r>
        <w:rPr>
          <w:rFonts w:ascii="Times New Roman" w:hAnsi="Times New Roman"/>
          <w:sz w:val="20"/>
        </w:rPr>
        <w:t xml:space="preserve">During fiscal 2020, the Company recorded an impairment charge for its long-lived assets, including ROU assets, of $6,746, primarily driven by the expected impact of the </w:t>
      </w:r>
    </w:p>
    <w:p>
      <w:pPr>
        <w:pStyle w:val="TextBody"/>
        <w:spacing w:before="240" w:after="0"/>
        <w:jc w:val="left"/>
        <w:rPr>
          <w:rFonts w:ascii="Times New Roman" w:hAnsi="Times New Roman"/>
          <w:spacing w:val="0"/>
          <w:sz w:val="20"/>
        </w:rPr>
      </w:pPr>
      <w:r>
        <w:rPr>
          <w:rFonts w:ascii="Times New Roman" w:hAnsi="Times New Roman"/>
          <w:spacing w:val="0"/>
          <w:sz w:val="20"/>
        </w:rPr>
        <w:t>COVID-19</w:t>
      </w:r>
    </w:p>
    <w:p>
      <w:pPr>
        <w:pStyle w:val="TextBody"/>
        <w:spacing w:before="240" w:after="0"/>
        <w:jc w:val="left"/>
        <w:rPr>
          <w:rFonts w:ascii="Times New Roman" w:hAnsi="Times New Roman"/>
          <w:sz w:val="20"/>
        </w:rPr>
      </w:pPr>
      <w:r>
        <w:rPr>
          <w:rFonts w:ascii="Times New Roman" w:hAnsi="Times New Roman"/>
          <w:sz w:val="20"/>
        </w:rPr>
        <w:t xml:space="preserve">pandemic on future cash flows of specific stores. Additionally, the Company is continuing discussions to </w:t>
      </w:r>
    </w:p>
    <w:p>
      <w:pPr>
        <w:pStyle w:val="TextBody"/>
        <w:spacing w:before="240" w:after="0"/>
        <w:jc w:val="left"/>
        <w:rPr>
          <w:rFonts w:ascii="Times New Roman" w:hAnsi="Times New Roman"/>
          <w:spacing w:val="0"/>
          <w:sz w:val="20"/>
        </w:rPr>
      </w:pPr>
      <w:r>
        <w:rPr>
          <w:rFonts w:ascii="Times New Roman" w:hAnsi="Times New Roman"/>
          <w:spacing w:val="0"/>
          <w:sz w:val="20"/>
        </w:rPr>
        <w:t>potentially</w:t>
      </w:r>
    </w:p>
    <w:p>
      <w:pPr>
        <w:pStyle w:val="TextBody"/>
        <w:spacing w:before="240" w:after="0"/>
        <w:jc w:val="left"/>
        <w:rPr>
          <w:spacing w:val="0"/>
        </w:rPr>
      </w:pPr>
      <w:r>
        <w:rPr>
          <w:spacing w:val="0"/>
        </w:rPr>
        <w:t>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terminate or delay possession on </w:t>
      </w:r>
    </w:p>
    <w:p>
      <w:pPr>
        <w:pStyle w:val="TextBody"/>
        <w:spacing w:before="240" w:after="0"/>
        <w:jc w:val="left"/>
        <w:rPr>
          <w:rFonts w:ascii="Times New Roman" w:hAnsi="Times New Roman"/>
          <w:spacing w:val="0"/>
          <w:sz w:val="20"/>
        </w:rPr>
      </w:pPr>
      <w:r>
        <w:rPr>
          <w:rFonts w:ascii="Times New Roman" w:hAnsi="Times New Roman"/>
          <w:spacing w:val="0"/>
          <w:sz w:val="20"/>
        </w:rPr>
        <w:t>certain</w:t>
      </w:r>
    </w:p>
    <w:p>
      <w:pPr>
        <w:pStyle w:val="TextBody"/>
        <w:spacing w:before="240" w:after="0"/>
        <w:jc w:val="left"/>
        <w:rPr>
          <w:spacing w:val="0"/>
        </w:rPr>
      </w:pPr>
      <w:r>
        <w:rPr>
          <w:spacing w:val="0"/>
        </w:rPr>
        <w:t>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executed lease contracts that have not yet commenced. The Company has also curtailed several potential new store projects that were in the early stage of development. During fiscal </w:t>
      </w:r>
    </w:p>
    <w:p>
      <w:pPr>
        <w:pStyle w:val="TextBody"/>
        <w:spacing w:before="240" w:after="0"/>
        <w:jc w:val="left"/>
        <w:rPr>
          <w:rFonts w:ascii="Times New Roman" w:hAnsi="Times New Roman"/>
          <w:sz w:val="20"/>
        </w:rPr>
      </w:pPr>
      <w:r>
        <w:rPr>
          <w:rFonts w:ascii="Times New Roman" w:hAnsi="Times New Roman"/>
          <w:sz w:val="20"/>
        </w:rPr>
        <w:t>2020</w:t>
      </w:r>
    </w:p>
    <w:p>
      <w:pPr>
        <w:pStyle w:val="TextBody"/>
        <w:spacing w:before="240" w:after="0"/>
        <w:jc w:val="left"/>
        <w:rPr>
          <w:rFonts w:ascii="Times New Roman" w:hAnsi="Times New Roman"/>
          <w:spacing w:val="0"/>
          <w:sz w:val="20"/>
        </w:rPr>
      </w:pPr>
      <w:r>
        <w:rPr>
          <w:rFonts w:ascii="Times New Roman" w:hAnsi="Times New Roman"/>
          <w:spacing w:val="0"/>
          <w:sz w:val="20"/>
        </w:rPr>
        <w:t>, we recorded an impairment loss and related contract termination costs of $</w:t>
      </w:r>
    </w:p>
    <w:p>
      <w:pPr>
        <w:pStyle w:val="TextBody"/>
        <w:spacing w:before="240" w:after="0"/>
        <w:jc w:val="left"/>
        <w:rPr>
          <w:rFonts w:ascii="Times New Roman" w:hAnsi="Times New Roman"/>
          <w:sz w:val="20"/>
        </w:rPr>
      </w:pPr>
      <w:r>
        <w:rPr>
          <w:rFonts w:ascii="Times New Roman" w:hAnsi="Times New Roman"/>
          <w:sz w:val="20"/>
        </w:rPr>
        <w:t>6,981</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related to these projects, which is included in “Other store operating expenses” in the Consolidated Statements of Comprehensive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Income (Loss). Given the ongoing impacts of </w:t>
      </w:r>
    </w:p>
    <w:p>
      <w:pPr>
        <w:pStyle w:val="TextBody"/>
        <w:spacing w:before="240" w:after="0"/>
        <w:jc w:val="left"/>
        <w:rPr>
          <w:rFonts w:ascii="Times New Roman" w:hAnsi="Times New Roman"/>
          <w:spacing w:val="0"/>
          <w:sz w:val="20"/>
        </w:rPr>
      </w:pPr>
      <w:r>
        <w:rPr>
          <w:rFonts w:ascii="Times New Roman" w:hAnsi="Times New Roman"/>
          <w:spacing w:val="0"/>
          <w:sz w:val="20"/>
        </w:rPr>
        <w:t>COVID-19</w:t>
      </w:r>
    </w:p>
    <w:p>
      <w:pPr>
        <w:pStyle w:val="TextBody"/>
        <w:spacing w:before="240" w:after="0"/>
        <w:jc w:val="left"/>
        <w:rPr>
          <w:rFonts w:ascii="Times New Roman" w:hAnsi="Times New Roman"/>
          <w:spacing w:val="0"/>
          <w:sz w:val="20"/>
        </w:rPr>
      </w:pPr>
      <w:r>
        <w:rPr>
          <w:rFonts w:ascii="Times New Roman" w:hAnsi="Times New Roman"/>
          <w:spacing w:val="0"/>
          <w:sz w:val="20"/>
        </w:rPr>
        <w:t>to our business, the projected undiscounted cash flows are subject to greater uncertainty than historically. If in the future we reduce our estimate of cash flow projections, we could be required to record additional impairment charges.</w:t>
      </w:r>
    </w:p>
    <w:p>
      <w:pPr>
        <w:pStyle w:val="TextBody"/>
        <w:spacing w:before="240" w:after="0"/>
        <w:jc w:val="left"/>
        <w:rPr>
          <w:spacing w:val="0"/>
        </w:rPr>
      </w:pPr>
      <w:r>
        <w:rPr>
          <w:spacing w:val="0"/>
        </w:rPr>
        <w:t> </w:t>
      </w:r>
    </w:p>
    <w:p>
      <w:pPr>
        <w:pStyle w:val="TextBody"/>
        <w:spacing w:before="240" w:after="0"/>
        <w:jc w:val="left"/>
        <w:rPr>
          <w:rFonts w:ascii="Times New Roman" w:hAnsi="Times New Roman"/>
          <w:sz w:val="20"/>
        </w:rPr>
      </w:pPr>
      <w:r>
        <w:rPr>
          <w:rFonts w:ascii="Times New Roman" w:hAnsi="Times New Roman"/>
          <w:sz w:val="20"/>
        </w:rPr>
        <w:t>No</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impairment charges were recognized in fiscal </w:t>
      </w:r>
    </w:p>
    <w:p>
      <w:pPr>
        <w:pStyle w:val="TextBody"/>
        <w:spacing w:before="240" w:after="0"/>
        <w:jc w:val="left"/>
        <w:rPr>
          <w:rFonts w:ascii="Times New Roman" w:hAnsi="Times New Roman"/>
          <w:sz w:val="20"/>
        </w:rPr>
      </w:pPr>
      <w:r>
        <w:rPr>
          <w:rFonts w:ascii="Times New Roman" w:hAnsi="Times New Roman"/>
          <w:sz w:val="20"/>
        </w:rPr>
        <w:t>2019</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and </w:t>
      </w:r>
    </w:p>
    <w:p>
      <w:pPr>
        <w:pStyle w:val="TextBody"/>
        <w:spacing w:before="240" w:after="0"/>
        <w:jc w:val="left"/>
        <w:rPr>
          <w:rFonts w:ascii="Times New Roman" w:hAnsi="Times New Roman"/>
          <w:sz w:val="20"/>
        </w:rPr>
      </w:pPr>
      <w:r>
        <w:rPr>
          <w:rFonts w:ascii="Times New Roman" w:hAnsi="Times New Roman"/>
          <w:sz w:val="20"/>
        </w:rPr>
        <w:t>2018</w:t>
      </w:r>
    </w:p>
    <w:p>
      <w:pPr>
        <w:pStyle w:val="TextBody"/>
        <w:spacing w:before="240" w:after="0"/>
        <w:jc w:val="left"/>
        <w:rPr>
          <w:rFonts w:ascii="Times New Roman" w:hAnsi="Times New Roman"/>
          <w:spacing w:val="0"/>
          <w:sz w:val="20"/>
        </w:rPr>
      </w:pPr>
      <w:r>
        <w:rPr>
          <w:rFonts w:ascii="Times New Roman" w:hAnsi="Times New Roman"/>
          <w:spacing w:val="0"/>
          <w:sz w:val="20"/>
        </w:rPr>
        <w:t>.</w:t>
      </w:r>
    </w:p>
    <w:p>
      <w:pPr>
        <w:pStyle w:val="TextBody"/>
        <w:spacing w:before="24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Goodwill and tradenames</w:t>
      </w:r>
    </w:p>
    <w:p>
      <w:pPr>
        <w:pStyle w:val="TextBody"/>
        <w:spacing w:before="240" w:after="0"/>
        <w:jc w:val="left"/>
        <w:rPr>
          <w:spacing w:val="0"/>
        </w:rPr>
      </w:pPr>
      <w:r>
        <w:rPr>
          <w:spacing w:val="0"/>
        </w:rPr>
        <w:t xml:space="preserve">— </w:t>
      </w:r>
      <w:r>
        <w:rPr>
          <w:rFonts w:ascii="Times New Roman" w:hAnsi="Times New Roman"/>
          <w:spacing w:val="0"/>
          <w:sz w:val="20"/>
        </w:rPr>
        <w:t>The</w:t>
      </w:r>
    </w:p>
    <w:p>
      <w:pPr>
        <w:pStyle w:val="TextBody"/>
        <w:spacing w:before="240" w:after="0"/>
        <w:jc w:val="left"/>
        <w:rPr>
          <w:spacing w:val="0"/>
        </w:rPr>
      </w:pPr>
      <w:r>
        <w:rPr>
          <w:spacing w:val="0"/>
        </w:rPr>
        <w:t> </w:t>
      </w:r>
    </w:p>
    <w:p>
      <w:pPr>
        <w:pStyle w:val="TextBody"/>
        <w:spacing w:before="240" w:after="0"/>
        <w:jc w:val="left"/>
        <w:rPr>
          <w:rFonts w:ascii="Times New Roman" w:hAnsi="Times New Roman"/>
          <w:spacing w:val="0"/>
          <w:sz w:val="20"/>
        </w:rPr>
      </w:pPr>
      <w:r>
        <w:rPr>
          <w:rFonts w:ascii="Times New Roman" w:hAnsi="Times New Roman"/>
          <w:spacing w:val="0"/>
          <w:sz w:val="20"/>
        </w:rPr>
        <w:t>carrying amount of goodwill is impacted by foreign currency translation adjustments. The foreign currency translation adjustment decreased goodwill by $</w:t>
      </w:r>
    </w:p>
    <w:p>
      <w:pPr>
        <w:pStyle w:val="TextBody"/>
        <w:spacing w:before="240" w:after="0"/>
        <w:jc w:val="left"/>
        <w:rPr>
          <w:rFonts w:ascii="Times New Roman" w:hAnsi="Times New Roman"/>
          <w:sz w:val="20"/>
        </w:rPr>
      </w:pPr>
      <w:r>
        <w:rPr>
          <w:rFonts w:ascii="Times New Roman" w:hAnsi="Times New Roman"/>
          <w:sz w:val="20"/>
        </w:rPr>
        <w:t>39</w:t>
      </w:r>
    </w:p>
    <w:p>
      <w:pPr>
        <w:pStyle w:val="TextBody"/>
        <w:spacing w:before="240" w:after="0"/>
        <w:jc w:val="left"/>
        <w:rPr>
          <w:rFonts w:ascii="Times New Roman" w:hAnsi="Times New Roman"/>
          <w:spacing w:val="0"/>
          <w:sz w:val="20"/>
        </w:rPr>
      </w:pPr>
      <w:r>
        <w:rPr>
          <w:rFonts w:ascii="Times New Roman" w:hAnsi="Times New Roman"/>
          <w:spacing w:val="0"/>
          <w:sz w:val="20"/>
        </w:rPr>
        <w:t>and increased goodwill by $</w:t>
      </w:r>
    </w:p>
    <w:p>
      <w:pPr>
        <w:pStyle w:val="TextBody"/>
        <w:spacing w:before="240" w:after="0"/>
        <w:jc w:val="left"/>
        <w:rPr>
          <w:rFonts w:ascii="Times New Roman" w:hAnsi="Times New Roman"/>
          <w:sz w:val="20"/>
        </w:rPr>
      </w:pPr>
      <w:r>
        <w:rPr>
          <w:rFonts w:ascii="Times New Roman" w:hAnsi="Times New Roman"/>
          <w:sz w:val="20"/>
        </w:rPr>
        <w:t>11</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during fiscal </w:t>
      </w:r>
    </w:p>
    <w:p>
      <w:pPr>
        <w:pStyle w:val="TextBody"/>
        <w:spacing w:before="240" w:after="0"/>
        <w:jc w:val="left"/>
        <w:rPr>
          <w:rFonts w:ascii="Times New Roman" w:hAnsi="Times New Roman"/>
          <w:sz w:val="20"/>
        </w:rPr>
      </w:pPr>
      <w:r>
        <w:rPr>
          <w:rFonts w:ascii="Times New Roman" w:hAnsi="Times New Roman"/>
          <w:sz w:val="20"/>
        </w:rPr>
        <w:t>2020</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and fiscal </w:t>
      </w:r>
    </w:p>
    <w:p>
      <w:pPr>
        <w:pStyle w:val="TextBody"/>
        <w:spacing w:before="240" w:after="0"/>
        <w:jc w:val="left"/>
        <w:rPr>
          <w:rFonts w:ascii="Times New Roman" w:hAnsi="Times New Roman"/>
          <w:sz w:val="20"/>
        </w:rPr>
      </w:pPr>
      <w:r>
        <w:rPr>
          <w:rFonts w:ascii="Times New Roman" w:hAnsi="Times New Roman"/>
          <w:sz w:val="20"/>
        </w:rPr>
        <w:t>2019</w:t>
      </w:r>
    </w:p>
    <w:p>
      <w:pPr>
        <w:pStyle w:val="TextBody"/>
        <w:spacing w:before="240" w:after="0"/>
        <w:jc w:val="left"/>
        <w:rPr>
          <w:rFonts w:ascii="Times New Roman" w:hAnsi="Times New Roman"/>
          <w:spacing w:val="0"/>
          <w:sz w:val="20"/>
        </w:rPr>
      </w:pPr>
      <w:r>
        <w:rPr>
          <w:rFonts w:ascii="Times New Roman" w:hAnsi="Times New Roman"/>
          <w:spacing w:val="0"/>
          <w:sz w:val="20"/>
        </w:rPr>
        <w:t>, respectively. Goodwill and tradenames which have an indefinite useful life, are not subject to amortization, and are evaluated for impairment annually or more frequently if an event occurs or circumstances change that would indicate that impairment may exist. Goodwill and tradenames are evaluated at the level of the Company’s single operating segment, which also represents the Company’s only reporting unit.</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F-10 </w:t>
      </w:r>
    </w:p>
    <w:p>
      <w:pPr>
        <w:pStyle w:val="HorizontalLine"/>
        <w:rPr/>
      </w:pPr>
      <w:r>
        <w:rPr/>
      </w:r>
    </w:p>
    <w:p>
      <w:pPr>
        <w:pStyle w:val="TextBody"/>
        <w:spacing w:before="0" w:after="0"/>
        <w:rPr/>
      </w:pPr>
      <w:hyperlink w:anchor="toc">
        <w:r>
          <w:rPr>
            <w:rStyle w:val="InternetLink"/>
            <w:b/>
            <w:sz w:val="20"/>
          </w:rPr>
          <w:t>Table of Contents</w:t>
        </w:r>
      </w:hyperlink>
    </w:p>
    <w:p>
      <w:pPr>
        <w:pStyle w:val="TextBody"/>
        <w:spacing w:before="0" w:after="0"/>
        <w:jc w:val="left"/>
        <w:rPr>
          <w:rFonts w:ascii="Times New Roman" w:hAnsi="Times New Roman"/>
          <w:spacing w:val="0"/>
          <w:sz w:val="20"/>
        </w:rPr>
      </w:pPr>
      <w:r>
        <w:rPr>
          <w:rFonts w:ascii="Times New Roman" w:hAnsi="Times New Roman"/>
          <w:spacing w:val="0"/>
          <w:sz w:val="20"/>
        </w:rPr>
        <w:t xml:space="preserve">When evaluating goodwill and tradenames for impairment, the Company first performs a qualitative assessment to determine whether it is more likely than not that its reporting unit or tradenames are impaired. For fiscal year 2020, 2019 and 2018, there was no impairment to our goodwill or tradenames. </w:t>
      </w:r>
    </w:p>
    <w:p>
      <w:pPr>
        <w:pStyle w:val="TextBody"/>
        <w:spacing w:before="24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Other assets and deferred charges, net</w:t>
      </w:r>
    </w:p>
    <w:p>
      <w:pPr>
        <w:pStyle w:val="TextBody"/>
        <w:spacing w:before="240" w:after="0"/>
        <w:jc w:val="left"/>
        <w:rPr>
          <w:spacing w:val="0"/>
        </w:rPr>
      </w:pPr>
      <w:r>
        <w:rPr>
          <w:spacing w:val="0"/>
        </w:rPr>
        <w:t xml:space="preserve">— </w:t>
      </w:r>
      <w:r>
        <w:rPr>
          <w:rFonts w:ascii="Times New Roman" w:hAnsi="Times New Roman"/>
          <w:spacing w:val="0"/>
          <w:sz w:val="20"/>
        </w:rPr>
        <w:t>Other</w:t>
      </w:r>
    </w:p>
    <w:p>
      <w:pPr>
        <w:pStyle w:val="TextBody"/>
        <w:spacing w:before="240" w:after="0"/>
        <w:jc w:val="left"/>
        <w:rPr>
          <w:spacing w:val="0"/>
        </w:rPr>
      </w:pPr>
      <w:r>
        <w:rPr>
          <w:spacing w:val="0"/>
        </w:rPr>
        <w:t> </w:t>
      </w:r>
    </w:p>
    <w:p>
      <w:pPr>
        <w:pStyle w:val="TextBody"/>
        <w:spacing w:before="240" w:after="0"/>
        <w:jc w:val="left"/>
        <w:rPr>
          <w:rFonts w:ascii="Times New Roman" w:hAnsi="Times New Roman"/>
          <w:spacing w:val="0"/>
          <w:sz w:val="20"/>
        </w:rPr>
      </w:pPr>
      <w:r>
        <w:rPr>
          <w:rFonts w:ascii="Times New Roman" w:hAnsi="Times New Roman"/>
          <w:spacing w:val="0"/>
          <w:sz w:val="20"/>
        </w:rPr>
        <w:t>assets and deferred charges, net consist primarily of intangible assets related to transferable liquor licenses and intellectual property licenses associated with some of our proprietary amusement offerings, and assets related to various deposits, the employee deferred compensation plan, and unamortized debt issuance costs on the revolving portion of our credit facility.</w:t>
      </w:r>
    </w:p>
    <w:p>
      <w:pPr>
        <w:pStyle w:val="TextBody"/>
        <w:spacing w:before="240" w:after="0"/>
        <w:jc w:val="left"/>
        <w:rPr>
          <w:rFonts w:ascii="Times New Roman" w:hAnsi="Times New Roman"/>
          <w:spacing w:val="0"/>
          <w:sz w:val="20"/>
        </w:rPr>
      </w:pPr>
      <w:r>
        <w:rPr>
          <w:rFonts w:ascii="Times New Roman" w:hAnsi="Times New Roman"/>
          <w:spacing w:val="0"/>
          <w:sz w:val="20"/>
        </w:rPr>
        <w:t>The balance of transferable liquor licenses was $5,213 and $5,025 at the end of fiscal 2020 and fiscal 2019, respectively. The costs of purchasing transferable liquor licenses through open markets in jurisdictions with a limited number of authorized liquor licenses are capitalized as indefinite-lived intangible assets and are tested for impairment annually by comparing the estimated fair value of each asset with their carrying amount. The unamortized balance of our intellectual license costs was $1,862 and $2,422 at the end of fiscal 2020 and fiscal 2019, respectively. Intellectual licenses are amortized over the respective term of the license agreements, with a weighted average term remaining of 3.2 years at the end of fiscal 2020. Amortization of intellectual licenses of $575</w:t>
      </w:r>
    </w:p>
    <w:p>
      <w:pPr>
        <w:pStyle w:val="TextBody"/>
        <w:spacing w:before="240" w:after="0"/>
        <w:jc w:val="left"/>
        <w:rPr>
          <w:rFonts w:ascii="Times New Roman" w:hAnsi="Times New Roman"/>
          <w:spacing w:val="0"/>
          <w:sz w:val="20"/>
        </w:rPr>
      </w:pPr>
      <w:r>
        <w:rPr>
          <w:rFonts w:ascii="Times New Roman" w:hAnsi="Times New Roman"/>
          <w:spacing w:val="0"/>
          <w:sz w:val="20"/>
        </w:rPr>
        <w:t>, $507 and</w:t>
      </w:r>
    </w:p>
    <w:p>
      <w:pPr>
        <w:pStyle w:val="TextBody"/>
        <w:spacing w:before="240" w:after="0"/>
        <w:jc w:val="left"/>
        <w:rPr>
          <w:spacing w:val="0"/>
        </w:rPr>
      </w:pPr>
      <w:r>
        <w:rPr>
          <w:spacing w:val="0"/>
        </w:rPr>
        <w:t> </w:t>
      </w:r>
    </w:p>
    <w:p>
      <w:pPr>
        <w:pStyle w:val="TextBody"/>
        <w:spacing w:before="240" w:after="0"/>
        <w:jc w:val="left"/>
        <w:rPr>
          <w:rFonts w:ascii="Times New Roman" w:hAnsi="Times New Roman"/>
          <w:spacing w:val="0"/>
          <w:sz w:val="20"/>
        </w:rPr>
      </w:pPr>
      <w:r>
        <w:rPr>
          <w:rFonts w:ascii="Times New Roman" w:hAnsi="Times New Roman"/>
          <w:spacing w:val="0"/>
          <w:sz w:val="20"/>
        </w:rPr>
        <w:t>$</w:t>
      </w:r>
    </w:p>
    <w:p>
      <w:pPr>
        <w:pStyle w:val="TextBody"/>
        <w:spacing w:before="240" w:after="0"/>
        <w:jc w:val="left"/>
        <w:rPr>
          <w:rFonts w:ascii="Times New Roman" w:hAnsi="Times New Roman"/>
          <w:sz w:val="20"/>
        </w:rPr>
      </w:pPr>
      <w:r>
        <w:rPr>
          <w:rFonts w:ascii="Times New Roman" w:hAnsi="Times New Roman"/>
          <w:sz w:val="20"/>
        </w:rPr>
        <w:t>259</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in fiscal 2020, fiscal 2019 and fiscal 2018, respectively, is included in “Other store operating expenses” in the Consolidated Statements of Comprehensive Income (Loss).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The Company capitalizes certain costs incurred in connection with borrowings or establishment of credit facilities, and these costs are amortized as interest expense over the life of the borrowing or life of the related debt facility. Debt issuance costs on the revolving portion of our credit facility were $5,525 and $1,454 at the end of fiscal 2020 and fiscal 2019, respectively. Debt issuance costs on the senior secured notes are reported as a direct reduction from the carrying amount of our debt. </w:t>
      </w:r>
    </w:p>
    <w:p>
      <w:pPr>
        <w:pStyle w:val="TextBody"/>
        <w:spacing w:before="24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Fair value of financial instruments</w:t>
      </w:r>
    </w:p>
    <w:p>
      <w:pPr>
        <w:pStyle w:val="TextBody"/>
        <w:spacing w:before="240" w:after="0"/>
        <w:jc w:val="left"/>
        <w:rPr/>
      </w:pPr>
      <w:r>
        <w:rPr/>
        <w:t xml:space="preserve">— </w:t>
      </w:r>
      <w:r>
        <w:rPr>
          <w:rFonts w:ascii="Times New Roman" w:hAnsi="Times New Roman"/>
          <w:sz w:val="20"/>
        </w:rPr>
        <w:t xml:space="preserve">Fair value is defined as the price that would be received to sell an asset or paid to transfer a liability in an orderly transaction between market participants at the measurement date under current market conditions. In determining fair value, the accounting standards establish a three-level hierarchy for inputs used in measuring fair value as follows: Level One inputs are quoted prices available for identical assets or liabilities in active markets; Level Two inputs are observable for the asset or liability, either directly or indirectly, including quoted prices for similar assets or liabilities in active markets; and Level Three inputs are unobservable and reflect management’s own assumptions. </w:t>
      </w:r>
    </w:p>
    <w:p>
      <w:pPr>
        <w:pStyle w:val="TextBody"/>
        <w:spacing w:before="240" w:after="0"/>
        <w:jc w:val="left"/>
        <w:rPr>
          <w:rFonts w:ascii="Times New Roman" w:hAnsi="Times New Roman"/>
          <w:spacing w:val="0"/>
          <w:sz w:val="20"/>
        </w:rPr>
      </w:pPr>
      <w:r>
        <w:rPr>
          <w:rFonts w:ascii="Times New Roman" w:hAnsi="Times New Roman"/>
          <w:spacing w:val="0"/>
          <w:sz w:val="20"/>
        </w:rPr>
        <w:t>The carrying amounts of cash and cash equivalents, accounts and notes receivable, accounts payable and other current liabilities approximate fair value because of their short-term nature. The fair value of the Company’s interest rate swap is determined based upon Level Two inputs which includes valuation models as reported by our counterparties and third-party valuation specialists. These valuation models are based on the present value of expected cash flows using forward rate curves. The fair values of our revolving credit facility of $62,114 and senior secured notes of $576,033 as of January 31, 2021, were valued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using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a discounted cash flow method, using a sector-specific yield curve based on market-derived, traded price data as of the measurement date, which we classify as a Level Two input within the fair value hierarchy. In fiscal 2019, the carrying value of our credit facility approximated its fair value because the interest rates were adjusted regularly based on current market conditions, and there was no LIBOR floor. </w:t>
      </w:r>
    </w:p>
    <w:p>
      <w:pPr>
        <w:pStyle w:val="TextBody"/>
        <w:spacing w:before="24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Interest rate swaps </w:t>
      </w:r>
    </w:p>
    <w:p>
      <w:pPr>
        <w:pStyle w:val="TextBody"/>
        <w:spacing w:before="240" w:after="0"/>
        <w:jc w:val="left"/>
        <w:rPr/>
      </w:pPr>
      <w:r>
        <w:rPr/>
        <w:t xml:space="preserve">— </w:t>
      </w:r>
      <w:r>
        <w:rPr>
          <w:rFonts w:ascii="Times New Roman" w:hAnsi="Times New Roman"/>
          <w:sz w:val="20"/>
        </w:rPr>
        <w:t xml:space="preserve">Effective February 28, 2019, the Company entered into three interest rate swap agreements to manage our exposure to interest rate movements on our variable rate credit facility. The agreements entitle the Company to receive at specified intervals, a variable rate of interest based on </w:t>
      </w:r>
    </w:p>
    <w:p>
      <w:pPr>
        <w:pStyle w:val="TextBody"/>
        <w:spacing w:before="240" w:after="0"/>
        <w:jc w:val="left"/>
        <w:rPr>
          <w:rFonts w:ascii="Times New Roman" w:hAnsi="Times New Roman"/>
          <w:spacing w:val="0"/>
          <w:sz w:val="20"/>
        </w:rPr>
      </w:pPr>
      <w:r>
        <w:rPr>
          <w:rFonts w:ascii="Times New Roman" w:hAnsi="Times New Roman"/>
          <w:spacing w:val="0"/>
          <w:sz w:val="20"/>
        </w:rPr>
        <w:t>one-month</w:t>
      </w:r>
    </w:p>
    <w:p>
      <w:pPr>
        <w:pStyle w:val="TextBody"/>
        <w:spacing w:before="240" w:after="0"/>
        <w:jc w:val="left"/>
        <w:rPr>
          <w:rFonts w:ascii="Times New Roman" w:hAnsi="Times New Roman"/>
          <w:sz w:val="20"/>
        </w:rPr>
      </w:pPr>
      <w:r>
        <w:rPr>
          <w:rFonts w:ascii="Times New Roman" w:hAnsi="Times New Roman"/>
          <w:sz w:val="20"/>
        </w:rPr>
        <w:t xml:space="preserve">LIBOR in exchange for the payment of a fixed rate of interest throughout the life of the agreements. The notional amount of the swap agreements, which mature August 17, 2022, totals $350,000 and the fixed rate of interest for all agreements is 2.47%.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The Company initially designated its interest rate swap agreements as a cash flow hedge and accounted for the underlying activity in accordance with hedge accounting. Effective April 14, 2020, the Company amended its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F-11 </w:t>
      </w:r>
    </w:p>
    <w:p>
      <w:pPr>
        <w:pStyle w:val="HorizontalLine"/>
        <w:rPr/>
      </w:pPr>
      <w:r>
        <w:rPr/>
      </w:r>
    </w:p>
    <w:p>
      <w:pPr>
        <w:pStyle w:val="TextBody"/>
        <w:spacing w:before="0" w:after="0"/>
        <w:rPr/>
      </w:pPr>
      <w:hyperlink w:anchor="toc">
        <w:r>
          <w:rPr>
            <w:rStyle w:val="InternetLink"/>
            <w:b/>
            <w:sz w:val="20"/>
          </w:rPr>
          <w:t>Table of Contents</w:t>
        </w:r>
      </w:hyperlink>
    </w:p>
    <w:p>
      <w:pPr>
        <w:pStyle w:val="TextBody"/>
        <w:spacing w:before="0" w:after="0"/>
        <w:ind w:left="0" w:right="0" w:hanging="0"/>
        <w:jc w:val="left"/>
        <w:rPr>
          <w:rFonts w:ascii="Times New Roman" w:hAnsi="Times New Roman"/>
          <w:spacing w:val="0"/>
          <w:sz w:val="20"/>
        </w:rPr>
      </w:pPr>
      <w:r>
        <w:rPr>
          <w:rFonts w:ascii="Times New Roman" w:hAnsi="Times New Roman"/>
          <w:spacing w:val="0"/>
          <w:sz w:val="20"/>
        </w:rPr>
        <w:t xml:space="preserve">existing credit facility agreement to obtain relief from its financial covenants, and as a result, the variable interest rate terms were modified to create an interest rate floor of 1.00%. Accordingly, and as a result of the </w:t>
      </w:r>
    </w:p>
    <w:p>
      <w:pPr>
        <w:pStyle w:val="TextBody"/>
        <w:spacing w:before="0" w:after="0"/>
        <w:jc w:val="left"/>
        <w:rPr>
          <w:rFonts w:ascii="Times New Roman" w:hAnsi="Times New Roman"/>
          <w:spacing w:val="0"/>
          <w:sz w:val="20"/>
        </w:rPr>
      </w:pPr>
      <w:r>
        <w:rPr>
          <w:rFonts w:ascii="Times New Roman" w:hAnsi="Times New Roman"/>
          <w:spacing w:val="0"/>
          <w:sz w:val="20"/>
        </w:rPr>
        <w:t xml:space="preserve">then </w:t>
      </w:r>
    </w:p>
    <w:p>
      <w:pPr>
        <w:pStyle w:val="TextBody"/>
        <w:spacing w:before="0" w:after="0"/>
        <w:jc w:val="left"/>
        <w:rPr>
          <w:rFonts w:ascii="Times New Roman" w:hAnsi="Times New Roman"/>
          <w:spacing w:val="0"/>
          <w:sz w:val="20"/>
        </w:rPr>
      </w:pPr>
      <w:r>
        <w:rPr>
          <w:rFonts w:ascii="Times New Roman" w:hAnsi="Times New Roman"/>
          <w:spacing w:val="0"/>
          <w:sz w:val="20"/>
        </w:rPr>
        <w:t xml:space="preserve">current forward interest rate curve, the Company discontinued the hedging relationship as of April 14, 2020 </w:t>
      </w:r>
    </w:p>
    <w:p>
      <w:pPr>
        <w:pStyle w:val="TextBody"/>
        <w:spacing w:before="0" w:after="0"/>
        <w:jc w:val="left"/>
        <w:rPr>
          <w:rFonts w:ascii="Times New Roman" w:hAnsi="Times New Roman"/>
          <w:spacing w:val="0"/>
          <w:sz w:val="20"/>
        </w:rPr>
      </w:pPr>
      <w:r>
        <w:rPr>
          <w:rFonts w:ascii="Times New Roman" w:hAnsi="Times New Roman"/>
          <w:spacing w:val="0"/>
          <w:sz w:val="20"/>
        </w:rPr>
        <w:t>(de-designation</w:t>
      </w:r>
    </w:p>
    <w:p>
      <w:pPr>
        <w:pStyle w:val="TextBody"/>
        <w:spacing w:before="0" w:after="0"/>
        <w:jc w:val="left"/>
        <w:rPr>
          <w:rFonts w:ascii="Times New Roman" w:hAnsi="Times New Roman"/>
          <w:spacing w:val="0"/>
          <w:sz w:val="20"/>
        </w:rPr>
      </w:pPr>
      <w:r>
        <w:rPr>
          <w:rFonts w:ascii="Times New Roman" w:hAnsi="Times New Roman"/>
          <w:spacing w:val="0"/>
          <w:sz w:val="20"/>
        </w:rPr>
        <w:t>date). Given</w:t>
      </w:r>
    </w:p>
    <w:p>
      <w:pPr>
        <w:pStyle w:val="TextBody"/>
        <w:spacing w:before="0" w:after="0"/>
        <w:jc w:val="left"/>
        <w:rPr>
          <w:spacing w:val="0"/>
        </w:rPr>
      </w:pPr>
      <w:r>
        <w:rPr>
          <w:spacing w:val="0"/>
        </w:rPr>
        <w:t> </w:t>
      </w:r>
    </w:p>
    <w:p>
      <w:pPr>
        <w:pStyle w:val="TextBody"/>
        <w:spacing w:before="0" w:after="0"/>
        <w:jc w:val="left"/>
        <w:rPr>
          <w:rFonts w:ascii="Times New Roman" w:hAnsi="Times New Roman"/>
          <w:spacing w:val="0"/>
          <w:sz w:val="20"/>
        </w:rPr>
      </w:pPr>
      <w:r>
        <w:rPr>
          <w:rFonts w:ascii="Times New Roman" w:hAnsi="Times New Roman"/>
          <w:spacing w:val="0"/>
          <w:sz w:val="20"/>
        </w:rPr>
        <w:t>the continued existence of the hedged interest payments, the Company is reclassifying its accumulated other comprehensive loss of $</w:t>
      </w:r>
    </w:p>
    <w:p>
      <w:pPr>
        <w:pStyle w:val="TextBody"/>
        <w:spacing w:before="0" w:after="0"/>
        <w:jc w:val="left"/>
        <w:rPr>
          <w:rFonts w:ascii="Times New Roman" w:hAnsi="Times New Roman"/>
          <w:sz w:val="20"/>
        </w:rPr>
      </w:pPr>
      <w:r>
        <w:rPr>
          <w:rFonts w:ascii="Times New Roman" w:hAnsi="Times New Roman"/>
          <w:sz w:val="20"/>
        </w:rPr>
        <w:t>17,609</w:t>
      </w:r>
    </w:p>
    <w:p>
      <w:pPr>
        <w:pStyle w:val="TextBody"/>
        <w:spacing w:before="0" w:after="0"/>
        <w:jc w:val="left"/>
        <w:rPr>
          <w:rFonts w:ascii="Times New Roman" w:hAnsi="Times New Roman"/>
          <w:spacing w:val="0"/>
          <w:sz w:val="20"/>
        </w:rPr>
      </w:pPr>
      <w:r>
        <w:rPr>
          <w:rFonts w:ascii="Times New Roman" w:hAnsi="Times New Roman"/>
          <w:spacing w:val="0"/>
          <w:sz w:val="20"/>
        </w:rPr>
        <w:t xml:space="preserve">as of the </w:t>
      </w:r>
    </w:p>
    <w:p>
      <w:pPr>
        <w:pStyle w:val="TextBody"/>
        <w:spacing w:before="0" w:after="0"/>
        <w:jc w:val="left"/>
        <w:rPr>
          <w:rFonts w:ascii="Times New Roman" w:hAnsi="Times New Roman"/>
          <w:spacing w:val="0"/>
          <w:sz w:val="20"/>
        </w:rPr>
      </w:pPr>
      <w:r>
        <w:rPr>
          <w:rFonts w:ascii="Times New Roman" w:hAnsi="Times New Roman"/>
          <w:spacing w:val="0"/>
          <w:sz w:val="20"/>
        </w:rPr>
        <w:t>de-designation</w:t>
      </w:r>
    </w:p>
    <w:p>
      <w:pPr>
        <w:pStyle w:val="TextBody"/>
        <w:spacing w:before="0" w:after="0"/>
        <w:jc w:val="left"/>
        <w:rPr>
          <w:rFonts w:ascii="Times New Roman" w:hAnsi="Times New Roman"/>
          <w:spacing w:val="0"/>
          <w:sz w:val="20"/>
        </w:rPr>
      </w:pPr>
      <w:r>
        <w:rPr>
          <w:rFonts w:ascii="Times New Roman" w:hAnsi="Times New Roman"/>
          <w:spacing w:val="0"/>
          <w:sz w:val="20"/>
        </w:rPr>
        <w:t xml:space="preserve">date into “Interest expense, net” using a straight-line approach over the remaining life of the originally designated hedging relationship. During fiscal </w:t>
      </w:r>
    </w:p>
    <w:p>
      <w:pPr>
        <w:pStyle w:val="TextBody"/>
        <w:spacing w:before="0" w:after="0"/>
        <w:jc w:val="left"/>
        <w:rPr>
          <w:rFonts w:ascii="Times New Roman" w:hAnsi="Times New Roman"/>
          <w:sz w:val="20"/>
        </w:rPr>
      </w:pPr>
      <w:r>
        <w:rPr>
          <w:rFonts w:ascii="Times New Roman" w:hAnsi="Times New Roman"/>
          <w:sz w:val="20"/>
        </w:rPr>
        <w:t>2020</w:t>
      </w:r>
    </w:p>
    <w:p>
      <w:pPr>
        <w:pStyle w:val="TextBody"/>
        <w:spacing w:before="0" w:after="0"/>
        <w:jc w:val="left"/>
        <w:rPr>
          <w:rFonts w:ascii="Times New Roman" w:hAnsi="Times New Roman"/>
          <w:spacing w:val="0"/>
          <w:sz w:val="20"/>
        </w:rPr>
      </w:pPr>
      <w:r>
        <w:rPr>
          <w:rFonts w:ascii="Times New Roman" w:hAnsi="Times New Roman"/>
          <w:spacing w:val="0"/>
          <w:sz w:val="20"/>
        </w:rPr>
        <w:t xml:space="preserve">, the amount of </w:t>
      </w:r>
    </w:p>
    <w:p>
      <w:pPr>
        <w:pStyle w:val="TextBody"/>
        <w:spacing w:before="0" w:after="0"/>
        <w:jc w:val="left"/>
        <w:rPr>
          <w:rFonts w:ascii="Times New Roman" w:hAnsi="Times New Roman"/>
          <w:spacing w:val="0"/>
          <w:sz w:val="20"/>
        </w:rPr>
      </w:pPr>
      <w:r>
        <w:rPr>
          <w:rFonts w:ascii="Times New Roman" w:hAnsi="Times New Roman"/>
          <w:spacing w:val="0"/>
          <w:sz w:val="20"/>
        </w:rPr>
        <w:t>pre-tax</w:t>
      </w:r>
    </w:p>
    <w:p>
      <w:pPr>
        <w:pStyle w:val="TextBody"/>
        <w:spacing w:before="0" w:after="0"/>
        <w:jc w:val="left"/>
        <w:rPr>
          <w:rFonts w:ascii="Times New Roman" w:hAnsi="Times New Roman"/>
          <w:spacing w:val="0"/>
          <w:sz w:val="20"/>
        </w:rPr>
      </w:pPr>
      <w:r>
        <w:rPr>
          <w:rFonts w:ascii="Times New Roman" w:hAnsi="Times New Roman"/>
          <w:spacing w:val="0"/>
          <w:sz w:val="20"/>
        </w:rPr>
        <w:t xml:space="preserve">losses in accumulated other comprehensive loss that was reclassified into interest expense subsequent to the </w:t>
      </w:r>
    </w:p>
    <w:p>
      <w:pPr>
        <w:pStyle w:val="TextBody"/>
        <w:spacing w:before="0" w:after="0"/>
        <w:jc w:val="left"/>
        <w:rPr>
          <w:rFonts w:ascii="Times New Roman" w:hAnsi="Times New Roman"/>
          <w:spacing w:val="0"/>
          <w:sz w:val="20"/>
        </w:rPr>
      </w:pPr>
      <w:r>
        <w:rPr>
          <w:rFonts w:ascii="Times New Roman" w:hAnsi="Times New Roman"/>
          <w:spacing w:val="0"/>
          <w:sz w:val="20"/>
        </w:rPr>
        <w:t>de-designation</w:t>
      </w:r>
    </w:p>
    <w:p>
      <w:pPr>
        <w:pStyle w:val="TextBody"/>
        <w:spacing w:before="0" w:after="0"/>
        <w:jc w:val="left"/>
        <w:rPr>
          <w:rFonts w:ascii="Times New Roman" w:hAnsi="Times New Roman"/>
          <w:spacing w:val="0"/>
          <w:sz w:val="20"/>
        </w:rPr>
      </w:pPr>
      <w:r>
        <w:rPr>
          <w:rFonts w:ascii="Times New Roman" w:hAnsi="Times New Roman"/>
          <w:spacing w:val="0"/>
          <w:sz w:val="20"/>
        </w:rPr>
        <w:t>date was $</w:t>
      </w:r>
    </w:p>
    <w:p>
      <w:pPr>
        <w:pStyle w:val="TextBody"/>
        <w:spacing w:before="0" w:after="0"/>
        <w:jc w:val="left"/>
        <w:rPr>
          <w:rFonts w:ascii="Times New Roman" w:hAnsi="Times New Roman"/>
          <w:sz w:val="20"/>
        </w:rPr>
      </w:pPr>
      <w:r>
        <w:rPr>
          <w:rFonts w:ascii="Times New Roman" w:hAnsi="Times New Roman"/>
          <w:sz w:val="20"/>
        </w:rPr>
        <w:t>5,974</w:t>
      </w:r>
    </w:p>
    <w:p>
      <w:pPr>
        <w:pStyle w:val="TextBody"/>
        <w:spacing w:before="0" w:after="0"/>
        <w:jc w:val="left"/>
        <w:rPr>
          <w:rFonts w:ascii="Times New Roman" w:hAnsi="Times New Roman"/>
          <w:spacing w:val="0"/>
          <w:sz w:val="20"/>
        </w:rPr>
      </w:pPr>
      <w:r>
        <w:rPr>
          <w:rFonts w:ascii="Times New Roman" w:hAnsi="Times New Roman"/>
          <w:spacing w:val="0"/>
          <w:sz w:val="20"/>
        </w:rPr>
        <w:t>, and the Company expects to reclassify $</w:t>
      </w:r>
    </w:p>
    <w:p>
      <w:pPr>
        <w:pStyle w:val="TextBody"/>
        <w:spacing w:before="0" w:after="0"/>
        <w:jc w:val="left"/>
        <w:rPr>
          <w:rFonts w:ascii="Times New Roman" w:hAnsi="Times New Roman"/>
          <w:sz w:val="20"/>
        </w:rPr>
      </w:pPr>
      <w:r>
        <w:rPr>
          <w:rFonts w:ascii="Times New Roman" w:hAnsi="Times New Roman"/>
          <w:sz w:val="20"/>
        </w:rPr>
        <w:t>7,547</w:t>
      </w:r>
    </w:p>
    <w:p>
      <w:pPr>
        <w:pStyle w:val="TextBody"/>
        <w:spacing w:before="0" w:after="0"/>
        <w:jc w:val="left"/>
        <w:rPr>
          <w:rFonts w:ascii="Times New Roman" w:hAnsi="Times New Roman"/>
          <w:spacing w:val="0"/>
          <w:sz w:val="20"/>
        </w:rPr>
      </w:pPr>
      <w:r>
        <w:rPr>
          <w:rFonts w:ascii="Times New Roman" w:hAnsi="Times New Roman"/>
          <w:spacing w:val="0"/>
          <w:sz w:val="20"/>
        </w:rPr>
        <w:t xml:space="preserve">within the next twelve months. Effective with the </w:t>
      </w:r>
    </w:p>
    <w:p>
      <w:pPr>
        <w:pStyle w:val="TextBody"/>
        <w:spacing w:before="0" w:after="0"/>
        <w:jc w:val="left"/>
        <w:rPr>
          <w:rFonts w:ascii="Times New Roman" w:hAnsi="Times New Roman"/>
          <w:spacing w:val="0"/>
          <w:sz w:val="20"/>
        </w:rPr>
      </w:pPr>
      <w:r>
        <w:rPr>
          <w:rFonts w:ascii="Times New Roman" w:hAnsi="Times New Roman"/>
          <w:spacing w:val="0"/>
          <w:sz w:val="20"/>
        </w:rPr>
        <w:t>de-designation,</w:t>
      </w:r>
    </w:p>
    <w:p>
      <w:pPr>
        <w:pStyle w:val="TextBody"/>
        <w:spacing w:before="0" w:after="0"/>
        <w:jc w:val="left"/>
        <w:rPr>
          <w:rFonts w:ascii="Times New Roman" w:hAnsi="Times New Roman"/>
          <w:spacing w:val="0"/>
          <w:sz w:val="20"/>
        </w:rPr>
      </w:pPr>
      <w:r>
        <w:rPr>
          <w:rFonts w:ascii="Times New Roman" w:hAnsi="Times New Roman"/>
          <w:spacing w:val="0"/>
          <w:sz w:val="20"/>
        </w:rPr>
        <w:t xml:space="preserve">any gain or loss on the derivatives are recognized in earnings in the period in which the change occurs. During fiscal </w:t>
      </w:r>
    </w:p>
    <w:p>
      <w:pPr>
        <w:pStyle w:val="TextBody"/>
        <w:spacing w:before="0" w:after="0"/>
        <w:jc w:val="left"/>
        <w:rPr>
          <w:rFonts w:ascii="Times New Roman" w:hAnsi="Times New Roman"/>
          <w:sz w:val="20"/>
        </w:rPr>
      </w:pPr>
      <w:r>
        <w:rPr>
          <w:rFonts w:ascii="Times New Roman" w:hAnsi="Times New Roman"/>
          <w:sz w:val="20"/>
        </w:rPr>
        <w:t>2020</w:t>
      </w:r>
    </w:p>
    <w:p>
      <w:pPr>
        <w:pStyle w:val="TextBody"/>
        <w:spacing w:before="0" w:after="0"/>
        <w:jc w:val="left"/>
        <w:rPr>
          <w:rFonts w:ascii="Times New Roman" w:hAnsi="Times New Roman"/>
          <w:spacing w:val="0"/>
          <w:sz w:val="20"/>
        </w:rPr>
      </w:pPr>
      <w:r>
        <w:rPr>
          <w:rFonts w:ascii="Times New Roman" w:hAnsi="Times New Roman"/>
          <w:spacing w:val="0"/>
          <w:sz w:val="20"/>
        </w:rPr>
        <w:t>, a loss of $</w:t>
      </w:r>
    </w:p>
    <w:p>
      <w:pPr>
        <w:pStyle w:val="TextBody"/>
        <w:spacing w:before="0" w:after="0"/>
        <w:jc w:val="left"/>
        <w:rPr>
          <w:rFonts w:ascii="Times New Roman" w:hAnsi="Times New Roman"/>
          <w:sz w:val="20"/>
        </w:rPr>
      </w:pPr>
      <w:r>
        <w:rPr>
          <w:rFonts w:ascii="Times New Roman" w:hAnsi="Times New Roman"/>
          <w:sz w:val="20"/>
        </w:rPr>
        <w:t>1,729</w:t>
      </w:r>
    </w:p>
    <w:p>
      <w:pPr>
        <w:pStyle w:val="TextBody"/>
        <w:spacing w:before="0" w:after="0"/>
        <w:jc w:val="left"/>
        <w:rPr>
          <w:rFonts w:ascii="Times New Roman" w:hAnsi="Times New Roman"/>
          <w:spacing w:val="0"/>
          <w:sz w:val="20"/>
        </w:rPr>
      </w:pPr>
      <w:r>
        <w:rPr>
          <w:rFonts w:ascii="Times New Roman" w:hAnsi="Times New Roman"/>
          <w:spacing w:val="0"/>
          <w:sz w:val="20"/>
        </w:rPr>
        <w:t>was recognized, which is included in “Other store operating expenses” in the Consolidated Statements of Comprehensive Income (Loss).</w:t>
      </w:r>
    </w:p>
    <w:p>
      <w:pPr>
        <w:pStyle w:val="TextBody"/>
        <w:spacing w:before="240" w:after="0"/>
        <w:jc w:val="left"/>
        <w:rPr>
          <w:rFonts w:ascii="Times New Roman" w:hAnsi="Times New Roman"/>
          <w:sz w:val="20"/>
        </w:rPr>
      </w:pPr>
      <w:r>
        <w:rPr>
          <w:rFonts w:ascii="Times New Roman" w:hAnsi="Times New Roman"/>
          <w:sz w:val="20"/>
        </w:rPr>
        <w:t xml:space="preserve">Prior to the </w:t>
      </w:r>
    </w:p>
    <w:p>
      <w:pPr>
        <w:pStyle w:val="TextBody"/>
        <w:spacing w:before="240" w:after="0"/>
        <w:jc w:val="left"/>
        <w:rPr>
          <w:rFonts w:ascii="Times New Roman" w:hAnsi="Times New Roman"/>
          <w:spacing w:val="0"/>
          <w:sz w:val="20"/>
        </w:rPr>
      </w:pPr>
      <w:r>
        <w:rPr>
          <w:rFonts w:ascii="Times New Roman" w:hAnsi="Times New Roman"/>
          <w:spacing w:val="0"/>
          <w:sz w:val="20"/>
        </w:rPr>
        <w:t>de-designation,</w:t>
      </w:r>
    </w:p>
    <w:p>
      <w:pPr>
        <w:pStyle w:val="TextBody"/>
        <w:spacing w:before="240" w:after="0"/>
        <w:jc w:val="left"/>
        <w:rPr>
          <w:rFonts w:ascii="Times New Roman" w:hAnsi="Times New Roman"/>
          <w:sz w:val="20"/>
        </w:rPr>
      </w:pPr>
      <w:r>
        <w:rPr>
          <w:rFonts w:ascii="Times New Roman" w:hAnsi="Times New Roman"/>
          <w:sz w:val="20"/>
        </w:rPr>
        <w:t xml:space="preserve">changes in the fair values of the interest rate swaps were recorded as a component of other comprehensive loss until the interest payments being hedged were recorded as interest expense, at which time the amounts in accumulated other comprehensive loss were reclassified as an adjustment to interest expense. Cash flows related to the interest rate swaps were included as a component of interest expense and in operating activities. </w:t>
      </w:r>
    </w:p>
    <w:p>
      <w:pPr>
        <w:pStyle w:val="TextBody"/>
        <w:spacing w:before="240" w:after="0"/>
        <w:jc w:val="left"/>
        <w:rPr>
          <w:rFonts w:ascii="Times New Roman" w:hAnsi="Times New Roman"/>
          <w:spacing w:val="0"/>
          <w:sz w:val="20"/>
        </w:rPr>
      </w:pPr>
      <w:r>
        <w:rPr>
          <w:rFonts w:ascii="Times New Roman" w:hAnsi="Times New Roman"/>
          <w:spacing w:val="0"/>
          <w:sz w:val="20"/>
        </w:rPr>
        <w:t>Credit risk related to the failure of our counterparties to perform under the terms of the swap agreements is minimized by entering into transactions with carefully selected, credit-worthy parties and the fact that the swap contracts are distributed among several financial institutions to reduce the concentration of credit risk. Our swap agreements with our derivative counterparties contain a provision where if the Company defaults on any of its indebtedness, and repayment of the indebtedness has been accelerated, the Company could also be declared in default on its derivative obligations.</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The following derivative instruments were outstanding for the fiscal years ended: </w:t>
      </w:r>
    </w:p>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3025"/>
        <w:gridCol w:w="120"/>
        <w:gridCol w:w="96"/>
        <w:gridCol w:w="2789"/>
        <w:gridCol w:w="60"/>
        <w:gridCol w:w="120"/>
        <w:gridCol w:w="277"/>
        <w:gridCol w:w="1498"/>
        <w:gridCol w:w="155"/>
        <w:gridCol w:w="120"/>
        <w:gridCol w:w="277"/>
        <w:gridCol w:w="1498"/>
        <w:gridCol w:w="170"/>
      </w:tblGrid>
      <w:tr>
        <w:trPr/>
        <w:tc>
          <w:tcPr>
            <w:tcW w:w="302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96" w:type="dxa"/>
            <w:tcBorders/>
            <w:shd w:fill="auto" w:val="clear"/>
            <w:vAlign w:val="center"/>
          </w:tcPr>
          <w:p>
            <w:pPr>
              <w:pStyle w:val="TableContents"/>
              <w:spacing w:before="0" w:after="283"/>
              <w:rPr>
                <w:sz w:val="4"/>
                <w:szCs w:val="4"/>
              </w:rPr>
            </w:pPr>
            <w:r>
              <w:rPr>
                <w:sz w:val="4"/>
                <w:szCs w:val="4"/>
              </w:rPr>
            </w:r>
          </w:p>
        </w:tc>
        <w:tc>
          <w:tcPr>
            <w:tcW w:w="2789"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77" w:type="dxa"/>
            <w:tcBorders/>
            <w:shd w:fill="auto" w:val="clear"/>
            <w:vAlign w:val="center"/>
          </w:tcPr>
          <w:p>
            <w:pPr>
              <w:pStyle w:val="TableContents"/>
              <w:spacing w:before="0" w:after="283"/>
              <w:rPr>
                <w:sz w:val="4"/>
                <w:szCs w:val="4"/>
              </w:rPr>
            </w:pPr>
            <w:r>
              <w:rPr>
                <w:sz w:val="4"/>
                <w:szCs w:val="4"/>
              </w:rPr>
            </w:r>
          </w:p>
        </w:tc>
        <w:tc>
          <w:tcPr>
            <w:tcW w:w="1498"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77" w:type="dxa"/>
            <w:tcBorders/>
            <w:shd w:fill="auto" w:val="clear"/>
            <w:vAlign w:val="center"/>
          </w:tcPr>
          <w:p>
            <w:pPr>
              <w:pStyle w:val="TableContents"/>
              <w:spacing w:before="0" w:after="283"/>
              <w:rPr>
                <w:sz w:val="4"/>
                <w:szCs w:val="4"/>
              </w:rPr>
            </w:pPr>
            <w:r>
              <w:rPr>
                <w:sz w:val="4"/>
                <w:szCs w:val="4"/>
              </w:rPr>
            </w:r>
          </w:p>
        </w:tc>
        <w:tc>
          <w:tcPr>
            <w:tcW w:w="149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r>
      <w:tr>
        <w:trPr/>
        <w:tc>
          <w:tcPr>
            <w:tcW w:w="302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885" w:type="dxa"/>
            <w:gridSpan w:val="2"/>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3825" w:type="dxa"/>
            <w:gridSpan w:val="6"/>
            <w:tcBorders/>
            <w:shd w:fill="auto" w:val="clear"/>
            <w:vAlign w:val="center"/>
          </w:tcPr>
          <w:p>
            <w:pPr>
              <w:pStyle w:val="TableContents"/>
              <w:spacing w:before="0" w:after="0"/>
              <w:jc w:val="center"/>
              <w:rPr>
                <w:b/>
                <w:spacing w:val="0"/>
              </w:rPr>
            </w:pPr>
            <w:r>
              <w:rPr>
                <w:b/>
                <w:spacing w:val="0"/>
              </w:rPr>
              <w:t>Fair Value</w:t>
            </w:r>
          </w:p>
        </w:tc>
        <w:tc>
          <w:tcPr>
            <w:tcW w:w="170" w:type="dxa"/>
            <w:tcBorders/>
            <w:shd w:fill="auto" w:val="clear"/>
            <w:vAlign w:val="center"/>
          </w:tcPr>
          <w:p>
            <w:pPr>
              <w:pStyle w:val="TableContents"/>
              <w:spacing w:before="0" w:after="283"/>
              <w:rPr/>
            </w:pPr>
            <w:r>
              <w:rPr/>
              <w:t> </w:t>
            </w:r>
          </w:p>
        </w:tc>
      </w:tr>
      <w:tr>
        <w:trPr/>
        <w:tc>
          <w:tcPr>
            <w:tcW w:w="302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885" w:type="dxa"/>
            <w:gridSpan w:val="2"/>
            <w:tcBorders/>
            <w:shd w:fill="auto" w:val="clear"/>
            <w:vAlign w:val="center"/>
          </w:tcPr>
          <w:p>
            <w:pPr>
              <w:pStyle w:val="TableContents"/>
              <w:spacing w:before="0" w:after="0"/>
              <w:jc w:val="center"/>
              <w:rPr>
                <w:spacing w:val="0"/>
              </w:rPr>
            </w:pPr>
            <w:r>
              <w:rPr>
                <w:spacing w:val="0"/>
              </w:rPr>
              <w:t>    </w:t>
            </w:r>
            <w:r>
              <w:rPr>
                <w:b/>
                <w:spacing w:val="0"/>
              </w:rPr>
              <w:t>Balance Sheet Location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775" w:type="dxa"/>
            <w:gridSpan w:val="2"/>
            <w:tcBorders/>
            <w:shd w:fill="auto" w:val="clear"/>
            <w:vAlign w:val="center"/>
          </w:tcPr>
          <w:p>
            <w:pPr>
              <w:pStyle w:val="TableContents"/>
              <w:spacing w:before="0" w:after="0"/>
              <w:jc w:val="center"/>
              <w:rPr>
                <w:b/>
                <w:spacing w:val="0"/>
              </w:rPr>
            </w:pPr>
            <w:r>
              <w:rPr>
                <w:b/>
                <w:spacing w:val="0"/>
              </w:rPr>
              <w:t>January 31, 2021</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775" w:type="dxa"/>
            <w:gridSpan w:val="2"/>
            <w:tcBorders/>
            <w:shd w:fill="auto" w:val="clear"/>
            <w:vAlign w:val="center"/>
          </w:tcPr>
          <w:p>
            <w:pPr>
              <w:pStyle w:val="TableContents"/>
              <w:spacing w:before="0" w:after="0"/>
              <w:jc w:val="center"/>
              <w:rPr>
                <w:b/>
                <w:spacing w:val="0"/>
              </w:rPr>
            </w:pPr>
            <w:r>
              <w:rPr>
                <w:b/>
                <w:spacing w:val="0"/>
              </w:rPr>
              <w:t>February 2, 2020</w:t>
            </w:r>
          </w:p>
        </w:tc>
        <w:tc>
          <w:tcPr>
            <w:tcW w:w="170" w:type="dxa"/>
            <w:tcBorders/>
            <w:shd w:fill="auto" w:val="clear"/>
            <w:vAlign w:val="center"/>
          </w:tcPr>
          <w:p>
            <w:pPr>
              <w:pStyle w:val="TableContents"/>
              <w:spacing w:before="0" w:after="283"/>
              <w:rPr/>
            </w:pPr>
            <w:r>
              <w:rPr/>
              <w:t> </w:t>
            </w:r>
          </w:p>
        </w:tc>
      </w:tr>
      <w:tr>
        <w:trPr/>
        <w:tc>
          <w:tcPr>
            <w:tcW w:w="302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Derivatives designated as hedging instruments:</w:t>
            </w:r>
          </w:p>
        </w:tc>
        <w:tc>
          <w:tcPr>
            <w:tcW w:w="120" w:type="dxa"/>
            <w:tcBorders/>
            <w:shd w:fill="CCEEFF" w:val="clear"/>
            <w:vAlign w:val="center"/>
          </w:tcPr>
          <w:p>
            <w:pPr>
              <w:pStyle w:val="TableContents"/>
              <w:spacing w:before="0" w:after="283"/>
              <w:rPr/>
            </w:pPr>
            <w:r>
              <w:rPr/>
              <w:t>  </w:t>
            </w:r>
          </w:p>
        </w:tc>
        <w:tc>
          <w:tcPr>
            <w:tcW w:w="96" w:type="dxa"/>
            <w:tcBorders/>
            <w:shd w:fill="CCEEFF" w:val="clear"/>
            <w:vAlign w:val="center"/>
          </w:tcPr>
          <w:p>
            <w:pPr>
              <w:pStyle w:val="TableContents"/>
              <w:spacing w:before="0" w:after="283"/>
              <w:rPr>
                <w:sz w:val="4"/>
                <w:szCs w:val="4"/>
              </w:rPr>
            </w:pPr>
            <w:r>
              <w:rPr>
                <w:sz w:val="4"/>
                <w:szCs w:val="4"/>
              </w:rPr>
            </w:r>
          </w:p>
        </w:tc>
        <w:tc>
          <w:tcPr>
            <w:tcW w:w="2789"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283"/>
              <w:rPr/>
            </w:pPr>
            <w:r>
              <w:rPr/>
              <w:t>  </w:t>
            </w:r>
          </w:p>
        </w:tc>
        <w:tc>
          <w:tcPr>
            <w:tcW w:w="277" w:type="dxa"/>
            <w:tcBorders/>
            <w:shd w:fill="CCEEFF" w:val="clear"/>
            <w:vAlign w:val="center"/>
          </w:tcPr>
          <w:p>
            <w:pPr>
              <w:pStyle w:val="TableContents"/>
              <w:spacing w:before="0" w:after="283"/>
              <w:rPr>
                <w:sz w:val="4"/>
                <w:szCs w:val="4"/>
              </w:rPr>
            </w:pPr>
            <w:r>
              <w:rPr>
                <w:sz w:val="4"/>
                <w:szCs w:val="4"/>
              </w:rPr>
            </w:r>
          </w:p>
        </w:tc>
        <w:tc>
          <w:tcPr>
            <w:tcW w:w="1498" w:type="dxa"/>
            <w:tcBorders/>
            <w:shd w:fill="CCEEFF" w:val="clear"/>
            <w:vAlign w:val="center"/>
          </w:tcPr>
          <w:p>
            <w:pPr>
              <w:pStyle w:val="TableContents"/>
              <w:spacing w:before="0" w:after="283"/>
              <w:rPr>
                <w:sz w:val="4"/>
                <w:szCs w:val="4"/>
              </w:rPr>
            </w:pPr>
            <w:r>
              <w:rPr>
                <w:sz w:val="4"/>
                <w:szCs w:val="4"/>
              </w:rPr>
            </w:r>
          </w:p>
        </w:tc>
        <w:tc>
          <w:tcPr>
            <w:tcW w:w="155" w:type="dxa"/>
            <w:tcBorders/>
            <w:shd w:fill="CCEEFF" w:val="clear"/>
            <w:vAlign w:val="center"/>
          </w:tcPr>
          <w:p>
            <w:pPr>
              <w:pStyle w:val="TableContents"/>
              <w:spacing w:before="0" w:after="283"/>
              <w:rPr>
                <w:sz w:val="4"/>
                <w:szCs w:val="4"/>
              </w:rPr>
            </w:pPr>
            <w:r>
              <w:rPr>
                <w:sz w:val="4"/>
                <w:szCs w:val="4"/>
              </w:rPr>
            </w:r>
          </w:p>
        </w:tc>
        <w:tc>
          <w:tcPr>
            <w:tcW w:w="120" w:type="dxa"/>
            <w:tcBorders/>
            <w:shd w:fill="CCEEFF" w:val="clear"/>
            <w:vAlign w:val="center"/>
          </w:tcPr>
          <w:p>
            <w:pPr>
              <w:pStyle w:val="TableContents"/>
              <w:spacing w:before="0" w:after="283"/>
              <w:rPr/>
            </w:pPr>
            <w:r>
              <w:rPr/>
              <w:t>  </w:t>
            </w:r>
          </w:p>
        </w:tc>
        <w:tc>
          <w:tcPr>
            <w:tcW w:w="277" w:type="dxa"/>
            <w:tcBorders/>
            <w:shd w:fill="CCEEFF" w:val="clear"/>
            <w:vAlign w:val="center"/>
          </w:tcPr>
          <w:p>
            <w:pPr>
              <w:pStyle w:val="TableContents"/>
              <w:spacing w:before="0" w:after="283"/>
              <w:rPr>
                <w:sz w:val="4"/>
                <w:szCs w:val="4"/>
              </w:rPr>
            </w:pPr>
            <w:r>
              <w:rPr>
                <w:sz w:val="4"/>
                <w:szCs w:val="4"/>
              </w:rPr>
            </w:r>
          </w:p>
        </w:tc>
        <w:tc>
          <w:tcPr>
            <w:tcW w:w="1498" w:type="dxa"/>
            <w:tcBorders/>
            <w:shd w:fill="CCEEFF" w:val="clear"/>
            <w:vAlign w:val="center"/>
          </w:tcPr>
          <w:p>
            <w:pPr>
              <w:pStyle w:val="TableContents"/>
              <w:spacing w:before="0" w:after="283"/>
              <w:rPr>
                <w:sz w:val="4"/>
                <w:szCs w:val="4"/>
              </w:rPr>
            </w:pPr>
            <w:r>
              <w:rPr>
                <w:sz w:val="4"/>
                <w:szCs w:val="4"/>
              </w:rPr>
            </w:r>
          </w:p>
        </w:tc>
        <w:tc>
          <w:tcPr>
            <w:tcW w:w="170" w:type="dxa"/>
            <w:tcBorders/>
            <w:shd w:fill="CCEEFF" w:val="clear"/>
            <w:vAlign w:val="center"/>
          </w:tcPr>
          <w:p>
            <w:pPr>
              <w:pStyle w:val="TableContents"/>
              <w:spacing w:before="0" w:after="283"/>
              <w:rPr>
                <w:sz w:val="4"/>
                <w:szCs w:val="4"/>
              </w:rPr>
            </w:pPr>
            <w:r>
              <w:rPr>
                <w:sz w:val="4"/>
                <w:szCs w:val="4"/>
              </w:rPr>
            </w:r>
          </w:p>
        </w:tc>
      </w:tr>
      <w:tr>
        <w:trPr/>
        <w:tc>
          <w:tcPr>
            <w:tcW w:w="302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Interest rate swaps</w:t>
            </w:r>
          </w:p>
        </w:tc>
        <w:tc>
          <w:tcPr>
            <w:tcW w:w="120" w:type="dxa"/>
            <w:tcBorders/>
            <w:shd w:fill="auto" w:val="clear"/>
            <w:vAlign w:val="center"/>
          </w:tcPr>
          <w:p>
            <w:pPr>
              <w:pStyle w:val="TableContents"/>
              <w:spacing w:before="0" w:after="283"/>
              <w:rPr/>
            </w:pPr>
            <w:r>
              <w:rPr/>
              <w:t>  </w:t>
            </w:r>
          </w:p>
        </w:tc>
        <w:tc>
          <w:tcPr>
            <w:tcW w:w="96" w:type="dxa"/>
            <w:tcBorders/>
            <w:shd w:fill="auto" w:val="clear"/>
            <w:vAlign w:val="center"/>
          </w:tcPr>
          <w:p>
            <w:pPr>
              <w:pStyle w:val="TableContents"/>
              <w:spacing w:before="0" w:after="283"/>
              <w:rPr/>
            </w:pPr>
            <w:r>
              <w:rPr/>
              <w:t> </w:t>
            </w:r>
          </w:p>
        </w:tc>
        <w:tc>
          <w:tcPr>
            <w:tcW w:w="2789" w:type="dxa"/>
            <w:tcBorders/>
            <w:shd w:fill="auto" w:val="clear"/>
            <w:vAlign w:val="center"/>
          </w:tcPr>
          <w:p>
            <w:pPr>
              <w:pStyle w:val="TableContents"/>
              <w:spacing w:before="0" w:after="283"/>
              <w:jc w:val="right"/>
              <w:rPr/>
            </w:pPr>
            <w:r>
              <w:rPr/>
              <w:t>Accrued liabilities</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77" w:type="dxa"/>
            <w:tcBorders/>
            <w:shd w:fill="auto" w:val="clear"/>
            <w:vAlign w:val="center"/>
          </w:tcPr>
          <w:p>
            <w:pPr>
              <w:pStyle w:val="TableContents"/>
              <w:spacing w:before="0" w:after="283"/>
              <w:rPr/>
            </w:pPr>
            <w:r>
              <w:rPr/>
              <w:t>$</w:t>
            </w:r>
          </w:p>
        </w:tc>
        <w:tc>
          <w:tcPr>
            <w:tcW w:w="1498" w:type="dxa"/>
            <w:tcBorders/>
            <w:shd w:fill="auto" w:val="clear"/>
            <w:vAlign w:val="center"/>
          </w:tcPr>
          <w:p>
            <w:pPr>
              <w:pStyle w:val="TableContents"/>
              <w:spacing w:before="0" w:after="283"/>
              <w:jc w:val="right"/>
              <w:rPr/>
            </w:pPr>
            <w:r>
              <w:rPr/>
              <w:t>(8,350</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77" w:type="dxa"/>
            <w:tcBorders/>
            <w:shd w:fill="auto" w:val="clear"/>
            <w:vAlign w:val="center"/>
          </w:tcPr>
          <w:p>
            <w:pPr>
              <w:pStyle w:val="TableContents"/>
              <w:spacing w:before="0" w:after="283"/>
              <w:rPr/>
            </w:pPr>
            <w:r>
              <w:rPr/>
              <w:t>$</w:t>
            </w:r>
          </w:p>
        </w:tc>
        <w:tc>
          <w:tcPr>
            <w:tcW w:w="1498" w:type="dxa"/>
            <w:tcBorders/>
            <w:shd w:fill="auto" w:val="clear"/>
            <w:vAlign w:val="center"/>
          </w:tcPr>
          <w:p>
            <w:pPr>
              <w:pStyle w:val="TableContents"/>
              <w:spacing w:before="0" w:after="283"/>
              <w:jc w:val="right"/>
              <w:rPr/>
            </w:pPr>
            <w:r>
              <w:rPr/>
              <w:t>(3,518</w:t>
            </w:r>
          </w:p>
        </w:tc>
        <w:tc>
          <w:tcPr>
            <w:tcW w:w="170" w:type="dxa"/>
            <w:tcBorders/>
            <w:shd w:fill="auto" w:val="clear"/>
            <w:vAlign w:val="center"/>
          </w:tcPr>
          <w:p>
            <w:pPr>
              <w:pStyle w:val="TableContents"/>
              <w:spacing w:before="0" w:after="283"/>
              <w:rPr/>
            </w:pPr>
            <w:r>
              <w:rPr/>
              <w:t>) </w:t>
            </w:r>
          </w:p>
        </w:tc>
      </w:tr>
      <w:tr>
        <w:trPr/>
        <w:tc>
          <w:tcPr>
            <w:tcW w:w="302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Interest rate swaps</w:t>
            </w:r>
          </w:p>
        </w:tc>
        <w:tc>
          <w:tcPr>
            <w:tcW w:w="120" w:type="dxa"/>
            <w:tcBorders/>
            <w:shd w:fill="CCEEFF" w:val="clear"/>
            <w:vAlign w:val="center"/>
          </w:tcPr>
          <w:p>
            <w:pPr>
              <w:pStyle w:val="TableContents"/>
              <w:spacing w:before="0" w:after="283"/>
              <w:rPr/>
            </w:pPr>
            <w:r>
              <w:rPr/>
              <w:t>  </w:t>
            </w:r>
          </w:p>
        </w:tc>
        <w:tc>
          <w:tcPr>
            <w:tcW w:w="96" w:type="dxa"/>
            <w:tcBorders/>
            <w:shd w:fill="CCEEFF" w:val="clear"/>
            <w:vAlign w:val="center"/>
          </w:tcPr>
          <w:p>
            <w:pPr>
              <w:pStyle w:val="TableContents"/>
              <w:spacing w:before="0" w:after="283"/>
              <w:rPr/>
            </w:pPr>
            <w:r>
              <w:rPr/>
              <w:t> </w:t>
            </w:r>
          </w:p>
        </w:tc>
        <w:tc>
          <w:tcPr>
            <w:tcW w:w="2789" w:type="dxa"/>
            <w:tcBorders/>
            <w:shd w:fill="CCEEFF" w:val="clear"/>
            <w:vAlign w:val="center"/>
          </w:tcPr>
          <w:p>
            <w:pPr>
              <w:pStyle w:val="TableContents"/>
              <w:spacing w:before="0" w:after="283"/>
              <w:jc w:val="right"/>
              <w:rPr/>
            </w:pPr>
            <w:r>
              <w:rPr/>
              <w:t>Other liabilities</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277" w:type="dxa"/>
            <w:tcBorders/>
            <w:shd w:fill="CCEEFF" w:val="clear"/>
            <w:vAlign w:val="center"/>
          </w:tcPr>
          <w:p>
            <w:pPr>
              <w:pStyle w:val="TableContents"/>
              <w:spacing w:before="0" w:after="283"/>
              <w:rPr/>
            </w:pPr>
            <w:r>
              <w:rPr/>
              <w:t> </w:t>
            </w:r>
          </w:p>
        </w:tc>
        <w:tc>
          <w:tcPr>
            <w:tcW w:w="1498" w:type="dxa"/>
            <w:tcBorders/>
            <w:shd w:fill="CCEEFF" w:val="clear"/>
            <w:vAlign w:val="center"/>
          </w:tcPr>
          <w:p>
            <w:pPr>
              <w:pStyle w:val="TableContents"/>
              <w:spacing w:before="0" w:after="283"/>
              <w:jc w:val="right"/>
              <w:rPr/>
            </w:pPr>
            <w:r>
              <w:rPr/>
              <w:t>(4,416</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277" w:type="dxa"/>
            <w:tcBorders/>
            <w:shd w:fill="CCEEFF" w:val="clear"/>
            <w:vAlign w:val="center"/>
          </w:tcPr>
          <w:p>
            <w:pPr>
              <w:pStyle w:val="TableContents"/>
              <w:spacing w:before="0" w:after="283"/>
              <w:rPr/>
            </w:pPr>
            <w:r>
              <w:rPr/>
              <w:t> </w:t>
            </w:r>
          </w:p>
        </w:tc>
        <w:tc>
          <w:tcPr>
            <w:tcW w:w="1498" w:type="dxa"/>
            <w:tcBorders/>
            <w:shd w:fill="CCEEFF" w:val="clear"/>
            <w:vAlign w:val="center"/>
          </w:tcPr>
          <w:p>
            <w:pPr>
              <w:pStyle w:val="TableContents"/>
              <w:spacing w:before="0" w:after="283"/>
              <w:jc w:val="right"/>
              <w:rPr/>
            </w:pPr>
            <w:r>
              <w:rPr/>
              <w:t>(6,967</w:t>
            </w:r>
          </w:p>
        </w:tc>
        <w:tc>
          <w:tcPr>
            <w:tcW w:w="170" w:type="dxa"/>
            <w:tcBorders/>
            <w:shd w:fill="CCEEFF" w:val="clear"/>
            <w:vAlign w:val="center"/>
          </w:tcPr>
          <w:p>
            <w:pPr>
              <w:pStyle w:val="TableContents"/>
              <w:spacing w:before="0" w:after="283"/>
              <w:rPr/>
            </w:pPr>
            <w:r>
              <w:rPr/>
              <w:t>) </w:t>
            </w:r>
          </w:p>
        </w:tc>
      </w:tr>
      <w:tr>
        <w:trPr/>
        <w:tc>
          <w:tcPr>
            <w:tcW w:w="302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96" w:type="dxa"/>
            <w:tcBorders/>
            <w:shd w:fill="auto" w:val="clear"/>
            <w:vAlign w:val="center"/>
          </w:tcPr>
          <w:p>
            <w:pPr>
              <w:pStyle w:val="TableContents"/>
              <w:spacing w:before="0" w:after="283"/>
              <w:rPr>
                <w:sz w:val="4"/>
                <w:szCs w:val="4"/>
              </w:rPr>
            </w:pPr>
            <w:r>
              <w:rPr>
                <w:sz w:val="4"/>
                <w:szCs w:val="4"/>
              </w:rPr>
            </w:r>
          </w:p>
        </w:tc>
        <w:tc>
          <w:tcPr>
            <w:tcW w:w="2789"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277" w:type="dxa"/>
            <w:tcBorders/>
            <w:shd w:fill="auto" w:val="clear"/>
            <w:vAlign w:val="center"/>
          </w:tcPr>
          <w:p>
            <w:pPr>
              <w:pStyle w:val="TableContents"/>
              <w:spacing w:before="0" w:after="0"/>
              <w:rPr>
                <w:bdr w:val="single" w:sz="2" w:space="1" w:color="000000"/>
              </w:rPr>
            </w:pPr>
            <w:r>
              <w:rPr>
                <w:bdr w:val="single" w:sz="2" w:space="1" w:color="000000"/>
              </w:rPr>
              <w:t> </w:t>
            </w:r>
          </w:p>
        </w:tc>
        <w:tc>
          <w:tcPr>
            <w:tcW w:w="1498"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77" w:type="dxa"/>
            <w:tcBorders/>
            <w:shd w:fill="auto" w:val="clear"/>
            <w:vAlign w:val="center"/>
          </w:tcPr>
          <w:p>
            <w:pPr>
              <w:pStyle w:val="TableContents"/>
              <w:spacing w:before="0" w:after="0"/>
              <w:rPr>
                <w:bdr w:val="single" w:sz="2" w:space="1" w:color="000000"/>
              </w:rPr>
            </w:pPr>
            <w:r>
              <w:rPr>
                <w:bdr w:val="single" w:sz="2" w:space="1" w:color="000000"/>
              </w:rPr>
              <w:t> </w:t>
            </w:r>
          </w:p>
        </w:tc>
        <w:tc>
          <w:tcPr>
            <w:tcW w:w="1498" w:type="dxa"/>
            <w:tcBorders/>
            <w:shd w:fill="auto" w:val="clear"/>
            <w:vAlign w:val="center"/>
          </w:tcPr>
          <w:p>
            <w:pPr>
              <w:pStyle w:val="TableContents"/>
              <w:spacing w:before="0" w:after="0"/>
              <w:rPr>
                <w:bdr w:val="single" w:sz="2" w:space="1" w:color="000000"/>
              </w:rPr>
            </w:pPr>
            <w:r>
              <w:rPr>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302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 xml:space="preserve">Total derivatives </w:t>
            </w:r>
          </w:p>
          <w:p>
            <w:pPr>
              <w:pStyle w:val="TableContents"/>
              <w:spacing w:before="0" w:after="0"/>
              <w:rPr>
                <w:rFonts w:ascii="Times New Roman" w:hAnsi="Times New Roman"/>
                <w:spacing w:val="0"/>
                <w:sz w:val="14"/>
              </w:rPr>
            </w:pPr>
            <w:r>
              <w:rPr>
                <w:rFonts w:ascii="Times New Roman" w:hAnsi="Times New Roman"/>
                <w:spacing w:val="0"/>
                <w:sz w:val="14"/>
              </w:rPr>
              <w:t>(1)</w:t>
            </w:r>
          </w:p>
        </w:tc>
        <w:tc>
          <w:tcPr>
            <w:tcW w:w="120" w:type="dxa"/>
            <w:tcBorders/>
            <w:shd w:fill="auto" w:val="clear"/>
            <w:vAlign w:val="center"/>
          </w:tcPr>
          <w:p>
            <w:pPr>
              <w:pStyle w:val="TableContents"/>
              <w:spacing w:before="0" w:after="283"/>
              <w:rPr/>
            </w:pPr>
            <w:r>
              <w:rPr/>
              <w:t>  </w:t>
            </w:r>
          </w:p>
        </w:tc>
        <w:tc>
          <w:tcPr>
            <w:tcW w:w="96" w:type="dxa"/>
            <w:tcBorders/>
            <w:shd w:fill="auto" w:val="clear"/>
            <w:vAlign w:val="center"/>
          </w:tcPr>
          <w:p>
            <w:pPr>
              <w:pStyle w:val="TableContents"/>
              <w:spacing w:before="0" w:after="283"/>
              <w:rPr>
                <w:sz w:val="4"/>
                <w:szCs w:val="4"/>
              </w:rPr>
            </w:pPr>
            <w:r>
              <w:rPr>
                <w:sz w:val="4"/>
                <w:szCs w:val="4"/>
              </w:rPr>
            </w:r>
          </w:p>
        </w:tc>
        <w:tc>
          <w:tcPr>
            <w:tcW w:w="2789"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277" w:type="dxa"/>
            <w:tcBorders/>
            <w:shd w:fill="auto" w:val="clear"/>
            <w:vAlign w:val="center"/>
          </w:tcPr>
          <w:p>
            <w:pPr>
              <w:pStyle w:val="TableContents"/>
              <w:spacing w:before="0" w:after="283"/>
              <w:rPr/>
            </w:pPr>
            <w:r>
              <w:rPr/>
              <w:t>$</w:t>
            </w:r>
          </w:p>
        </w:tc>
        <w:tc>
          <w:tcPr>
            <w:tcW w:w="1498" w:type="dxa"/>
            <w:tcBorders/>
            <w:shd w:fill="auto" w:val="clear"/>
            <w:vAlign w:val="center"/>
          </w:tcPr>
          <w:p>
            <w:pPr>
              <w:pStyle w:val="TableContents"/>
              <w:spacing w:before="0" w:after="283"/>
              <w:jc w:val="right"/>
              <w:rPr/>
            </w:pPr>
            <w:r>
              <w:rPr/>
              <w:t>(12,766</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77" w:type="dxa"/>
            <w:tcBorders/>
            <w:shd w:fill="auto" w:val="clear"/>
            <w:vAlign w:val="center"/>
          </w:tcPr>
          <w:p>
            <w:pPr>
              <w:pStyle w:val="TableContents"/>
              <w:spacing w:before="0" w:after="283"/>
              <w:rPr/>
            </w:pPr>
            <w:r>
              <w:rPr/>
              <w:t>$</w:t>
            </w:r>
          </w:p>
        </w:tc>
        <w:tc>
          <w:tcPr>
            <w:tcW w:w="1498" w:type="dxa"/>
            <w:tcBorders/>
            <w:shd w:fill="auto" w:val="clear"/>
            <w:vAlign w:val="center"/>
          </w:tcPr>
          <w:p>
            <w:pPr>
              <w:pStyle w:val="TableContents"/>
              <w:spacing w:before="0" w:after="283"/>
              <w:jc w:val="right"/>
              <w:rPr/>
            </w:pPr>
            <w:r>
              <w:rPr/>
              <w:t>(10,485</w:t>
            </w:r>
          </w:p>
        </w:tc>
        <w:tc>
          <w:tcPr>
            <w:tcW w:w="170" w:type="dxa"/>
            <w:tcBorders/>
            <w:shd w:fill="auto" w:val="clear"/>
            <w:vAlign w:val="center"/>
          </w:tcPr>
          <w:p>
            <w:pPr>
              <w:pStyle w:val="TableContents"/>
              <w:spacing w:before="0" w:after="283"/>
              <w:rPr/>
            </w:pPr>
            <w:r>
              <w:rPr/>
              <w:t>) </w:t>
            </w:r>
          </w:p>
        </w:tc>
      </w:tr>
      <w:tr>
        <w:trPr/>
        <w:tc>
          <w:tcPr>
            <w:tcW w:w="302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96" w:type="dxa"/>
            <w:tcBorders/>
            <w:shd w:fill="auto" w:val="clear"/>
            <w:vAlign w:val="center"/>
          </w:tcPr>
          <w:p>
            <w:pPr>
              <w:pStyle w:val="TableContents"/>
              <w:spacing w:before="0" w:after="283"/>
              <w:rPr>
                <w:sz w:val="4"/>
                <w:szCs w:val="4"/>
              </w:rPr>
            </w:pPr>
            <w:r>
              <w:rPr>
                <w:sz w:val="4"/>
                <w:szCs w:val="4"/>
              </w:rPr>
            </w:r>
          </w:p>
        </w:tc>
        <w:tc>
          <w:tcPr>
            <w:tcW w:w="2789"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pPr>
            <w:r>
              <w:rPr/>
              <w:t>  </w:t>
            </w:r>
          </w:p>
        </w:tc>
        <w:tc>
          <w:tcPr>
            <w:tcW w:w="277" w:type="dxa"/>
            <w:tcBorders/>
            <w:shd w:fill="auto" w:val="clear"/>
            <w:vAlign w:val="center"/>
          </w:tcPr>
          <w:p>
            <w:pPr>
              <w:pStyle w:val="TableContents"/>
              <w:spacing w:before="0" w:after="0"/>
              <w:rPr>
                <w:bdr w:val="double" w:sz="6" w:space="1" w:color="000000"/>
              </w:rPr>
            </w:pPr>
            <w:r>
              <w:rPr>
                <w:bdr w:val="double" w:sz="6" w:space="1" w:color="000000"/>
              </w:rPr>
              <w:t> </w:t>
            </w:r>
          </w:p>
        </w:tc>
        <w:tc>
          <w:tcPr>
            <w:tcW w:w="1498" w:type="dxa"/>
            <w:tcBorders/>
            <w:shd w:fill="auto" w:val="clear"/>
            <w:vAlign w:val="center"/>
          </w:tcPr>
          <w:p>
            <w:pPr>
              <w:pStyle w:val="TableContents"/>
              <w:spacing w:before="0" w:after="0"/>
              <w:rPr>
                <w:bdr w:val="double" w:sz="6" w:space="1" w:color="000000"/>
              </w:rPr>
            </w:pPr>
            <w:r>
              <w:rPr>
                <w:bdr w:val="double" w:sz="6" w:space="1" w:color="000000"/>
              </w:rPr>
              <w:t> </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77" w:type="dxa"/>
            <w:tcBorders/>
            <w:shd w:fill="auto" w:val="clear"/>
            <w:vAlign w:val="center"/>
          </w:tcPr>
          <w:p>
            <w:pPr>
              <w:pStyle w:val="TableContents"/>
              <w:spacing w:before="0" w:after="0"/>
              <w:rPr>
                <w:bdr w:val="double" w:sz="6" w:space="1" w:color="000000"/>
              </w:rPr>
            </w:pPr>
            <w:r>
              <w:rPr>
                <w:bdr w:val="double" w:sz="6" w:space="1" w:color="000000"/>
              </w:rPr>
              <w:t> </w:t>
            </w:r>
          </w:p>
        </w:tc>
        <w:tc>
          <w:tcPr>
            <w:tcW w:w="1498" w:type="dxa"/>
            <w:tcBorders/>
            <w:shd w:fill="auto" w:val="clear"/>
            <w:vAlign w:val="center"/>
          </w:tcPr>
          <w:p>
            <w:pPr>
              <w:pStyle w:val="TableContents"/>
              <w:spacing w:before="0" w:after="0"/>
              <w:rPr>
                <w:bdr w:val="double" w:sz="6" w:space="1" w:color="000000"/>
              </w:rPr>
            </w:pPr>
            <w:r>
              <w:rPr>
                <w:bdr w:val="double" w:sz="6" w:space="1" w:color="000000"/>
              </w:rPr>
              <w:t> </w:t>
            </w:r>
          </w:p>
        </w:tc>
        <w:tc>
          <w:tcPr>
            <w:tcW w:w="170" w:type="dxa"/>
            <w:tcBorders/>
            <w:shd w:fill="auto" w:val="clear"/>
            <w:vAlign w:val="center"/>
          </w:tcPr>
          <w:p>
            <w:pPr>
              <w:pStyle w:val="TableContents"/>
              <w:spacing w:before="0" w:after="283"/>
              <w:rPr/>
            </w:pPr>
            <w:r>
              <w:rPr/>
              <w:t> </w:t>
            </w:r>
          </w:p>
        </w:tc>
      </w:tr>
    </w:tbl>
    <w:p>
      <w:pPr>
        <w:pStyle w:val="TextBody"/>
        <w:spacing w:before="0" w:after="0"/>
        <w:jc w:val="left"/>
        <w:rPr>
          <w:spacing w:val="0"/>
        </w:rPr>
      </w:pPr>
      <w:r>
        <w:rPr>
          <w:spacing w:val="0"/>
        </w:rPr>
        <w:t> </w:t>
      </w:r>
    </w:p>
    <w:tbl>
      <w:tblPr>
        <w:tblW w:w="8815" w:type="dxa"/>
        <w:jc w:val="left"/>
        <w:tblInd w:w="0" w:type="dxa"/>
        <w:tblCellMar>
          <w:top w:w="0" w:type="dxa"/>
          <w:left w:w="0" w:type="dxa"/>
          <w:bottom w:w="0" w:type="dxa"/>
          <w:right w:w="0" w:type="dxa"/>
        </w:tblCellMar>
      </w:tblPr>
      <w:tblGrid>
        <w:gridCol w:w="200"/>
        <w:gridCol w:w="8615"/>
      </w:tblGrid>
      <w:tr>
        <w:trPr/>
        <w:tc>
          <w:tcPr>
            <w:tcW w:w="200" w:type="dxa"/>
            <w:tcBorders/>
            <w:shd w:fill="auto" w:val="clear"/>
            <w:vAlign w:val="center"/>
          </w:tcPr>
          <w:p>
            <w:pPr>
              <w:pStyle w:val="TableContents"/>
              <w:spacing w:before="0" w:after="0"/>
              <w:jc w:val="left"/>
              <w:rPr>
                <w:sz w:val="14"/>
              </w:rPr>
            </w:pPr>
            <w:r>
              <w:rPr>
                <w:sz w:val="14"/>
              </w:rPr>
              <w:t>(1)</w:t>
            </w:r>
          </w:p>
          <w:p>
            <w:pPr>
              <w:pStyle w:val="TableContents"/>
              <w:spacing w:before="0" w:after="0"/>
              <w:jc w:val="left"/>
              <w:rPr/>
            </w:pPr>
            <w:r>
              <w:rPr/>
              <w:t> </w:t>
            </w:r>
          </w:p>
        </w:tc>
        <w:tc>
          <w:tcPr>
            <w:tcW w:w="8615"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The balance at January 31, 2021 relates to our swap agreements after hedge accounting was discontinued. </w:t>
            </w:r>
          </w:p>
        </w:tc>
      </w:tr>
    </w:tbl>
    <w:p>
      <w:pPr>
        <w:pStyle w:val="TextBody"/>
        <w:spacing w:before="240" w:after="0"/>
        <w:jc w:val="left"/>
        <w:rPr>
          <w:rFonts w:ascii="Times New Roman" w:hAnsi="Times New Roman"/>
          <w:spacing w:val="0"/>
          <w:sz w:val="20"/>
        </w:rPr>
      </w:pPr>
      <w:r>
        <w:rPr>
          <w:rFonts w:ascii="Times New Roman" w:hAnsi="Times New Roman"/>
          <w:spacing w:val="0"/>
          <w:sz w:val="20"/>
        </w:rPr>
        <w:t xml:space="preserve">The following table summarizes the activity in accumulated other comprehensive loss related to our derivative instruments for the fiscal years ended: </w:t>
      </w:r>
    </w:p>
    <w:p>
      <w:pPr>
        <w:pStyle w:val="TextBody"/>
        <w:spacing w:before="0" w:after="0"/>
        <w:jc w:val="left"/>
        <w:rPr>
          <w:spacing w:val="0"/>
        </w:rPr>
      </w:pPr>
      <w:r>
        <w:rPr>
          <w:spacing w:val="0"/>
        </w:rPr>
        <w:t> </w:t>
      </w:r>
    </w:p>
    <w:tbl>
      <w:tblPr>
        <w:tblW w:w="10165" w:type="dxa"/>
        <w:jc w:val="left"/>
        <w:tblInd w:w="0" w:type="dxa"/>
        <w:tblCellMar>
          <w:top w:w="0" w:type="dxa"/>
          <w:left w:w="0" w:type="dxa"/>
          <w:bottom w:w="0" w:type="dxa"/>
          <w:right w:w="0" w:type="dxa"/>
        </w:tblCellMar>
      </w:tblPr>
      <w:tblGrid>
        <w:gridCol w:w="6050"/>
        <w:gridCol w:w="120"/>
        <w:gridCol w:w="320"/>
        <w:gridCol w:w="1455"/>
        <w:gridCol w:w="155"/>
        <w:gridCol w:w="120"/>
        <w:gridCol w:w="303"/>
        <w:gridCol w:w="1472"/>
        <w:gridCol w:w="170"/>
      </w:tblGrid>
      <w:tr>
        <w:trPr/>
        <w:tc>
          <w:tcPr>
            <w:tcW w:w="605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83"/>
              <w:rPr>
                <w:sz w:val="4"/>
                <w:szCs w:val="4"/>
              </w:rPr>
            </w:pPr>
            <w:r>
              <w:rPr>
                <w:sz w:val="4"/>
                <w:szCs w:val="4"/>
              </w:rPr>
            </w:r>
          </w:p>
        </w:tc>
        <w:tc>
          <w:tcPr>
            <w:tcW w:w="145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303" w:type="dxa"/>
            <w:tcBorders/>
            <w:shd w:fill="auto" w:val="clear"/>
            <w:vAlign w:val="center"/>
          </w:tcPr>
          <w:p>
            <w:pPr>
              <w:pStyle w:val="TableContents"/>
              <w:spacing w:before="0" w:after="283"/>
              <w:rPr>
                <w:sz w:val="4"/>
                <w:szCs w:val="4"/>
              </w:rPr>
            </w:pPr>
            <w:r>
              <w:rPr>
                <w:sz w:val="4"/>
                <w:szCs w:val="4"/>
              </w:rPr>
            </w:r>
          </w:p>
        </w:tc>
        <w:tc>
          <w:tcPr>
            <w:tcW w:w="1472"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r>
      <w:tr>
        <w:trPr/>
        <w:tc>
          <w:tcPr>
            <w:tcW w:w="605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775"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January 31, 2021</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775"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February 2, 2020</w:t>
            </w:r>
          </w:p>
        </w:tc>
        <w:tc>
          <w:tcPr>
            <w:tcW w:w="170" w:type="dxa"/>
            <w:tcBorders/>
            <w:shd w:fill="auto" w:val="clear"/>
            <w:vAlign w:val="center"/>
          </w:tcPr>
          <w:p>
            <w:pPr>
              <w:pStyle w:val="TableContents"/>
              <w:spacing w:before="0" w:after="283"/>
              <w:rPr/>
            </w:pPr>
            <w:r>
              <w:rPr/>
              <w:t> </w:t>
            </w:r>
          </w:p>
        </w:tc>
      </w:tr>
      <w:tr>
        <w:trPr/>
        <w:tc>
          <w:tcPr>
            <w:tcW w:w="605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Amount of loss recorded in accumulated other comprehensive income</w:t>
            </w:r>
          </w:p>
        </w:tc>
        <w:tc>
          <w:tcPr>
            <w:tcW w:w="120" w:type="dxa"/>
            <w:tcBorders/>
            <w:shd w:fill="CCEEFF" w:val="clear"/>
            <w:vAlign w:val="center"/>
          </w:tcPr>
          <w:p>
            <w:pPr>
              <w:pStyle w:val="TableContents"/>
              <w:spacing w:before="0" w:after="283"/>
              <w:rPr/>
            </w:pPr>
            <w:r>
              <w:rPr/>
              <w:t>  </w:t>
            </w:r>
          </w:p>
        </w:tc>
        <w:tc>
          <w:tcPr>
            <w:tcW w:w="320" w:type="dxa"/>
            <w:tcBorders/>
            <w:shd w:fill="CCEEFF" w:val="clear"/>
            <w:vAlign w:val="center"/>
          </w:tcPr>
          <w:p>
            <w:pPr>
              <w:pStyle w:val="TableContents"/>
              <w:spacing w:before="0" w:after="283"/>
              <w:rPr/>
            </w:pPr>
            <w:r>
              <w:rPr/>
              <w:t>$</w:t>
            </w:r>
          </w:p>
        </w:tc>
        <w:tc>
          <w:tcPr>
            <w:tcW w:w="1455" w:type="dxa"/>
            <w:tcBorders/>
            <w:shd w:fill="CCEEFF" w:val="clear"/>
            <w:vAlign w:val="center"/>
          </w:tcPr>
          <w:p>
            <w:pPr>
              <w:pStyle w:val="TableContents"/>
              <w:spacing w:before="0" w:after="283"/>
              <w:jc w:val="right"/>
              <w:rPr/>
            </w:pPr>
            <w:r>
              <w:rPr/>
              <w:t>7,602</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303" w:type="dxa"/>
            <w:tcBorders/>
            <w:shd w:fill="CCEEFF" w:val="clear"/>
            <w:vAlign w:val="center"/>
          </w:tcPr>
          <w:p>
            <w:pPr>
              <w:pStyle w:val="TableContents"/>
              <w:spacing w:before="0" w:after="283"/>
              <w:rPr/>
            </w:pPr>
            <w:r>
              <w:rPr/>
              <w:t>$</w:t>
            </w:r>
          </w:p>
        </w:tc>
        <w:tc>
          <w:tcPr>
            <w:tcW w:w="1472" w:type="dxa"/>
            <w:tcBorders/>
            <w:shd w:fill="CCEEFF" w:val="clear"/>
            <w:vAlign w:val="center"/>
          </w:tcPr>
          <w:p>
            <w:pPr>
              <w:pStyle w:val="TableContents"/>
              <w:spacing w:before="0" w:after="283"/>
              <w:jc w:val="right"/>
              <w:rPr/>
            </w:pPr>
            <w:r>
              <w:rPr/>
              <w:t>11,454</w:t>
            </w:r>
          </w:p>
        </w:tc>
        <w:tc>
          <w:tcPr>
            <w:tcW w:w="170" w:type="dxa"/>
            <w:tcBorders/>
            <w:shd w:fill="CCEEFF" w:val="clear"/>
            <w:vAlign w:val="center"/>
          </w:tcPr>
          <w:p>
            <w:pPr>
              <w:pStyle w:val="TableContents"/>
              <w:spacing w:before="0" w:after="283"/>
              <w:rPr/>
            </w:pPr>
            <w:r>
              <w:rPr/>
              <w:t> </w:t>
            </w:r>
          </w:p>
        </w:tc>
      </w:tr>
      <w:tr>
        <w:trPr/>
        <w:tc>
          <w:tcPr>
            <w:tcW w:w="6050" w:type="dxa"/>
            <w:tcBorders/>
            <w:shd w:fill="auto" w:val="clear"/>
            <w:vAlign w:val="center"/>
          </w:tcPr>
          <w:p>
            <w:pPr>
              <w:pStyle w:val="TableContents"/>
              <w:spacing w:before="0" w:after="0"/>
              <w:ind w:left="0" w:right="0" w:hanging="0"/>
              <w:rPr>
                <w:rFonts w:ascii="Times New Roman" w:hAnsi="Times New Roman"/>
                <w:spacing w:val="0"/>
                <w:sz w:val="20"/>
              </w:rPr>
            </w:pPr>
            <w:r>
              <w:rPr>
                <w:rFonts w:ascii="Times New Roman" w:hAnsi="Times New Roman"/>
                <w:spacing w:val="0"/>
                <w:sz w:val="20"/>
              </w:rPr>
              <w:t>Amount of loss reclassified into income </w:t>
            </w:r>
          </w:p>
          <w:p>
            <w:pPr>
              <w:pStyle w:val="TableContents"/>
              <w:spacing w:before="0" w:after="0"/>
              <w:rPr>
                <w:rFonts w:ascii="Times New Roman" w:hAnsi="Times New Roman"/>
                <w:spacing w:val="0"/>
                <w:sz w:val="14"/>
              </w:rPr>
            </w:pPr>
            <w:r>
              <w:rPr>
                <w:rFonts w:ascii="Times New Roman" w:hAnsi="Times New Roman"/>
                <w:spacing w:val="0"/>
                <w:sz w:val="14"/>
              </w:rPr>
              <w:t>(1)</w:t>
            </w:r>
          </w:p>
        </w:tc>
        <w:tc>
          <w:tcPr>
            <w:tcW w:w="120" w:type="dxa"/>
            <w:tcBorders/>
            <w:shd w:fill="auto" w:val="clear"/>
            <w:vAlign w:val="center"/>
          </w:tcPr>
          <w:p>
            <w:pPr>
              <w:pStyle w:val="TableContents"/>
              <w:spacing w:before="0" w:after="283"/>
              <w:rPr/>
            </w:pPr>
            <w:r>
              <w:rPr/>
              <w:t>  </w:t>
            </w:r>
          </w:p>
        </w:tc>
        <w:tc>
          <w:tcPr>
            <w:tcW w:w="320" w:type="dxa"/>
            <w:tcBorders/>
            <w:shd w:fill="auto" w:val="clear"/>
            <w:vAlign w:val="center"/>
          </w:tcPr>
          <w:p>
            <w:pPr>
              <w:pStyle w:val="TableContents"/>
              <w:spacing w:before="0" w:after="283"/>
              <w:rPr/>
            </w:pPr>
            <w:r>
              <w:rPr/>
              <w:t>$</w:t>
            </w:r>
          </w:p>
        </w:tc>
        <w:tc>
          <w:tcPr>
            <w:tcW w:w="1455" w:type="dxa"/>
            <w:tcBorders/>
            <w:shd w:fill="auto" w:val="clear"/>
            <w:vAlign w:val="center"/>
          </w:tcPr>
          <w:p>
            <w:pPr>
              <w:pStyle w:val="TableContents"/>
              <w:spacing w:before="0" w:after="283"/>
              <w:jc w:val="right"/>
              <w:rPr/>
            </w:pPr>
            <w:r>
              <w:rPr/>
              <w:t>(6,453</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303" w:type="dxa"/>
            <w:tcBorders/>
            <w:shd w:fill="auto" w:val="clear"/>
            <w:vAlign w:val="center"/>
          </w:tcPr>
          <w:p>
            <w:pPr>
              <w:pStyle w:val="TableContents"/>
              <w:spacing w:before="0" w:after="283"/>
              <w:rPr/>
            </w:pPr>
            <w:r>
              <w:rPr/>
              <w:t>$</w:t>
            </w:r>
          </w:p>
        </w:tc>
        <w:tc>
          <w:tcPr>
            <w:tcW w:w="1472" w:type="dxa"/>
            <w:tcBorders/>
            <w:shd w:fill="auto" w:val="clear"/>
            <w:vAlign w:val="center"/>
          </w:tcPr>
          <w:p>
            <w:pPr>
              <w:pStyle w:val="TableContents"/>
              <w:spacing w:before="0" w:after="283"/>
              <w:jc w:val="right"/>
              <w:rPr/>
            </w:pPr>
            <w:r>
              <w:rPr/>
              <w:t>(969</w:t>
            </w:r>
          </w:p>
        </w:tc>
        <w:tc>
          <w:tcPr>
            <w:tcW w:w="170" w:type="dxa"/>
            <w:tcBorders/>
            <w:shd w:fill="auto" w:val="clear"/>
            <w:vAlign w:val="center"/>
          </w:tcPr>
          <w:p>
            <w:pPr>
              <w:pStyle w:val="TableContents"/>
              <w:spacing w:before="0" w:after="283"/>
              <w:rPr/>
            </w:pPr>
            <w:r>
              <w:rPr/>
              <w:t>) </w:t>
            </w:r>
          </w:p>
        </w:tc>
      </w:tr>
      <w:tr>
        <w:trPr/>
        <w:tc>
          <w:tcPr>
            <w:tcW w:w="605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Income tax expense (benefit) in accumulated other comprehensive income</w:t>
            </w:r>
          </w:p>
        </w:tc>
        <w:tc>
          <w:tcPr>
            <w:tcW w:w="120" w:type="dxa"/>
            <w:tcBorders/>
            <w:shd w:fill="CCEEFF" w:val="clear"/>
            <w:vAlign w:val="center"/>
          </w:tcPr>
          <w:p>
            <w:pPr>
              <w:pStyle w:val="TableContents"/>
              <w:spacing w:before="0" w:after="283"/>
              <w:rPr/>
            </w:pPr>
            <w:r>
              <w:rPr/>
              <w:t>  </w:t>
            </w:r>
          </w:p>
        </w:tc>
        <w:tc>
          <w:tcPr>
            <w:tcW w:w="320" w:type="dxa"/>
            <w:tcBorders/>
            <w:shd w:fill="CCEEFF" w:val="clear"/>
            <w:vAlign w:val="center"/>
          </w:tcPr>
          <w:p>
            <w:pPr>
              <w:pStyle w:val="TableContents"/>
              <w:spacing w:before="0" w:after="283"/>
              <w:rPr/>
            </w:pPr>
            <w:r>
              <w:rPr/>
              <w:t>$</w:t>
            </w:r>
          </w:p>
        </w:tc>
        <w:tc>
          <w:tcPr>
            <w:tcW w:w="1455" w:type="dxa"/>
            <w:tcBorders/>
            <w:shd w:fill="CCEEFF" w:val="clear"/>
            <w:vAlign w:val="center"/>
          </w:tcPr>
          <w:p>
            <w:pPr>
              <w:pStyle w:val="TableContents"/>
              <w:spacing w:before="0" w:after="283"/>
              <w:jc w:val="right"/>
              <w:rPr/>
            </w:pPr>
            <w:r>
              <w:rPr/>
              <w:t>(314</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303" w:type="dxa"/>
            <w:tcBorders/>
            <w:shd w:fill="CCEEFF" w:val="clear"/>
            <w:vAlign w:val="center"/>
          </w:tcPr>
          <w:p>
            <w:pPr>
              <w:pStyle w:val="TableContents"/>
              <w:spacing w:before="0" w:after="283"/>
              <w:rPr/>
            </w:pPr>
            <w:r>
              <w:rPr/>
              <w:t>$</w:t>
            </w:r>
          </w:p>
        </w:tc>
        <w:tc>
          <w:tcPr>
            <w:tcW w:w="1472" w:type="dxa"/>
            <w:tcBorders/>
            <w:shd w:fill="CCEEFF" w:val="clear"/>
            <w:vAlign w:val="center"/>
          </w:tcPr>
          <w:p>
            <w:pPr>
              <w:pStyle w:val="TableContents"/>
              <w:spacing w:before="0" w:after="283"/>
              <w:jc w:val="right"/>
              <w:rPr/>
            </w:pPr>
            <w:r>
              <w:rPr/>
              <w:t>(2,864</w:t>
            </w:r>
          </w:p>
        </w:tc>
        <w:tc>
          <w:tcPr>
            <w:tcW w:w="170" w:type="dxa"/>
            <w:tcBorders/>
            <w:shd w:fill="CCEEFF" w:val="clear"/>
            <w:vAlign w:val="center"/>
          </w:tcPr>
          <w:p>
            <w:pPr>
              <w:pStyle w:val="TableContents"/>
              <w:spacing w:before="0" w:after="283"/>
              <w:rPr/>
            </w:pPr>
            <w:r>
              <w:rPr/>
              <w:t>) </w:t>
            </w:r>
          </w:p>
        </w:tc>
      </w:tr>
    </w:tbl>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194"/>
        <w:gridCol w:w="10011"/>
      </w:tblGrid>
      <w:tr>
        <w:trPr/>
        <w:tc>
          <w:tcPr>
            <w:tcW w:w="194" w:type="dxa"/>
            <w:tcBorders/>
            <w:shd w:fill="auto" w:val="clear"/>
            <w:vAlign w:val="center"/>
          </w:tcPr>
          <w:p>
            <w:pPr>
              <w:pStyle w:val="TableContents"/>
              <w:spacing w:before="0" w:after="0"/>
              <w:jc w:val="left"/>
              <w:rPr>
                <w:sz w:val="14"/>
              </w:rPr>
            </w:pPr>
            <w:r>
              <w:rPr>
                <w:sz w:val="14"/>
              </w:rPr>
              <w:t>(1)</w:t>
            </w:r>
          </w:p>
          <w:p>
            <w:pPr>
              <w:pStyle w:val="TableContents"/>
              <w:spacing w:before="0" w:after="0"/>
              <w:jc w:val="left"/>
              <w:rPr/>
            </w:pPr>
            <w:r>
              <w:rPr/>
              <w:t> </w:t>
            </w:r>
          </w:p>
        </w:tc>
        <w:tc>
          <w:tcPr>
            <w:tcW w:w="10011"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Amounts reclassified into income are included in “Interest expense, net” in the Consolidated Statements of Comprehensive Income (Loss). </w:t>
            </w:r>
          </w:p>
        </w:tc>
      </w:tr>
    </w:tbl>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F-12 </w:t>
      </w:r>
    </w:p>
    <w:p>
      <w:pPr>
        <w:pStyle w:val="HorizontalLine"/>
        <w:rPr/>
      </w:pPr>
      <w:r>
        <w:rPr/>
      </w:r>
    </w:p>
    <w:p>
      <w:pPr>
        <w:pStyle w:val="TextBody"/>
        <w:spacing w:before="0" w:after="0"/>
        <w:rPr/>
      </w:pPr>
      <w:hyperlink w:anchor="toc">
        <w:r>
          <w:rPr>
            <w:rStyle w:val="InternetLink"/>
            <w:b/>
            <w:sz w:val="20"/>
          </w:rPr>
          <w:t>Table of Contents</w:t>
        </w:r>
      </w:hyperlink>
    </w:p>
    <w:p>
      <w:pPr>
        <w:pStyle w:val="TextBody"/>
        <w:spacing w:before="24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Revenue recognition </w:t>
      </w:r>
    </w:p>
    <w:p>
      <w:pPr>
        <w:pStyle w:val="TextBody"/>
        <w:spacing w:before="240" w:after="0"/>
        <w:jc w:val="left"/>
        <w:rPr>
          <w:spacing w:val="0"/>
        </w:rPr>
      </w:pPr>
      <w:r>
        <w:rPr>
          <w:spacing w:val="0"/>
        </w:rPr>
        <w:t xml:space="preserve">— </w:t>
      </w:r>
      <w:r>
        <w:rPr>
          <w:rFonts w:ascii="Times New Roman" w:hAnsi="Times New Roman"/>
          <w:spacing w:val="0"/>
          <w:sz w:val="20"/>
        </w:rPr>
        <w:t xml:space="preserve">Food and beverage revenues are recognized when payment is tendered at the point of sale as the performance obligation has been satisfied. Beginning in fiscal 2020, we began to offer our customers delivery services, which are fulfilled by third-party service providers. We recognize revenues at the gross amount, and delivery fees are included in “Other store operating expenses” in the Consolidated Statements of Comprehensive Income (Loss). Amusement revenues are primarily recognized upon utilization of game play credits on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Power Cards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purchased and used by customers to activate video and redemption games. Redemption games allow customers to earn tickets, which may be redeemed for prizes in our WIN! area. We have deferred a portion of amusement revenues for the estimated unfulfilled performance obligations based on an estimated rate of future use by customers of unused game play credits and the material right provided to customers to redeem tickets in the future for prizes. We estimate the amount of deferred revenue based upon credits and tickets remaining on Power Cards, historic game play credit and ticket utilization patterns and estimates of the standalone selling prices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of </w:t>
      </w:r>
    </w:p>
    <w:p>
      <w:pPr>
        <w:pStyle w:val="TextBody"/>
        <w:spacing w:before="240" w:after="0"/>
        <w:jc w:val="left"/>
        <w:rPr>
          <w:rFonts w:ascii="Times New Roman" w:hAnsi="Times New Roman"/>
          <w:spacing w:val="0"/>
          <w:sz w:val="20"/>
        </w:rPr>
      </w:pPr>
      <w:r>
        <w:rPr>
          <w:rFonts w:ascii="Times New Roman" w:hAnsi="Times New Roman"/>
          <w:spacing w:val="0"/>
          <w:sz w:val="20"/>
        </w:rPr>
        <w:t>game play credits and the customer material right. The standalone selling price of the customer material right is estimated using an equivalent chip cost plus margin approach. For purposes of recognizing revenue, the total amount collected from each customer is then allocated between the two performance obligations based on the relative standalone selling price of each obligation.</w:t>
      </w:r>
    </w:p>
    <w:p>
      <w:pPr>
        <w:pStyle w:val="TextBody"/>
        <w:spacing w:before="240" w:after="0"/>
        <w:jc w:val="left"/>
        <w:rPr>
          <w:rFonts w:ascii="Times New Roman" w:hAnsi="Times New Roman"/>
          <w:spacing w:val="0"/>
          <w:sz w:val="20"/>
        </w:rPr>
      </w:pPr>
      <w:r>
        <w:rPr>
          <w:rFonts w:ascii="Times New Roman" w:hAnsi="Times New Roman"/>
          <w:spacing w:val="0"/>
          <w:sz w:val="20"/>
        </w:rPr>
        <w:t>Total deferred amusement revenue is included in “Accrued liabilities” in our Consolidated Balance Sheets. During the fiscal year ended January 31, 2021, we recognized revenue of approximately</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$20,100 </w:t>
      </w:r>
    </w:p>
    <w:p>
      <w:pPr>
        <w:pStyle w:val="TextBody"/>
        <w:spacing w:before="240" w:after="0"/>
        <w:jc w:val="left"/>
        <w:rPr>
          <w:rFonts w:ascii="Times New Roman" w:hAnsi="Times New Roman"/>
          <w:spacing w:val="0"/>
          <w:sz w:val="20"/>
        </w:rPr>
      </w:pPr>
      <w:r>
        <w:rPr>
          <w:rFonts w:ascii="Times New Roman" w:hAnsi="Times New Roman"/>
          <w:spacing w:val="0"/>
          <w:sz w:val="20"/>
        </w:rPr>
        <w:t>related to the amount in deferred amusement revenue as of the end of fiscal 20</w:t>
      </w:r>
    </w:p>
    <w:p>
      <w:pPr>
        <w:pStyle w:val="TextBody"/>
        <w:spacing w:before="240" w:after="0"/>
        <w:jc w:val="left"/>
        <w:rPr>
          <w:rFonts w:ascii="Times New Roman" w:hAnsi="Times New Roman"/>
          <w:spacing w:val="0"/>
          <w:sz w:val="20"/>
        </w:rPr>
      </w:pPr>
      <w:r>
        <w:rPr>
          <w:rFonts w:ascii="Times New Roman" w:hAnsi="Times New Roman"/>
          <w:spacing w:val="0"/>
          <w:sz w:val="20"/>
        </w:rPr>
        <w:t>19</w:t>
      </w:r>
    </w:p>
    <w:p>
      <w:pPr>
        <w:pStyle w:val="TextBody"/>
        <w:spacing w:before="240" w:after="0"/>
        <w:jc w:val="left"/>
        <w:rPr>
          <w:rFonts w:ascii="Times New Roman" w:hAnsi="Times New Roman"/>
          <w:spacing w:val="0"/>
          <w:sz w:val="20"/>
        </w:rPr>
      </w:pPr>
      <w:r>
        <w:rPr>
          <w:rFonts w:ascii="Times New Roman" w:hAnsi="Times New Roman"/>
          <w:spacing w:val="0"/>
          <w:sz w:val="20"/>
        </w:rPr>
        <w:t>.</w:t>
      </w:r>
    </w:p>
    <w:p>
      <w:pPr>
        <w:pStyle w:val="TextBody"/>
        <w:spacing w:before="240" w:after="0"/>
        <w:jc w:val="left"/>
        <w:rPr>
          <w:rFonts w:ascii="Times New Roman" w:hAnsi="Times New Roman"/>
          <w:spacing w:val="0"/>
          <w:sz w:val="20"/>
        </w:rPr>
      </w:pPr>
      <w:r>
        <w:rPr>
          <w:rFonts w:ascii="Times New Roman" w:hAnsi="Times New Roman"/>
          <w:spacing w:val="0"/>
          <w:sz w:val="20"/>
        </w:rPr>
        <w:t>We sell gift cards, which do not have expiration dates, and we do not deduct non-usage fees from outstanding gift card balances. The Company recognizes revenue from gift cards upon redemption by the customer. For unredeemed gift cards that the Company expects to be entitled to breakage and for which there is not a legal obligation to remit the unredeemed gift card balances to the relevant jurisdictions, the Company recognizes expected breakage as revenue in proportion to the pattern of redemption by the customers. The determination of the gift card breakage is based on the Company’s specific historical redemption patterns. Recognized gift card breakage revenue is included in “Amusements and other revenues” in the Consolidated Statements of Comprehensive Income (Loss). The contract liability related to our gift cards is included in “Accrued liabilities” in our Consolidated Balance Sheets. During the fiscal year ended January 31, 2021, we recognized revenue of approximately</w:t>
      </w:r>
    </w:p>
    <w:p>
      <w:pPr>
        <w:pStyle w:val="TextBody"/>
        <w:spacing w:before="240" w:after="0"/>
        <w:jc w:val="left"/>
        <w:rPr>
          <w:rFonts w:ascii="Times New Roman" w:hAnsi="Times New Roman"/>
          <w:sz w:val="20"/>
        </w:rPr>
      </w:pPr>
      <w:r>
        <w:rPr>
          <w:rFonts w:ascii="Times New Roman" w:hAnsi="Times New Roman"/>
          <w:sz w:val="20"/>
        </w:rPr>
        <w:t xml:space="preserve">$2,330 </w:t>
      </w:r>
    </w:p>
    <w:p>
      <w:pPr>
        <w:pStyle w:val="TextBody"/>
        <w:spacing w:before="240" w:after="0"/>
        <w:jc w:val="left"/>
        <w:rPr>
          <w:rFonts w:ascii="Times New Roman" w:hAnsi="Times New Roman"/>
          <w:spacing w:val="0"/>
          <w:sz w:val="20"/>
        </w:rPr>
      </w:pPr>
      <w:r>
        <w:rPr>
          <w:rFonts w:ascii="Times New Roman" w:hAnsi="Times New Roman"/>
          <w:spacing w:val="0"/>
          <w:sz w:val="20"/>
        </w:rPr>
        <w:t>related to the amount in deferred gift card revenue as of the end of fiscal 2019, of which approximately</w:t>
      </w:r>
    </w:p>
    <w:p>
      <w:pPr>
        <w:pStyle w:val="TextBody"/>
        <w:spacing w:before="240" w:after="0"/>
        <w:jc w:val="left"/>
        <w:rPr>
          <w:rFonts w:ascii="Times New Roman" w:hAnsi="Times New Roman"/>
          <w:sz w:val="20"/>
        </w:rPr>
      </w:pPr>
      <w:r>
        <w:rPr>
          <w:rFonts w:ascii="Times New Roman" w:hAnsi="Times New Roman"/>
          <w:sz w:val="20"/>
        </w:rPr>
        <w:t xml:space="preserve">$570 was gift card breakage revenue. </w:t>
      </w:r>
    </w:p>
    <w:p>
      <w:pPr>
        <w:pStyle w:val="TextBody"/>
        <w:spacing w:before="240" w:after="0"/>
        <w:jc w:val="left"/>
        <w:rPr>
          <w:rFonts w:ascii="Times New Roman" w:hAnsi="Times New Roman"/>
          <w:spacing w:val="0"/>
          <w:sz w:val="20"/>
        </w:rPr>
      </w:pPr>
      <w:r>
        <w:rPr>
          <w:rFonts w:ascii="Times New Roman" w:hAnsi="Times New Roman"/>
          <w:spacing w:val="0"/>
          <w:sz w:val="20"/>
        </w:rPr>
        <w:t>Revenues are reported net of sales-related taxes collected from customers to be remitted to governmental taxing authorities. Sales tax collected is included in “Accrued liabilities” until the taxes are remitted to the appropriate taxing authorities. Historically, certain of our promotional programs include multiple performance obligations that are discounted from the standalone selling prices. We allocate the entire discount to the amusement performance obligation.</w:t>
      </w:r>
    </w:p>
    <w:p>
      <w:pPr>
        <w:pStyle w:val="TextBody"/>
        <w:spacing w:before="24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Advertising costs</w:t>
      </w:r>
    </w:p>
    <w:p>
      <w:pPr>
        <w:pStyle w:val="TextBody"/>
        <w:spacing w:before="240" w:after="0"/>
        <w:jc w:val="left"/>
        <w:rPr/>
      </w:pPr>
      <w:r>
        <w:rPr/>
        <w:t xml:space="preserve">— </w:t>
      </w:r>
      <w:r>
        <w:rPr>
          <w:rFonts w:ascii="Times New Roman" w:hAnsi="Times New Roman"/>
          <w:sz w:val="20"/>
        </w:rPr>
        <w:t xml:space="preserve">Advertising production costs are expensed in the period when the advertising first takes place. Other advertising costs are expensed as incurred. Advertising costs expensed were $21,107, $44,834, and $40,767 in fiscal 2020, 2019 and 2018, respectively. Advertising costs are included in “Other store operating expenses” in the Consolidated Statements of </w:t>
      </w:r>
    </w:p>
    <w:p>
      <w:pPr>
        <w:pStyle w:val="TextBody"/>
        <w:spacing w:before="240" w:after="0"/>
        <w:jc w:val="left"/>
        <w:rPr>
          <w:rFonts w:ascii="Times New Roman" w:hAnsi="Times New Roman"/>
          <w:spacing w:val="0"/>
          <w:sz w:val="20"/>
        </w:rPr>
      </w:pPr>
      <w:r>
        <w:rPr>
          <w:rFonts w:ascii="Times New Roman" w:hAnsi="Times New Roman"/>
          <w:spacing w:val="0"/>
          <w:sz w:val="20"/>
        </w:rPr>
        <w:t>Comprehensive Income (Loss).</w:t>
      </w:r>
    </w:p>
    <w:p>
      <w:pPr>
        <w:pStyle w:val="TextBody"/>
        <w:spacing w:before="24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Leases</w:t>
      </w:r>
    </w:p>
    <w:p>
      <w:pPr>
        <w:pStyle w:val="TextBody"/>
        <w:spacing w:before="240" w:after="0"/>
        <w:jc w:val="left"/>
        <w:rPr>
          <w:spacing w:val="0"/>
        </w:rPr>
      </w:pPr>
      <w:r>
        <w:rPr>
          <w:spacing w:val="0"/>
        </w:rPr>
        <w:t xml:space="preserve">— </w:t>
      </w:r>
      <w:r>
        <w:rPr>
          <w:rFonts w:ascii="Times New Roman" w:hAnsi="Times New Roman"/>
          <w:spacing w:val="0"/>
          <w:sz w:val="20"/>
        </w:rPr>
        <w:t>Our material operating leases consist of facility leases at our stores and our corporate office and warehouse. Operating leases also includes certain equipment leases that have a term in excess of one year. At contract inception, we determine whether a contract is, or contains, a lease by determining whether it conveys the right to control the use of the identified asset for a period of time. We recognize a lease liability representing the present value of lease payments not yet paid and a corresponding ROU asset as of the lease commencement date. Operating lease ROU assets are initially and subsequently measured throughout the lease term at the carrying amount of the lease liability adjusted for lease incentives, initial direct costs, prepayments or accrued lease payments and impairment of ROU assets, if any. We assess lease classification at commencement and reassess lease classification subsequent to commencement upon a change to the expected lease term or modification of the</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F-13 </w:t>
      </w:r>
    </w:p>
    <w:p>
      <w:pPr>
        <w:pStyle w:val="HorizontalLine"/>
        <w:rPr/>
      </w:pPr>
      <w:r>
        <w:rPr/>
      </w:r>
    </w:p>
    <w:p>
      <w:pPr>
        <w:pStyle w:val="TextBody"/>
        <w:spacing w:before="0" w:after="0"/>
        <w:rPr/>
      </w:pPr>
      <w:hyperlink w:anchor="toc">
        <w:r>
          <w:rPr>
            <w:rStyle w:val="InternetLink"/>
            <w:b/>
            <w:sz w:val="20"/>
          </w:rPr>
          <w:t>Table of Contents</w:t>
        </w:r>
      </w:hyperlink>
    </w:p>
    <w:p>
      <w:pPr>
        <w:pStyle w:val="TextBody"/>
        <w:spacing w:before="0" w:after="0"/>
        <w:jc w:val="left"/>
        <w:rPr>
          <w:rFonts w:ascii="Times New Roman" w:hAnsi="Times New Roman"/>
          <w:spacing w:val="0"/>
          <w:sz w:val="20"/>
        </w:rPr>
      </w:pPr>
      <w:r>
        <w:rPr>
          <w:rFonts w:ascii="Times New Roman" w:hAnsi="Times New Roman"/>
          <w:spacing w:val="0"/>
          <w:sz w:val="20"/>
        </w:rPr>
        <w:t xml:space="preserve">contract. Generally, the Company’s lease contracts do not provide a readily determinable implicit rate, and therefore, the Company uses an estimated incremental borrowing rate as of the commencement date in determining the present value of lease payments. The Company uses judgment in determining its incremental borrowing rate, which includes selecting a yield curve based on a hypothetical credit rating. </w:t>
      </w:r>
    </w:p>
    <w:p>
      <w:pPr>
        <w:pStyle w:val="TextBody"/>
        <w:spacing w:before="240" w:after="0"/>
        <w:jc w:val="left"/>
        <w:rPr>
          <w:rFonts w:ascii="Times New Roman" w:hAnsi="Times New Roman"/>
          <w:sz w:val="20"/>
        </w:rPr>
      </w:pPr>
      <w:r>
        <w:rPr>
          <w:rFonts w:ascii="Times New Roman" w:hAnsi="Times New Roman"/>
          <w:sz w:val="20"/>
        </w:rPr>
        <w:t xml:space="preserve">Our leases typically have initial terms ranging from ten to twenty years and most include options to extend the leases for one or more </w:t>
      </w:r>
    </w:p>
    <w:p>
      <w:pPr>
        <w:pStyle w:val="TextBody"/>
        <w:spacing w:before="240" w:after="0"/>
        <w:jc w:val="left"/>
        <w:rPr>
          <w:rFonts w:ascii="Times New Roman" w:hAnsi="Times New Roman"/>
          <w:spacing w:val="0"/>
          <w:sz w:val="20"/>
        </w:rPr>
      </w:pPr>
      <w:r>
        <w:rPr>
          <w:rFonts w:ascii="Times New Roman" w:hAnsi="Times New Roman"/>
          <w:spacing w:val="0"/>
          <w:sz w:val="20"/>
        </w:rPr>
        <w:t>5-year</w:t>
      </w:r>
    </w:p>
    <w:p>
      <w:pPr>
        <w:pStyle w:val="TextBody"/>
        <w:spacing w:before="240" w:after="0"/>
        <w:jc w:val="left"/>
        <w:rPr>
          <w:rFonts w:ascii="Times New Roman" w:hAnsi="Times New Roman"/>
          <w:sz w:val="20"/>
        </w:rPr>
      </w:pPr>
      <w:r>
        <w:rPr>
          <w:rFonts w:ascii="Times New Roman" w:hAnsi="Times New Roman"/>
          <w:sz w:val="20"/>
        </w:rPr>
        <w:t xml:space="preserve">periods. Generally, the lease term includes the noncancelable period of the lease inclusive of reasonably certain renewal periods up to a term of twenty years. The Company’s lease agreements generally contain rent holidays and/or escalating rent clauses. Lease cost is recognized on a straight-line basis over the lease term. The Company is generally obligated for the cost of property taxes, insurance and maintenance of the leased assets, which are often variable lease payments. Our leases typically provide for a fixed base rent plus contingent rent to be determined as a percentage of sales greater than certain specified target amounts. Contingent rental payments, when considered probable, are recognized as variable lease expenses. The Company accounts for the lease components and </w:t>
      </w:r>
    </w:p>
    <w:p>
      <w:pPr>
        <w:pStyle w:val="TextBody"/>
        <w:spacing w:before="240" w:after="0"/>
        <w:jc w:val="left"/>
        <w:rPr>
          <w:rFonts w:ascii="Times New Roman" w:hAnsi="Times New Roman"/>
          <w:spacing w:val="0"/>
          <w:sz w:val="20"/>
        </w:rPr>
      </w:pPr>
      <w:r>
        <w:rPr>
          <w:rFonts w:ascii="Times New Roman" w:hAnsi="Times New Roman"/>
          <w:spacing w:val="0"/>
          <w:sz w:val="20"/>
        </w:rPr>
        <w:t>non-lease</w:t>
      </w:r>
    </w:p>
    <w:p>
      <w:pPr>
        <w:pStyle w:val="TextBody"/>
        <w:spacing w:before="240" w:after="0"/>
        <w:jc w:val="left"/>
        <w:rPr>
          <w:rFonts w:ascii="Times New Roman" w:hAnsi="Times New Roman"/>
          <w:sz w:val="20"/>
        </w:rPr>
      </w:pPr>
      <w:r>
        <w:rPr>
          <w:rFonts w:ascii="Times New Roman" w:hAnsi="Times New Roman"/>
          <w:sz w:val="20"/>
        </w:rPr>
        <w:t xml:space="preserve">components, primarily fixed maintenance, for all leases, as a single lease component for new and modified leases. Our lease agreements do not contain any material residual value guarantees or material restrictive covenants.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Tenant incentives used to fund leasehold improvements are recognized when earned and reduce our ROU asset related to the lease. Tenant incentives are amortized through the ROU asset as reductions of expense over the lease term. The balance of leasehold improvement incentive receivables is reflected as a reduction of the current portion of operating lease liabilities. We consider the concentration of credit risk for tenant improvement allowance receivables from landlords to be minimal due the payment histories and general financial condition of our landlords.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During fiscal 2020, the Company entered into 126 initial rent relief agreements with our respective landlords on operating locations and our corporate headquarters. Under these agreements, certain rent payments will be abated, deferred or modified without penalty for various periods, generally providing for full deferral for three months beginning April 2020, with partial deferrals continuing for periods of up to six months at approximately 50% of those locations. The Company has chosen not to pay rent or to pay a portion of operating lease obligations as they become due for five properties without any rent relief agreements as of the end of fiscal 2020. As the pandemic continued to impact our business into the fourth quarter, the Company renewed negotiations with the majority of these landlords in order to provide additional rent relief, generally seeking to push out or extend the terms of deferral pay back periods and/or provide rent relief beyond the periods in the initial agreements. In anticipation of the second phase of relief agreements, the Company chose not to pay certain scheduled deferred rent payments or not to pay all or a portion of rent due under the initial rent relief agreements, for an additional 52 locations. As of the end of fiscal 2020, the Company had executed 17 rent relief agreements related to the second phase of negotiations. The Company has elected to apply the practical expedient to account for lease concessions and deferrals resulting directly from </w:t>
      </w:r>
    </w:p>
    <w:p>
      <w:pPr>
        <w:pStyle w:val="TextBody"/>
        <w:spacing w:before="240" w:after="0"/>
        <w:jc w:val="left"/>
        <w:rPr>
          <w:rFonts w:ascii="Times New Roman" w:hAnsi="Times New Roman"/>
          <w:spacing w:val="0"/>
          <w:sz w:val="20"/>
        </w:rPr>
      </w:pPr>
      <w:r>
        <w:rPr>
          <w:rFonts w:ascii="Times New Roman" w:hAnsi="Times New Roman"/>
          <w:spacing w:val="0"/>
          <w:sz w:val="20"/>
        </w:rPr>
        <w:t>COVID-19</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as though the enforceable rights and obligations to the deferrals existed in the respective contracts at lease inception and will not account for the concessions as lease modifications, unless the concession results in a substantial increase in the Company’s obligations. During fiscal 2020, 130 of our 143 rent relief agreements qualified for this accounting election, and the remaining agreements were treated as lease modifications, primarily due to a significant extension of the lease term. As of January 31, 2021, we have bifurcated our current operating lease liabilities into the portion that remains subject to accretion and the portion that is accounted for as a deferral of payments or as short payments. The current portion of deferred occupancy costs or short pays is included in “Accrued liabilities” and the balance, or $16,243, is included in “Other liabilities” in the Consolidated Balance Sheets. </w:t>
      </w:r>
    </w:p>
    <w:p>
      <w:pPr>
        <w:pStyle w:val="TextBody"/>
        <w:spacing w:before="240" w:after="0"/>
        <w:jc w:val="left"/>
        <w:rPr>
          <w:rFonts w:ascii="Times New Roman" w:hAnsi="Times New Roman"/>
          <w:spacing w:val="0"/>
          <w:sz w:val="20"/>
        </w:rPr>
      </w:pPr>
      <w:r>
        <w:rPr>
          <w:rFonts w:ascii="Times New Roman" w:hAnsi="Times New Roman"/>
          <w:spacing w:val="0"/>
          <w:sz w:val="20"/>
        </w:rPr>
        <w:t>Operating leases are included within the “Operating lease right of use assets”, “Accrued liabilities” and “Operating lease liabilities” in the Consolidated Balance Sheets. Operating lease payments are classified as cash flows from operating activities with ROU asset amortization and the change in the lease liability combined within “Other liabilities” in the reconciliation of net income to cash flows provided by operating activities in the Consolidated Statements of Cash Flows.</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F-14 </w:t>
      </w:r>
    </w:p>
    <w:p>
      <w:pPr>
        <w:pStyle w:val="HorizontalLine"/>
        <w:rPr/>
      </w:pPr>
      <w:r>
        <w:rPr/>
      </w:r>
    </w:p>
    <w:p>
      <w:pPr>
        <w:pStyle w:val="TextBody"/>
        <w:spacing w:before="0" w:after="0"/>
        <w:rPr/>
      </w:pPr>
      <w:hyperlink w:anchor="toc">
        <w:r>
          <w:rPr>
            <w:rStyle w:val="InternetLink"/>
            <w:b/>
            <w:sz w:val="20"/>
          </w:rPr>
          <w:t>Table of Contents</w:t>
        </w:r>
      </w:hyperlink>
    </w:p>
    <w:p>
      <w:pPr>
        <w:pStyle w:val="TextBody"/>
        <w:spacing w:before="24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Self-insurance programs</w:t>
      </w:r>
    </w:p>
    <w:p>
      <w:pPr>
        <w:pStyle w:val="TextBody"/>
        <w:spacing w:before="240" w:after="0"/>
        <w:jc w:val="left"/>
        <w:rPr>
          <w:spacing w:val="0"/>
        </w:rPr>
      </w:pPr>
      <w:r>
        <w:rPr>
          <w:spacing w:val="0"/>
        </w:rPr>
        <w:t xml:space="preserve">— </w:t>
      </w:r>
      <w:r>
        <w:rPr>
          <w:rFonts w:ascii="Times New Roman" w:hAnsi="Times New Roman"/>
          <w:spacing w:val="0"/>
          <w:sz w:val="20"/>
        </w:rPr>
        <w:t xml:space="preserve">The Company utilizes a self-insurance plan for health, general liability and workers’ compensation coverage. To limit our exposure to losses, we maintain stop-loss coverage through third-party insurers. Losses are accrued based on the Company’s historical claims experience and case losses, assisted by independent third-party actuaries. The estimated cost to settle reported claims and incurred but unreported claims is included in “Accrued liabilities” and “Other liabilities” in the Consolidated Balance Sheets. </w:t>
      </w:r>
    </w:p>
    <w:p>
      <w:pPr>
        <w:pStyle w:val="TextBody"/>
        <w:spacing w:before="24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Pre-opening</w:t>
      </w:r>
    </w:p>
    <w:p>
      <w:pPr>
        <w:pStyle w:val="TextBody"/>
        <w:spacing w:before="24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costs</w:t>
      </w:r>
    </w:p>
    <w:p>
      <w:pPr>
        <w:pStyle w:val="TextBody"/>
        <w:spacing w:before="240" w:after="0"/>
        <w:jc w:val="left"/>
        <w:rPr>
          <w:spacing w:val="0"/>
        </w:rPr>
      </w:pPr>
      <w:r>
        <w:rPr>
          <w:spacing w:val="0"/>
        </w:rPr>
        <w:t xml:space="preserve">— </w:t>
      </w:r>
    </w:p>
    <w:p>
      <w:pPr>
        <w:pStyle w:val="TextBody"/>
        <w:spacing w:before="240" w:after="0"/>
        <w:jc w:val="left"/>
        <w:rPr>
          <w:rFonts w:ascii="Times New Roman" w:hAnsi="Times New Roman"/>
          <w:spacing w:val="0"/>
          <w:sz w:val="20"/>
        </w:rPr>
      </w:pPr>
      <w:r>
        <w:rPr>
          <w:rFonts w:ascii="Times New Roman" w:hAnsi="Times New Roman"/>
          <w:spacing w:val="0"/>
          <w:sz w:val="20"/>
        </w:rPr>
        <w:t>Pre-opening</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costs include costs associated with the opening and organizing of new stores, including the cost of feasibility studies, </w:t>
      </w:r>
    </w:p>
    <w:p>
      <w:pPr>
        <w:pStyle w:val="TextBody"/>
        <w:spacing w:before="240" w:after="0"/>
        <w:jc w:val="left"/>
        <w:rPr>
          <w:rFonts w:ascii="Times New Roman" w:hAnsi="Times New Roman"/>
          <w:spacing w:val="0"/>
          <w:sz w:val="20"/>
        </w:rPr>
      </w:pPr>
      <w:r>
        <w:rPr>
          <w:rFonts w:ascii="Times New Roman" w:hAnsi="Times New Roman"/>
          <w:spacing w:val="0"/>
          <w:sz w:val="20"/>
        </w:rPr>
        <w:t>pre-opening</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rent, training, relocation, recruiting and travel costs for team members engaged in such </w:t>
      </w:r>
    </w:p>
    <w:p>
      <w:pPr>
        <w:pStyle w:val="TextBody"/>
        <w:spacing w:before="240" w:after="0"/>
        <w:jc w:val="left"/>
        <w:rPr>
          <w:rFonts w:ascii="Times New Roman" w:hAnsi="Times New Roman"/>
          <w:spacing w:val="0"/>
          <w:sz w:val="20"/>
        </w:rPr>
      </w:pPr>
      <w:r>
        <w:rPr>
          <w:rFonts w:ascii="Times New Roman" w:hAnsi="Times New Roman"/>
          <w:spacing w:val="0"/>
          <w:sz w:val="20"/>
        </w:rPr>
        <w:t>pre-opening</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activities. All </w:t>
      </w:r>
    </w:p>
    <w:p>
      <w:pPr>
        <w:pStyle w:val="TextBody"/>
        <w:spacing w:before="240" w:after="0"/>
        <w:jc w:val="left"/>
        <w:rPr>
          <w:rFonts w:ascii="Times New Roman" w:hAnsi="Times New Roman"/>
          <w:spacing w:val="0"/>
          <w:sz w:val="20"/>
        </w:rPr>
      </w:pPr>
      <w:r>
        <w:rPr>
          <w:rFonts w:ascii="Times New Roman" w:hAnsi="Times New Roman"/>
          <w:spacing w:val="0"/>
          <w:sz w:val="20"/>
        </w:rPr>
        <w:t>pre-opening</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costs are expensed as incurred. </w:t>
      </w:r>
    </w:p>
    <w:p>
      <w:pPr>
        <w:pStyle w:val="TextBody"/>
        <w:spacing w:before="24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Income taxes</w:t>
      </w:r>
    </w:p>
    <w:p>
      <w:pPr>
        <w:pStyle w:val="TextBody"/>
        <w:spacing w:before="240" w:after="0"/>
        <w:jc w:val="left"/>
        <w:rPr>
          <w:spacing w:val="0"/>
        </w:rPr>
      </w:pPr>
      <w:r>
        <w:rPr>
          <w:spacing w:val="0"/>
        </w:rPr>
        <w:t xml:space="preserve">— </w:t>
      </w:r>
      <w:r>
        <w:rPr>
          <w:rFonts w:ascii="Times New Roman" w:hAnsi="Times New Roman"/>
          <w:spacing w:val="0"/>
          <w:sz w:val="20"/>
        </w:rPr>
        <w:t xml:space="preserve">Deferred tax assets and liabilities are recognized based upon anticipated future tax consequences attributable to differences between the financial statement carrying value of assets and liabilities and their respective tax basis. Deferred tax assets and liabilities are measured using current enacted tax rates expected to apply to taxable income in the years in which we expect the temporary differences to reverse. The effect of a change in tax rates on deferred taxes is recognized in income in the period that includes the enactment date. We routinely evaluate the likelihood of realizing the benefit of our deferred tax assets and may record a valuation allowance if, based on all available evidence, we determine that it is more likely than not that some portion of the tax benefit will not be realized.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The calculation of tax liabilities involves judgment and evaluation of uncertainties in the interpretation of federal and state tax regulations. We evaluate our exposures associated with our various tax filing positions and recognize a tax benefit from an uncertain tax position only if it is more likely than not that the position will be sustained on examination by the taxing authorities based on the technical merits of the position. For uncertain tax positions that do not meet this threshold, we have established accruals for taxes that may become payable in future years as a result of audits by tax authorities. Tax accruals are adjusted as events occur that affect the potential liability for taxes such as the expiration of statutes of limitations, conclusion of tax audits, identification of additional exposure based on current calculations, identification of new issues, or the issuance of statutory or administrative guidance or rendering of a court decision affecting a certain issue. </w:t>
      </w:r>
    </w:p>
    <w:p>
      <w:pPr>
        <w:pStyle w:val="TextBody"/>
        <w:spacing w:before="24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Foreign currency</w:t>
      </w:r>
    </w:p>
    <w:p>
      <w:pPr>
        <w:pStyle w:val="TextBody"/>
        <w:spacing w:before="240" w:after="0"/>
        <w:jc w:val="left"/>
        <w:rPr>
          <w:spacing w:val="0"/>
        </w:rPr>
      </w:pPr>
      <w:r>
        <w:rPr>
          <w:spacing w:val="0"/>
        </w:rPr>
        <w:t xml:space="preserve">— </w:t>
      </w:r>
      <w:r>
        <w:rPr>
          <w:rFonts w:ascii="Times New Roman" w:hAnsi="Times New Roman"/>
          <w:spacing w:val="0"/>
          <w:sz w:val="20"/>
        </w:rPr>
        <w:t xml:space="preserve">Foreign currency translation adjustments represent the unrealized impact of translating the financial statements of our Canadian stores from their respective functional currency (Canadian dollars) to U.S. dollars and are reported as a component of comprehensive income and recorded in “Accumulated other comprehensive loss” on our Consolidated Balance Sheets. Gains and losses from foreign currency transactions are recognized in “Other store operating expenses” in the Consolidated Statements of Comprehensive Income (Loss). </w:t>
      </w:r>
    </w:p>
    <w:p>
      <w:pPr>
        <w:pStyle w:val="TextBody"/>
        <w:spacing w:before="24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Earnings per share</w:t>
      </w:r>
    </w:p>
    <w:p>
      <w:pPr>
        <w:pStyle w:val="TextBody"/>
        <w:spacing w:before="240" w:after="0"/>
        <w:jc w:val="left"/>
        <w:rPr>
          <w:spacing w:val="0"/>
        </w:rPr>
      </w:pPr>
      <w:r>
        <w:rPr>
          <w:spacing w:val="0"/>
        </w:rPr>
        <w:t xml:space="preserve">— </w:t>
      </w:r>
      <w:r>
        <w:rPr>
          <w:rFonts w:ascii="Times New Roman" w:hAnsi="Times New Roman"/>
          <w:spacing w:val="0"/>
          <w:sz w:val="20"/>
        </w:rPr>
        <w:t>Basic net income (loss) per share is computed by dividing net income (loss) available to common shareholders by the basic weighted average number of common shares outstanding for the reporting period. Diluted net income (loss) per share reflects the potential dilution that could occur if securities or other contracts to issue common stock were exercised or converted into common stock. For the calculation of diluted net income (loss) per share, the basic weighted average shares outstanding is increased by the dilutive effect of stock options and restricted share awards. Stock options and restricted share awards with an anti-dilutive effect are not included in the diluted net income (loss) per share calculation. For fiscal 2020, 2019 and fiscal 2018, we excluded approximately 1,200,000, 150,000 and 52,000 anti-dilutive awards from the calculation. Basic weighted average shares outstanding are reconciled to diluted weighted average shares outstanding as follows​​​​​​​</w:t>
      </w:r>
    </w:p>
    <w:p>
      <w:pPr>
        <w:pStyle w:val="TextBody"/>
        <w:spacing w:before="0" w:after="0"/>
        <w:jc w:val="left"/>
        <w:rPr>
          <w:spacing w:val="0"/>
        </w:rPr>
      </w:pPr>
      <w:r>
        <w:rPr>
          <w:spacing w:val="0"/>
        </w:rPr>
        <w:t> </w:t>
      </w:r>
    </w:p>
    <w:tbl>
      <w:tblPr>
        <w:tblW w:w="9560" w:type="dxa"/>
        <w:jc w:val="left"/>
        <w:tblInd w:w="0" w:type="dxa"/>
        <w:tblCellMar>
          <w:top w:w="0" w:type="dxa"/>
          <w:left w:w="0" w:type="dxa"/>
          <w:bottom w:w="0" w:type="dxa"/>
          <w:right w:w="0" w:type="dxa"/>
        </w:tblCellMar>
      </w:tblPr>
      <w:tblGrid>
        <w:gridCol w:w="3680"/>
        <w:gridCol w:w="120"/>
        <w:gridCol w:w="91"/>
        <w:gridCol w:w="1684"/>
        <w:gridCol w:w="60"/>
        <w:gridCol w:w="120"/>
        <w:gridCol w:w="91"/>
        <w:gridCol w:w="1684"/>
        <w:gridCol w:w="60"/>
        <w:gridCol w:w="120"/>
        <w:gridCol w:w="91"/>
        <w:gridCol w:w="1684"/>
        <w:gridCol w:w="75"/>
      </w:tblGrid>
      <w:tr>
        <w:trPr/>
        <w:tc>
          <w:tcPr>
            <w:tcW w:w="368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91" w:type="dxa"/>
            <w:tcBorders/>
            <w:shd w:fill="auto" w:val="clear"/>
            <w:vAlign w:val="center"/>
          </w:tcPr>
          <w:p>
            <w:pPr>
              <w:pStyle w:val="TableContents"/>
              <w:spacing w:before="0" w:after="283"/>
              <w:rPr>
                <w:sz w:val="4"/>
                <w:szCs w:val="4"/>
              </w:rPr>
            </w:pPr>
            <w:r>
              <w:rPr>
                <w:sz w:val="4"/>
                <w:szCs w:val="4"/>
              </w:rPr>
            </w:r>
          </w:p>
        </w:tc>
        <w:tc>
          <w:tcPr>
            <w:tcW w:w="1684"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91" w:type="dxa"/>
            <w:tcBorders/>
            <w:shd w:fill="auto" w:val="clear"/>
            <w:vAlign w:val="center"/>
          </w:tcPr>
          <w:p>
            <w:pPr>
              <w:pStyle w:val="TableContents"/>
              <w:spacing w:before="0" w:after="283"/>
              <w:rPr>
                <w:sz w:val="4"/>
                <w:szCs w:val="4"/>
              </w:rPr>
            </w:pPr>
            <w:r>
              <w:rPr>
                <w:sz w:val="4"/>
                <w:szCs w:val="4"/>
              </w:rPr>
            </w:r>
          </w:p>
        </w:tc>
        <w:tc>
          <w:tcPr>
            <w:tcW w:w="1684"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91" w:type="dxa"/>
            <w:tcBorders/>
            <w:shd w:fill="auto" w:val="clear"/>
            <w:vAlign w:val="center"/>
          </w:tcPr>
          <w:p>
            <w:pPr>
              <w:pStyle w:val="TableContents"/>
              <w:spacing w:before="0" w:after="283"/>
              <w:rPr>
                <w:sz w:val="4"/>
                <w:szCs w:val="4"/>
              </w:rPr>
            </w:pPr>
            <w:r>
              <w:rPr>
                <w:sz w:val="4"/>
                <w:szCs w:val="4"/>
              </w:rPr>
            </w:r>
          </w:p>
        </w:tc>
        <w:tc>
          <w:tcPr>
            <w:tcW w:w="1684"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368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775" w:type="dxa"/>
            <w:gridSpan w:val="2"/>
            <w:tcBorders/>
            <w:shd w:fill="auto" w:val="clear"/>
            <w:vAlign w:val="center"/>
          </w:tcPr>
          <w:p>
            <w:pPr>
              <w:pStyle w:val="TableContents"/>
              <w:spacing w:before="0" w:after="0"/>
              <w:jc w:val="center"/>
              <w:rPr>
                <w:b/>
                <w:spacing w:val="0"/>
              </w:rPr>
            </w:pPr>
            <w:r>
              <w:rPr>
                <w:b/>
                <w:spacing w:val="0"/>
              </w:rPr>
              <w:t>January 31, 2021</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775" w:type="dxa"/>
            <w:gridSpan w:val="2"/>
            <w:tcBorders/>
            <w:shd w:fill="auto" w:val="clear"/>
            <w:vAlign w:val="center"/>
          </w:tcPr>
          <w:p>
            <w:pPr>
              <w:pStyle w:val="TableContents"/>
              <w:spacing w:before="0" w:after="0"/>
              <w:jc w:val="center"/>
              <w:rPr>
                <w:b/>
                <w:spacing w:val="0"/>
              </w:rPr>
            </w:pPr>
            <w:r>
              <w:rPr>
                <w:b/>
                <w:spacing w:val="0"/>
              </w:rPr>
              <w:t>February 2, 2020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775" w:type="dxa"/>
            <w:gridSpan w:val="2"/>
            <w:tcBorders/>
            <w:shd w:fill="auto" w:val="clear"/>
            <w:vAlign w:val="center"/>
          </w:tcPr>
          <w:p>
            <w:pPr>
              <w:pStyle w:val="TableContents"/>
              <w:spacing w:before="0" w:after="0"/>
              <w:jc w:val="center"/>
              <w:rPr>
                <w:b/>
                <w:spacing w:val="0"/>
              </w:rPr>
            </w:pPr>
            <w:r>
              <w:rPr>
                <w:b/>
                <w:spacing w:val="0"/>
              </w:rPr>
              <w:t>February 3, 2019</w:t>
            </w:r>
          </w:p>
        </w:tc>
        <w:tc>
          <w:tcPr>
            <w:tcW w:w="75" w:type="dxa"/>
            <w:tcBorders/>
            <w:shd w:fill="auto" w:val="clear"/>
            <w:vAlign w:val="center"/>
          </w:tcPr>
          <w:p>
            <w:pPr>
              <w:pStyle w:val="TableContents"/>
              <w:spacing w:before="0" w:after="283"/>
              <w:rPr/>
            </w:pPr>
            <w:r>
              <w:rPr/>
              <w:t> </w:t>
            </w:r>
          </w:p>
        </w:tc>
      </w:tr>
      <w:tr>
        <w:trPr/>
        <w:tc>
          <w:tcPr>
            <w:tcW w:w="368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Basic weighted average shares outstanding</w:t>
            </w:r>
          </w:p>
        </w:tc>
        <w:tc>
          <w:tcPr>
            <w:tcW w:w="120" w:type="dxa"/>
            <w:tcBorders/>
            <w:shd w:fill="CCEEFF" w:val="clear"/>
            <w:vAlign w:val="center"/>
          </w:tcPr>
          <w:p>
            <w:pPr>
              <w:pStyle w:val="TableContents"/>
              <w:spacing w:before="0" w:after="0"/>
              <w:rPr>
                <w:spacing w:val="0"/>
              </w:rPr>
            </w:pPr>
            <w:r>
              <w:rPr>
                <w:spacing w:val="0"/>
              </w:rPr>
              <w:t>  </w:t>
            </w:r>
          </w:p>
        </w:tc>
        <w:tc>
          <w:tcPr>
            <w:tcW w:w="91" w:type="dxa"/>
            <w:tcBorders/>
            <w:shd w:fill="CCEEFF" w:val="clear"/>
            <w:vAlign w:val="center"/>
          </w:tcPr>
          <w:p>
            <w:pPr>
              <w:pStyle w:val="TableContents"/>
              <w:spacing w:before="0" w:after="0"/>
              <w:rPr>
                <w:spacing w:val="0"/>
              </w:rPr>
            </w:pPr>
            <w:r>
              <w:rPr>
                <w:spacing w:val="0"/>
              </w:rPr>
              <w:t> </w:t>
            </w:r>
          </w:p>
        </w:tc>
        <w:tc>
          <w:tcPr>
            <w:tcW w:w="1684" w:type="dxa"/>
            <w:tcBorders/>
            <w:shd w:fill="CCEEFF" w:val="clear"/>
            <w:vAlign w:val="center"/>
          </w:tcPr>
          <w:p>
            <w:pPr>
              <w:pStyle w:val="TableContents"/>
              <w:spacing w:before="0" w:after="0"/>
              <w:jc w:val="right"/>
              <w:rPr>
                <w:spacing w:val="0"/>
              </w:rPr>
            </w:pPr>
            <w:r>
              <w:rPr>
                <w:spacing w:val="0"/>
              </w:rPr>
              <w:t>43,549,887</w:t>
            </w:r>
          </w:p>
        </w:tc>
        <w:tc>
          <w:tcPr>
            <w:tcW w:w="60" w:type="dxa"/>
            <w:tcBorders/>
            <w:shd w:fill="CCEEFF" w:val="clear"/>
            <w:vAlign w:val="center"/>
          </w:tcPr>
          <w:p>
            <w:pPr>
              <w:pStyle w:val="TableContents"/>
              <w:spacing w:before="0" w:after="0"/>
              <w:rPr>
                <w:spacing w:val="0"/>
              </w:rPr>
            </w:pPr>
            <w:r>
              <w:rPr>
                <w:spacing w:val="0"/>
              </w:rPr>
              <w:t> </w:t>
            </w:r>
          </w:p>
        </w:tc>
        <w:tc>
          <w:tcPr>
            <w:tcW w:w="120" w:type="dxa"/>
            <w:tcBorders/>
            <w:shd w:fill="CCEEFF" w:val="clear"/>
            <w:vAlign w:val="center"/>
          </w:tcPr>
          <w:p>
            <w:pPr>
              <w:pStyle w:val="TableContents"/>
              <w:spacing w:before="0" w:after="0"/>
              <w:rPr>
                <w:spacing w:val="0"/>
              </w:rPr>
            </w:pPr>
            <w:r>
              <w:rPr>
                <w:spacing w:val="0"/>
              </w:rPr>
              <w:t>  </w:t>
            </w:r>
          </w:p>
        </w:tc>
        <w:tc>
          <w:tcPr>
            <w:tcW w:w="91" w:type="dxa"/>
            <w:tcBorders/>
            <w:shd w:fill="CCEEFF" w:val="clear"/>
            <w:vAlign w:val="center"/>
          </w:tcPr>
          <w:p>
            <w:pPr>
              <w:pStyle w:val="TableContents"/>
              <w:spacing w:before="0" w:after="0"/>
              <w:rPr>
                <w:spacing w:val="0"/>
              </w:rPr>
            </w:pPr>
            <w:r>
              <w:rPr>
                <w:spacing w:val="0"/>
              </w:rPr>
              <w:t> </w:t>
            </w:r>
          </w:p>
        </w:tc>
        <w:tc>
          <w:tcPr>
            <w:tcW w:w="1684" w:type="dxa"/>
            <w:tcBorders/>
            <w:shd w:fill="CCEEFF" w:val="clear"/>
            <w:vAlign w:val="center"/>
          </w:tcPr>
          <w:p>
            <w:pPr>
              <w:pStyle w:val="TableContents"/>
              <w:spacing w:before="0" w:after="0"/>
              <w:jc w:val="right"/>
              <w:rPr>
                <w:spacing w:val="0"/>
              </w:rPr>
            </w:pPr>
            <w:r>
              <w:rPr>
                <w:spacing w:val="0"/>
              </w:rPr>
              <w:t>33,450,217</w:t>
            </w:r>
          </w:p>
        </w:tc>
        <w:tc>
          <w:tcPr>
            <w:tcW w:w="60" w:type="dxa"/>
            <w:tcBorders/>
            <w:shd w:fill="CCEEFF" w:val="clear"/>
            <w:vAlign w:val="center"/>
          </w:tcPr>
          <w:p>
            <w:pPr>
              <w:pStyle w:val="TableContents"/>
              <w:spacing w:before="0" w:after="0"/>
              <w:rPr>
                <w:spacing w:val="0"/>
              </w:rPr>
            </w:pPr>
            <w:r>
              <w:rPr>
                <w:spacing w:val="0"/>
              </w:rPr>
              <w:t> </w:t>
            </w:r>
          </w:p>
        </w:tc>
        <w:tc>
          <w:tcPr>
            <w:tcW w:w="120" w:type="dxa"/>
            <w:tcBorders/>
            <w:shd w:fill="CCEEFF" w:val="clear"/>
            <w:vAlign w:val="center"/>
          </w:tcPr>
          <w:p>
            <w:pPr>
              <w:pStyle w:val="TableContents"/>
              <w:spacing w:before="0" w:after="0"/>
              <w:rPr>
                <w:spacing w:val="0"/>
              </w:rPr>
            </w:pPr>
            <w:r>
              <w:rPr>
                <w:spacing w:val="0"/>
              </w:rPr>
              <w:t>  </w:t>
            </w:r>
          </w:p>
        </w:tc>
        <w:tc>
          <w:tcPr>
            <w:tcW w:w="91" w:type="dxa"/>
            <w:tcBorders/>
            <w:shd w:fill="CCEEFF" w:val="clear"/>
            <w:vAlign w:val="center"/>
          </w:tcPr>
          <w:p>
            <w:pPr>
              <w:pStyle w:val="TableContents"/>
              <w:spacing w:before="0" w:after="0"/>
              <w:rPr>
                <w:spacing w:val="0"/>
              </w:rPr>
            </w:pPr>
            <w:r>
              <w:rPr>
                <w:spacing w:val="0"/>
              </w:rPr>
              <w:t> </w:t>
            </w:r>
          </w:p>
        </w:tc>
        <w:tc>
          <w:tcPr>
            <w:tcW w:w="1684" w:type="dxa"/>
            <w:tcBorders/>
            <w:shd w:fill="CCEEFF" w:val="clear"/>
            <w:vAlign w:val="center"/>
          </w:tcPr>
          <w:p>
            <w:pPr>
              <w:pStyle w:val="TableContents"/>
              <w:spacing w:before="0" w:after="0"/>
              <w:jc w:val="right"/>
              <w:rPr>
                <w:spacing w:val="0"/>
              </w:rPr>
            </w:pPr>
            <w:r>
              <w:rPr>
                <w:spacing w:val="0"/>
              </w:rPr>
              <w:t>39,047,106</w:t>
            </w:r>
          </w:p>
        </w:tc>
        <w:tc>
          <w:tcPr>
            <w:tcW w:w="75" w:type="dxa"/>
            <w:tcBorders/>
            <w:shd w:fill="CCEEFF" w:val="clear"/>
            <w:vAlign w:val="center"/>
          </w:tcPr>
          <w:p>
            <w:pPr>
              <w:pStyle w:val="TableContents"/>
              <w:spacing w:before="0" w:after="0"/>
              <w:rPr>
                <w:spacing w:val="0"/>
              </w:rPr>
            </w:pPr>
            <w:r>
              <w:rPr>
                <w:spacing w:val="0"/>
              </w:rPr>
              <w:t> </w:t>
            </w:r>
          </w:p>
        </w:tc>
      </w:tr>
      <w:tr>
        <w:trPr/>
        <w:tc>
          <w:tcPr>
            <w:tcW w:w="368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Weighted average dilutive impact of awards </w:t>
            </w:r>
          </w:p>
          <w:p>
            <w:pPr>
              <w:pStyle w:val="TableContents"/>
              <w:spacing w:before="0" w:after="0"/>
              <w:rPr>
                <w:rFonts w:ascii="Times New Roman" w:hAnsi="Times New Roman"/>
                <w:spacing w:val="0"/>
                <w:sz w:val="14"/>
              </w:rPr>
            </w:pPr>
            <w:r>
              <w:rPr>
                <w:rFonts w:ascii="Times New Roman" w:hAnsi="Times New Roman"/>
                <w:spacing w:val="0"/>
                <w:sz w:val="14"/>
              </w:rPr>
              <w:t>(1)</w:t>
            </w:r>
          </w:p>
        </w:tc>
        <w:tc>
          <w:tcPr>
            <w:tcW w:w="120" w:type="dxa"/>
            <w:tcBorders/>
            <w:shd w:fill="auto" w:val="clear"/>
            <w:vAlign w:val="center"/>
          </w:tcPr>
          <w:p>
            <w:pPr>
              <w:pStyle w:val="TableContents"/>
              <w:spacing w:before="0" w:after="0"/>
              <w:rPr>
                <w:spacing w:val="0"/>
              </w:rPr>
            </w:pPr>
            <w:r>
              <w:rPr>
                <w:spacing w:val="0"/>
              </w:rPr>
              <w:t>  </w:t>
            </w:r>
          </w:p>
        </w:tc>
        <w:tc>
          <w:tcPr>
            <w:tcW w:w="91" w:type="dxa"/>
            <w:tcBorders/>
            <w:shd w:fill="auto" w:val="clear"/>
            <w:vAlign w:val="center"/>
          </w:tcPr>
          <w:p>
            <w:pPr>
              <w:pStyle w:val="TableContents"/>
              <w:spacing w:before="0" w:after="0"/>
              <w:rPr>
                <w:spacing w:val="0"/>
              </w:rPr>
            </w:pPr>
            <w:r>
              <w:rPr>
                <w:spacing w:val="0"/>
              </w:rPr>
              <w:t> </w:t>
            </w:r>
          </w:p>
        </w:tc>
        <w:tc>
          <w:tcPr>
            <w:tcW w:w="1684" w:type="dxa"/>
            <w:tcBorders/>
            <w:shd w:fill="auto" w:val="clear"/>
            <w:vAlign w:val="center"/>
          </w:tcPr>
          <w:p>
            <w:pPr>
              <w:pStyle w:val="TableContents"/>
              <w:spacing w:before="0" w:after="0"/>
              <w:jc w:val="right"/>
              <w:rPr>
                <w:spacing w:val="0"/>
              </w:rPr>
            </w:pPr>
            <w:r>
              <w:rPr>
                <w:spacing w:val="0"/>
              </w:rPr>
              <w:t>—  </w:t>
            </w:r>
          </w:p>
        </w:tc>
        <w:tc>
          <w:tcPr>
            <w:tcW w:w="60"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91" w:type="dxa"/>
            <w:tcBorders/>
            <w:shd w:fill="auto" w:val="clear"/>
            <w:vAlign w:val="center"/>
          </w:tcPr>
          <w:p>
            <w:pPr>
              <w:pStyle w:val="TableContents"/>
              <w:spacing w:before="0" w:after="0"/>
              <w:rPr>
                <w:spacing w:val="0"/>
              </w:rPr>
            </w:pPr>
            <w:r>
              <w:rPr>
                <w:spacing w:val="0"/>
              </w:rPr>
              <w:t> </w:t>
            </w:r>
          </w:p>
        </w:tc>
        <w:tc>
          <w:tcPr>
            <w:tcW w:w="1684" w:type="dxa"/>
            <w:tcBorders/>
            <w:shd w:fill="auto" w:val="clear"/>
            <w:vAlign w:val="center"/>
          </w:tcPr>
          <w:p>
            <w:pPr>
              <w:pStyle w:val="TableContents"/>
              <w:spacing w:before="0" w:after="0"/>
              <w:jc w:val="right"/>
              <w:rPr>
                <w:spacing w:val="0"/>
              </w:rPr>
            </w:pPr>
            <w:r>
              <w:rPr>
                <w:spacing w:val="0"/>
              </w:rPr>
              <w:t>649,161</w:t>
            </w:r>
          </w:p>
        </w:tc>
        <w:tc>
          <w:tcPr>
            <w:tcW w:w="60" w:type="dxa"/>
            <w:tcBorders/>
            <w:shd w:fill="auto" w:val="clear"/>
            <w:vAlign w:val="center"/>
          </w:tcPr>
          <w:p>
            <w:pPr>
              <w:pStyle w:val="TableContents"/>
              <w:spacing w:before="0" w:after="0"/>
              <w:rPr>
                <w:spacing w:val="0"/>
              </w:rPr>
            </w:pPr>
            <w:r>
              <w:rPr>
                <w:spacing w:val="0"/>
              </w:rPr>
              <w:t> </w:t>
            </w:r>
          </w:p>
        </w:tc>
        <w:tc>
          <w:tcPr>
            <w:tcW w:w="120" w:type="dxa"/>
            <w:tcBorders/>
            <w:shd w:fill="auto" w:val="clear"/>
            <w:vAlign w:val="center"/>
          </w:tcPr>
          <w:p>
            <w:pPr>
              <w:pStyle w:val="TableContents"/>
              <w:spacing w:before="0" w:after="0"/>
              <w:rPr>
                <w:spacing w:val="0"/>
              </w:rPr>
            </w:pPr>
            <w:r>
              <w:rPr>
                <w:spacing w:val="0"/>
              </w:rPr>
              <w:t>  </w:t>
            </w:r>
          </w:p>
        </w:tc>
        <w:tc>
          <w:tcPr>
            <w:tcW w:w="91" w:type="dxa"/>
            <w:tcBorders/>
            <w:shd w:fill="auto" w:val="clear"/>
            <w:vAlign w:val="center"/>
          </w:tcPr>
          <w:p>
            <w:pPr>
              <w:pStyle w:val="TableContents"/>
              <w:spacing w:before="0" w:after="0"/>
              <w:rPr>
                <w:spacing w:val="0"/>
              </w:rPr>
            </w:pPr>
            <w:r>
              <w:rPr>
                <w:spacing w:val="0"/>
              </w:rPr>
              <w:t> </w:t>
            </w:r>
          </w:p>
        </w:tc>
        <w:tc>
          <w:tcPr>
            <w:tcW w:w="1684" w:type="dxa"/>
            <w:tcBorders/>
            <w:shd w:fill="auto" w:val="clear"/>
            <w:vAlign w:val="center"/>
          </w:tcPr>
          <w:p>
            <w:pPr>
              <w:pStyle w:val="TableContents"/>
              <w:spacing w:before="0" w:after="0"/>
              <w:jc w:val="right"/>
              <w:rPr>
                <w:spacing w:val="0"/>
              </w:rPr>
            </w:pPr>
            <w:r>
              <w:rPr>
                <w:spacing w:val="0"/>
              </w:rPr>
              <w:t>928,016</w:t>
            </w:r>
          </w:p>
        </w:tc>
        <w:tc>
          <w:tcPr>
            <w:tcW w:w="75" w:type="dxa"/>
            <w:tcBorders/>
            <w:shd w:fill="auto" w:val="clear"/>
            <w:vAlign w:val="center"/>
          </w:tcPr>
          <w:p>
            <w:pPr>
              <w:pStyle w:val="TableContents"/>
              <w:spacing w:before="0" w:after="0"/>
              <w:rPr>
                <w:spacing w:val="0"/>
              </w:rPr>
            </w:pPr>
            <w:r>
              <w:rPr>
                <w:spacing w:val="0"/>
              </w:rPr>
              <w:t> </w:t>
            </w:r>
          </w:p>
        </w:tc>
      </w:tr>
      <w:tr>
        <w:trPr/>
        <w:tc>
          <w:tcPr>
            <w:tcW w:w="368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Diluted weighted average shares outstanding</w:t>
            </w:r>
          </w:p>
        </w:tc>
        <w:tc>
          <w:tcPr>
            <w:tcW w:w="120" w:type="dxa"/>
            <w:tcBorders/>
            <w:shd w:fill="CCEEFF" w:val="clear"/>
            <w:vAlign w:val="center"/>
          </w:tcPr>
          <w:p>
            <w:pPr>
              <w:pStyle w:val="TableContents"/>
              <w:spacing w:before="0" w:after="0"/>
              <w:rPr>
                <w:spacing w:val="0"/>
              </w:rPr>
            </w:pPr>
            <w:r>
              <w:rPr>
                <w:spacing w:val="0"/>
              </w:rPr>
              <w:t>  </w:t>
            </w:r>
          </w:p>
        </w:tc>
        <w:tc>
          <w:tcPr>
            <w:tcW w:w="91" w:type="dxa"/>
            <w:tcBorders/>
            <w:shd w:fill="CCEEFF" w:val="clear"/>
            <w:vAlign w:val="center"/>
          </w:tcPr>
          <w:p>
            <w:pPr>
              <w:pStyle w:val="TableContents"/>
              <w:spacing w:before="0" w:after="0"/>
              <w:rPr>
                <w:spacing w:val="0"/>
              </w:rPr>
            </w:pPr>
            <w:r>
              <w:rPr>
                <w:spacing w:val="0"/>
              </w:rPr>
              <w:t> </w:t>
            </w:r>
          </w:p>
        </w:tc>
        <w:tc>
          <w:tcPr>
            <w:tcW w:w="1684" w:type="dxa"/>
            <w:tcBorders/>
            <w:shd w:fill="CCEEFF" w:val="clear"/>
            <w:vAlign w:val="center"/>
          </w:tcPr>
          <w:p>
            <w:pPr>
              <w:pStyle w:val="TableContents"/>
              <w:spacing w:before="0" w:after="0"/>
              <w:jc w:val="right"/>
              <w:rPr>
                <w:spacing w:val="0"/>
              </w:rPr>
            </w:pPr>
            <w:r>
              <w:rPr>
                <w:spacing w:val="0"/>
              </w:rPr>
              <w:t>43,549,887</w:t>
            </w:r>
          </w:p>
        </w:tc>
        <w:tc>
          <w:tcPr>
            <w:tcW w:w="60" w:type="dxa"/>
            <w:tcBorders/>
            <w:shd w:fill="CCEEFF" w:val="clear"/>
            <w:vAlign w:val="center"/>
          </w:tcPr>
          <w:p>
            <w:pPr>
              <w:pStyle w:val="TableContents"/>
              <w:spacing w:before="0" w:after="0"/>
              <w:rPr>
                <w:spacing w:val="0"/>
              </w:rPr>
            </w:pPr>
            <w:r>
              <w:rPr>
                <w:spacing w:val="0"/>
              </w:rPr>
              <w:t> </w:t>
            </w:r>
          </w:p>
        </w:tc>
        <w:tc>
          <w:tcPr>
            <w:tcW w:w="120" w:type="dxa"/>
            <w:tcBorders/>
            <w:shd w:fill="CCEEFF" w:val="clear"/>
            <w:vAlign w:val="center"/>
          </w:tcPr>
          <w:p>
            <w:pPr>
              <w:pStyle w:val="TableContents"/>
              <w:spacing w:before="0" w:after="0"/>
              <w:rPr>
                <w:spacing w:val="0"/>
              </w:rPr>
            </w:pPr>
            <w:r>
              <w:rPr>
                <w:spacing w:val="0"/>
              </w:rPr>
              <w:t>  </w:t>
            </w:r>
          </w:p>
        </w:tc>
        <w:tc>
          <w:tcPr>
            <w:tcW w:w="91" w:type="dxa"/>
            <w:tcBorders/>
            <w:shd w:fill="CCEEFF" w:val="clear"/>
            <w:vAlign w:val="center"/>
          </w:tcPr>
          <w:p>
            <w:pPr>
              <w:pStyle w:val="TableContents"/>
              <w:spacing w:before="0" w:after="0"/>
              <w:rPr>
                <w:spacing w:val="0"/>
              </w:rPr>
            </w:pPr>
            <w:r>
              <w:rPr>
                <w:spacing w:val="0"/>
              </w:rPr>
              <w:t> </w:t>
            </w:r>
          </w:p>
        </w:tc>
        <w:tc>
          <w:tcPr>
            <w:tcW w:w="1684" w:type="dxa"/>
            <w:tcBorders/>
            <w:shd w:fill="CCEEFF" w:val="clear"/>
            <w:vAlign w:val="center"/>
          </w:tcPr>
          <w:p>
            <w:pPr>
              <w:pStyle w:val="TableContents"/>
              <w:spacing w:before="0" w:after="0"/>
              <w:jc w:val="right"/>
              <w:rPr>
                <w:spacing w:val="0"/>
              </w:rPr>
            </w:pPr>
            <w:r>
              <w:rPr>
                <w:spacing w:val="0"/>
              </w:rPr>
              <w:t>34,099,378</w:t>
            </w:r>
          </w:p>
        </w:tc>
        <w:tc>
          <w:tcPr>
            <w:tcW w:w="60" w:type="dxa"/>
            <w:tcBorders/>
            <w:shd w:fill="CCEEFF" w:val="clear"/>
            <w:vAlign w:val="center"/>
          </w:tcPr>
          <w:p>
            <w:pPr>
              <w:pStyle w:val="TableContents"/>
              <w:spacing w:before="0" w:after="0"/>
              <w:rPr>
                <w:spacing w:val="0"/>
              </w:rPr>
            </w:pPr>
            <w:r>
              <w:rPr>
                <w:spacing w:val="0"/>
              </w:rPr>
              <w:t> </w:t>
            </w:r>
          </w:p>
        </w:tc>
        <w:tc>
          <w:tcPr>
            <w:tcW w:w="120" w:type="dxa"/>
            <w:tcBorders/>
            <w:shd w:fill="CCEEFF" w:val="clear"/>
            <w:vAlign w:val="center"/>
          </w:tcPr>
          <w:p>
            <w:pPr>
              <w:pStyle w:val="TableContents"/>
              <w:spacing w:before="0" w:after="0"/>
              <w:rPr>
                <w:spacing w:val="0"/>
              </w:rPr>
            </w:pPr>
            <w:r>
              <w:rPr>
                <w:spacing w:val="0"/>
              </w:rPr>
              <w:t>  </w:t>
            </w:r>
          </w:p>
        </w:tc>
        <w:tc>
          <w:tcPr>
            <w:tcW w:w="91" w:type="dxa"/>
            <w:tcBorders/>
            <w:shd w:fill="CCEEFF" w:val="clear"/>
            <w:vAlign w:val="center"/>
          </w:tcPr>
          <w:p>
            <w:pPr>
              <w:pStyle w:val="TableContents"/>
              <w:spacing w:before="0" w:after="0"/>
              <w:rPr>
                <w:spacing w:val="0"/>
              </w:rPr>
            </w:pPr>
            <w:r>
              <w:rPr>
                <w:spacing w:val="0"/>
              </w:rPr>
              <w:t> </w:t>
            </w:r>
          </w:p>
        </w:tc>
        <w:tc>
          <w:tcPr>
            <w:tcW w:w="1684" w:type="dxa"/>
            <w:tcBorders/>
            <w:shd w:fill="CCEEFF" w:val="clear"/>
            <w:vAlign w:val="center"/>
          </w:tcPr>
          <w:p>
            <w:pPr>
              <w:pStyle w:val="TableContents"/>
              <w:spacing w:before="0" w:after="0"/>
              <w:jc w:val="right"/>
              <w:rPr>
                <w:spacing w:val="0"/>
              </w:rPr>
            </w:pPr>
            <w:r>
              <w:rPr>
                <w:spacing w:val="0"/>
              </w:rPr>
              <w:t>39,975,122</w:t>
            </w:r>
          </w:p>
        </w:tc>
        <w:tc>
          <w:tcPr>
            <w:tcW w:w="75" w:type="dxa"/>
            <w:tcBorders/>
            <w:shd w:fill="CCEEFF" w:val="clear"/>
            <w:vAlign w:val="center"/>
          </w:tcPr>
          <w:p>
            <w:pPr>
              <w:pStyle w:val="TableContents"/>
              <w:spacing w:before="0" w:after="0"/>
              <w:rPr>
                <w:spacing w:val="0"/>
              </w:rPr>
            </w:pPr>
            <w:r>
              <w:rPr>
                <w:spacing w:val="0"/>
              </w:rPr>
              <w:t> </w:t>
            </w:r>
          </w:p>
        </w:tc>
      </w:tr>
    </w:tbl>
    <w:p>
      <w:pPr>
        <w:pStyle w:val="TextBody"/>
        <w:spacing w:before="0" w:after="0"/>
        <w:jc w:val="left"/>
        <w:rPr>
          <w:spacing w:val="0"/>
        </w:rPr>
      </w:pPr>
      <w:r>
        <w:rPr>
          <w:spacing w:val="0"/>
        </w:rPr>
        <w:t> </w:t>
      </w:r>
    </w:p>
    <w:tbl>
      <w:tblPr>
        <w:tblW w:w="8905" w:type="dxa"/>
        <w:jc w:val="left"/>
        <w:tblInd w:w="0" w:type="dxa"/>
        <w:tblCellMar>
          <w:top w:w="0" w:type="dxa"/>
          <w:left w:w="0" w:type="dxa"/>
          <w:bottom w:w="0" w:type="dxa"/>
          <w:right w:w="0" w:type="dxa"/>
        </w:tblCellMar>
      </w:tblPr>
      <w:tblGrid>
        <w:gridCol w:w="200"/>
        <w:gridCol w:w="8705"/>
      </w:tblGrid>
      <w:tr>
        <w:trPr/>
        <w:tc>
          <w:tcPr>
            <w:tcW w:w="200" w:type="dxa"/>
            <w:tcBorders/>
            <w:shd w:fill="auto" w:val="clear"/>
            <w:vAlign w:val="center"/>
          </w:tcPr>
          <w:p>
            <w:pPr>
              <w:pStyle w:val="TableContents"/>
              <w:spacing w:before="0" w:after="0"/>
              <w:jc w:val="left"/>
              <w:rPr>
                <w:spacing w:val="0"/>
                <w:sz w:val="14"/>
              </w:rPr>
            </w:pPr>
            <w:r>
              <w:rPr>
                <w:spacing w:val="0"/>
                <w:sz w:val="14"/>
              </w:rPr>
              <w:t>(1)</w:t>
            </w:r>
          </w:p>
          <w:p>
            <w:pPr>
              <w:pStyle w:val="TableContents"/>
              <w:spacing w:before="0" w:after="0"/>
              <w:jc w:val="left"/>
              <w:rPr>
                <w:spacing w:val="0"/>
              </w:rPr>
            </w:pPr>
            <w:r>
              <w:rPr>
                <w:spacing w:val="0"/>
              </w:rPr>
              <w:t> </w:t>
            </w:r>
          </w:p>
        </w:tc>
        <w:tc>
          <w:tcPr>
            <w:tcW w:w="8705"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Amounts exclude all potential common and common equivalent shares for periods when there is a net loss. </w:t>
            </w:r>
          </w:p>
        </w:tc>
      </w:tr>
    </w:tbl>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F-15 </w:t>
      </w:r>
    </w:p>
    <w:p>
      <w:pPr>
        <w:pStyle w:val="HorizontalLine"/>
        <w:rPr/>
      </w:pPr>
      <w:r>
        <w:rPr/>
      </w:r>
    </w:p>
    <w:p>
      <w:pPr>
        <w:pStyle w:val="TextBody"/>
        <w:spacing w:before="0" w:after="0"/>
        <w:rPr/>
      </w:pPr>
      <w:hyperlink w:anchor="toc">
        <w:r>
          <w:rPr>
            <w:rStyle w:val="InternetLink"/>
            <w:b/>
            <w:sz w:val="20"/>
          </w:rPr>
          <w:t>Table of Contents</w:t>
        </w:r>
      </w:hyperlink>
    </w:p>
    <w:p>
      <w:pPr>
        <w:pStyle w:val="TextBody"/>
        <w:spacing w:before="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Recently adopted accounting guidance </w:t>
      </w:r>
    </w:p>
    <w:p>
      <w:pPr>
        <w:pStyle w:val="TextBody"/>
        <w:spacing w:before="0" w:after="0"/>
        <w:jc w:val="left"/>
        <w:rPr/>
      </w:pPr>
      <w:r>
        <w:rPr/>
        <w:t xml:space="preserve">— </w:t>
      </w:r>
      <w:r>
        <w:rPr>
          <w:rFonts w:ascii="Times New Roman" w:hAnsi="Times New Roman"/>
          <w:sz w:val="20"/>
        </w:rPr>
        <w:t xml:space="preserve">In January 2017, the Financial Accounting Standards Board (“FASB”) issued Accounting Standards Update (“ASU”) </w:t>
      </w:r>
    </w:p>
    <w:p>
      <w:pPr>
        <w:pStyle w:val="TextBody"/>
        <w:spacing w:before="0" w:after="0"/>
        <w:jc w:val="left"/>
        <w:rPr>
          <w:rFonts w:ascii="Times New Roman" w:hAnsi="Times New Roman"/>
          <w:spacing w:val="0"/>
          <w:sz w:val="20"/>
        </w:rPr>
      </w:pPr>
      <w:r>
        <w:rPr>
          <w:rFonts w:ascii="Times New Roman" w:hAnsi="Times New Roman"/>
          <w:spacing w:val="0"/>
          <w:sz w:val="20"/>
        </w:rPr>
        <w:t>2017-04</w:t>
      </w:r>
    </w:p>
    <w:p>
      <w:pPr>
        <w:pStyle w:val="TextBody"/>
        <w:spacing w:before="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 Intangibles – Goodwill and Other (Topic 350): Simplifying the Test for Goodwill Impairment, </w:t>
      </w:r>
    </w:p>
    <w:p>
      <w:pPr>
        <w:pStyle w:val="TextBody"/>
        <w:spacing w:before="0" w:after="0"/>
        <w:jc w:val="left"/>
        <w:rPr>
          <w:rFonts w:ascii="Times New Roman" w:hAnsi="Times New Roman"/>
          <w:sz w:val="20"/>
        </w:rPr>
      </w:pPr>
      <w:r>
        <w:rPr>
          <w:rFonts w:ascii="Times New Roman" w:hAnsi="Times New Roman"/>
          <w:sz w:val="20"/>
        </w:rPr>
        <w:t xml:space="preserve">which eliminates the requirement to calculate the implied fair value of goodwill if the fair value of a reporting unit is less than the carrying amount of the reporting unit. Instead, if the carrying amount of a reporting unit exceeds its fair value, an impairment loss will be recognized in an amount equal to that excess, limited to the total amount of goodwill allocated to that reporting unit. The Company adopted this standard as of the beginning of fiscal year 2020, and the adoption did not have a material impact on our consolidated financial statements. </w:t>
      </w:r>
    </w:p>
    <w:p>
      <w:pPr>
        <w:pStyle w:val="TextBody"/>
        <w:spacing w:before="240" w:after="0"/>
        <w:jc w:val="left"/>
        <w:rPr>
          <w:rFonts w:ascii="Times New Roman" w:hAnsi="Times New Roman"/>
          <w:sz w:val="20"/>
        </w:rPr>
      </w:pPr>
      <w:r>
        <w:rPr>
          <w:rFonts w:ascii="Times New Roman" w:hAnsi="Times New Roman"/>
          <w:sz w:val="20"/>
        </w:rPr>
        <w:t xml:space="preserve">In August 2018, the FASB issued ASU </w:t>
      </w:r>
    </w:p>
    <w:p>
      <w:pPr>
        <w:pStyle w:val="TextBody"/>
        <w:spacing w:before="240" w:after="0"/>
        <w:jc w:val="left"/>
        <w:rPr>
          <w:rFonts w:ascii="Times New Roman" w:hAnsi="Times New Roman"/>
          <w:spacing w:val="0"/>
          <w:sz w:val="20"/>
        </w:rPr>
      </w:pPr>
      <w:r>
        <w:rPr>
          <w:rFonts w:ascii="Times New Roman" w:hAnsi="Times New Roman"/>
          <w:spacing w:val="0"/>
          <w:sz w:val="20"/>
        </w:rPr>
        <w:t>2018-13,</w:t>
      </w:r>
    </w:p>
    <w:p>
      <w:pPr>
        <w:pStyle w:val="TextBody"/>
        <w:spacing w:before="24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Fair Value Measurement (Topic 820): Disclosure Framework – Changes to the Disclosure Requirements for Fair Value Measurement</w:t>
      </w:r>
    </w:p>
    <w:p>
      <w:pPr>
        <w:pStyle w:val="TextBody"/>
        <w:spacing w:before="240" w:after="0"/>
        <w:jc w:val="left"/>
        <w:rPr>
          <w:rFonts w:ascii="Times New Roman" w:hAnsi="Times New Roman"/>
          <w:sz w:val="20"/>
        </w:rPr>
      </w:pPr>
      <w:r>
        <w:rPr>
          <w:rFonts w:ascii="Times New Roman" w:hAnsi="Times New Roman"/>
          <w:sz w:val="20"/>
        </w:rPr>
        <w:t xml:space="preserve">, which eliminates, modifies and adds disclosure requirements for fair value measurements. The Company adopted this standard as of the beginning of fiscal year 2020, and the adoption did not have a material impact on our consolidated financial statements. </w:t>
      </w:r>
    </w:p>
    <w:p>
      <w:pPr>
        <w:pStyle w:val="TextBody"/>
        <w:spacing w:before="240" w:after="0"/>
        <w:jc w:val="left"/>
        <w:rPr>
          <w:rFonts w:ascii="Times New Roman" w:hAnsi="Times New Roman"/>
          <w:sz w:val="20"/>
        </w:rPr>
      </w:pPr>
      <w:r>
        <w:rPr>
          <w:rFonts w:ascii="Times New Roman" w:hAnsi="Times New Roman"/>
          <w:sz w:val="20"/>
        </w:rPr>
        <w:t xml:space="preserve">On February 4, 2019, we adopted ASU </w:t>
      </w:r>
    </w:p>
    <w:p>
      <w:pPr>
        <w:pStyle w:val="TextBody"/>
        <w:spacing w:before="240" w:after="0"/>
        <w:jc w:val="left"/>
        <w:rPr>
          <w:rFonts w:ascii="Times New Roman" w:hAnsi="Times New Roman"/>
          <w:spacing w:val="0"/>
          <w:sz w:val="20"/>
        </w:rPr>
      </w:pPr>
      <w:r>
        <w:rPr>
          <w:rFonts w:ascii="Times New Roman" w:hAnsi="Times New Roman"/>
          <w:spacing w:val="0"/>
          <w:sz w:val="20"/>
        </w:rPr>
        <w:t>2016-02,</w:t>
      </w:r>
    </w:p>
    <w:p>
      <w:pPr>
        <w:pStyle w:val="TextBody"/>
        <w:spacing w:before="24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Leases (Topic 842)</w:t>
      </w:r>
    </w:p>
    <w:p>
      <w:pPr>
        <w:pStyle w:val="TextBody"/>
        <w:spacing w:before="240" w:after="0"/>
        <w:jc w:val="left"/>
        <w:rPr>
          <w:rFonts w:ascii="Times New Roman" w:hAnsi="Times New Roman"/>
          <w:sz w:val="20"/>
        </w:rPr>
      </w:pPr>
      <w:r>
        <w:rPr>
          <w:rFonts w:ascii="Times New Roman" w:hAnsi="Times New Roman"/>
          <w:sz w:val="20"/>
        </w:rPr>
        <w:t xml:space="preserve">. The guidance requires the recognition of lease liabilities, representing future minimum lease payments on a discounted basis, and corresponding ROU assets on the balance sheet for most leases. We adopted this standard using a modified retrospective approach, and we elected the transition method that allows us to initially apply the new standard at the adoption date and recognize a cumulative-effect adjustment to the opening balance of retained earnings in the period of adoption. The comparative period information has not been restated. </w:t>
      </w:r>
    </w:p>
    <w:p>
      <w:pPr>
        <w:pStyle w:val="TextBody"/>
        <w:spacing w:before="240" w:after="0"/>
        <w:jc w:val="left"/>
        <w:rPr>
          <w:rFonts w:ascii="Times New Roman" w:hAnsi="Times New Roman"/>
          <w:sz w:val="20"/>
        </w:rPr>
      </w:pPr>
      <w:r>
        <w:rPr>
          <w:rFonts w:ascii="Times New Roman" w:hAnsi="Times New Roman"/>
          <w:sz w:val="20"/>
        </w:rPr>
        <w:t xml:space="preserve">Upon adoption of the new lease accounting standard, we applied the package of practical expedients, which eliminated the requirements to reassess prior conclusions about lease identification, lease classification and initial direct costs. We also elected a short-term lease exception policy and an accounting policy to not separate </w:t>
      </w:r>
    </w:p>
    <w:p>
      <w:pPr>
        <w:pStyle w:val="TextBody"/>
        <w:spacing w:before="240" w:after="0"/>
        <w:jc w:val="left"/>
        <w:rPr>
          <w:rFonts w:ascii="Times New Roman" w:hAnsi="Times New Roman"/>
          <w:spacing w:val="0"/>
          <w:sz w:val="20"/>
        </w:rPr>
      </w:pPr>
      <w:r>
        <w:rPr>
          <w:rFonts w:ascii="Times New Roman" w:hAnsi="Times New Roman"/>
          <w:spacing w:val="0"/>
          <w:sz w:val="20"/>
        </w:rPr>
        <w:t>non-lease</w:t>
      </w:r>
    </w:p>
    <w:p>
      <w:pPr>
        <w:pStyle w:val="TextBody"/>
        <w:spacing w:before="240" w:after="0"/>
        <w:jc w:val="left"/>
        <w:rPr>
          <w:rFonts w:ascii="Times New Roman" w:hAnsi="Times New Roman"/>
          <w:sz w:val="20"/>
        </w:rPr>
      </w:pPr>
      <w:r>
        <w:rPr>
          <w:rFonts w:ascii="Times New Roman" w:hAnsi="Times New Roman"/>
          <w:sz w:val="20"/>
        </w:rPr>
        <w:t xml:space="preserve">components from lease components for our facility leases. The adoption of this guidance resulted in the recognition of ROU assets related to our operating leases of $877,714 and operating lease liabilities of $1,116,252. At the date of adoption, all lease-related balances consisting of $239,416 of deferred occupancy costs (including unfavorable lease liabilities) and $878 of favorable lease assets have been eliminated as an adjustment to ROU assets. We also recorded a cumulative effect reduction to the opening balance of retained earnings of $145, net of tax, from adoption of this guidance. There was no significant impact to our results of operations or cash flows. </w:t>
      </w:r>
    </w:p>
    <w:p>
      <w:pPr>
        <w:pStyle w:val="TextBody"/>
        <w:spacing w:before="24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Recent accounting pronouncements </w:t>
      </w:r>
    </w:p>
    <w:p>
      <w:pPr>
        <w:pStyle w:val="TextBody"/>
        <w:spacing w:before="240" w:after="0"/>
        <w:jc w:val="left"/>
        <w:rPr/>
      </w:pPr>
      <w:r>
        <w:rPr/>
        <w:t xml:space="preserve">— </w:t>
      </w:r>
      <w:r>
        <w:rPr>
          <w:rFonts w:ascii="Times New Roman" w:hAnsi="Times New Roman"/>
          <w:sz w:val="20"/>
        </w:rPr>
        <w:t xml:space="preserve">In December 2019, the FASB issued ASU </w:t>
      </w:r>
    </w:p>
    <w:p>
      <w:pPr>
        <w:pStyle w:val="TextBody"/>
        <w:spacing w:before="240" w:after="0"/>
        <w:jc w:val="left"/>
        <w:rPr>
          <w:rFonts w:ascii="Times New Roman" w:hAnsi="Times New Roman"/>
          <w:spacing w:val="0"/>
          <w:sz w:val="20"/>
        </w:rPr>
      </w:pPr>
      <w:r>
        <w:rPr>
          <w:rFonts w:ascii="Times New Roman" w:hAnsi="Times New Roman"/>
          <w:spacing w:val="0"/>
          <w:sz w:val="20"/>
        </w:rPr>
        <w:t>2019-12,</w:t>
      </w:r>
    </w:p>
    <w:p>
      <w:pPr>
        <w:pStyle w:val="TextBody"/>
        <w:spacing w:before="24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Income Taxes (Topic 740): Simplifying the Accounting for Income Taxes</w:t>
      </w:r>
    </w:p>
    <w:p>
      <w:pPr>
        <w:pStyle w:val="TextBody"/>
        <w:spacing w:before="240" w:after="0"/>
        <w:jc w:val="left"/>
        <w:rPr>
          <w:rFonts w:ascii="Times New Roman" w:hAnsi="Times New Roman"/>
          <w:sz w:val="20"/>
        </w:rPr>
      </w:pPr>
      <w:r>
        <w:rPr>
          <w:rFonts w:ascii="Times New Roman" w:hAnsi="Times New Roman"/>
          <w:sz w:val="20"/>
        </w:rPr>
        <w:t xml:space="preserve">, which removes certain exceptions related to the approach for intraperiod tax allocations, the calculation of income taxes in interim periods, and the recognition of deferred taxes for taxable goodwill. The guidance is effective for fiscal years beginning after December 15, 2020 and for interim periods within those years. The Company does not expect the adoption of this standard to have a material impact on our consolidated financial statements. </w:t>
      </w:r>
    </w:p>
    <w:p>
      <w:pPr>
        <w:pStyle w:val="TextBody"/>
        <w:spacing w:before="240" w:after="0"/>
        <w:jc w:val="left"/>
        <w:rPr>
          <w:rFonts w:ascii="Times New Roman" w:hAnsi="Times New Roman"/>
          <w:sz w:val="20"/>
        </w:rPr>
      </w:pPr>
      <w:r>
        <w:rPr>
          <w:rFonts w:ascii="Times New Roman" w:hAnsi="Times New Roman"/>
          <w:sz w:val="20"/>
        </w:rPr>
        <w:t xml:space="preserve">In March 2020, the FASB issued ASU </w:t>
      </w:r>
    </w:p>
    <w:p>
      <w:pPr>
        <w:pStyle w:val="TextBody"/>
        <w:spacing w:before="240" w:after="0"/>
        <w:jc w:val="left"/>
        <w:rPr>
          <w:rFonts w:ascii="Times New Roman" w:hAnsi="Times New Roman"/>
          <w:spacing w:val="0"/>
          <w:sz w:val="20"/>
        </w:rPr>
      </w:pPr>
      <w:r>
        <w:rPr>
          <w:rFonts w:ascii="Times New Roman" w:hAnsi="Times New Roman"/>
          <w:spacing w:val="0"/>
          <w:sz w:val="20"/>
        </w:rPr>
        <w:t>2020-04,</w:t>
      </w:r>
    </w:p>
    <w:p>
      <w:pPr>
        <w:pStyle w:val="TextBody"/>
        <w:spacing w:before="24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Reference Rate Reform (Topic 848): Facilitation of the Effects of Reference Reform on Financial Reporting</w:t>
      </w:r>
    </w:p>
    <w:p>
      <w:pPr>
        <w:pStyle w:val="TextBody"/>
        <w:spacing w:before="240" w:after="0"/>
        <w:jc w:val="left"/>
        <w:rPr>
          <w:rFonts w:ascii="Times New Roman" w:hAnsi="Times New Roman"/>
          <w:sz w:val="20"/>
        </w:rPr>
      </w:pPr>
      <w:r>
        <w:rPr>
          <w:rFonts w:ascii="Times New Roman" w:hAnsi="Times New Roman"/>
          <w:sz w:val="20"/>
        </w:rPr>
        <w:t xml:space="preserve">, which provides temporary optional expedients and exceptions to the current guidance for contract modifications and hedging relationships through December 31, 2022, that reference LIBOR or another reference rate expected to be discontinued because of reference rate reform. A contract modification resulting from reference rate reform may be accounted for as a continuation of the existing contract rather than the creation of a new contract. Additionally, changes in the critical terms of hedging relationships, caused by reference rate reform, should not result in the </w:t>
      </w:r>
    </w:p>
    <w:p>
      <w:pPr>
        <w:pStyle w:val="TextBody"/>
        <w:spacing w:before="240" w:after="0"/>
        <w:jc w:val="left"/>
        <w:rPr>
          <w:rFonts w:ascii="Times New Roman" w:hAnsi="Times New Roman"/>
          <w:spacing w:val="0"/>
          <w:sz w:val="20"/>
        </w:rPr>
      </w:pPr>
      <w:r>
        <w:rPr>
          <w:rFonts w:ascii="Times New Roman" w:hAnsi="Times New Roman"/>
          <w:spacing w:val="0"/>
          <w:sz w:val="20"/>
        </w:rPr>
        <w:t>de-designation</w:t>
      </w:r>
    </w:p>
    <w:p>
      <w:pPr>
        <w:pStyle w:val="TextBody"/>
        <w:spacing w:before="240" w:after="0"/>
        <w:jc w:val="left"/>
        <w:rPr>
          <w:rFonts w:ascii="Times New Roman" w:hAnsi="Times New Roman"/>
          <w:sz w:val="20"/>
        </w:rPr>
      </w:pPr>
      <w:r>
        <w:rPr>
          <w:rFonts w:ascii="Times New Roman" w:hAnsi="Times New Roman"/>
          <w:sz w:val="20"/>
        </w:rPr>
        <w:t xml:space="preserve">of the instrument, provided certain criteria are met. Although the Company has swap agreements based on LIBOR rates, the guidance is not expected to have an impact on our consolidated financial statements due to the </w:t>
      </w:r>
    </w:p>
    <w:p>
      <w:pPr>
        <w:pStyle w:val="TextBody"/>
        <w:spacing w:before="240" w:after="0"/>
        <w:jc w:val="left"/>
        <w:rPr>
          <w:rFonts w:ascii="Times New Roman" w:hAnsi="Times New Roman"/>
          <w:spacing w:val="0"/>
          <w:sz w:val="20"/>
        </w:rPr>
      </w:pPr>
      <w:r>
        <w:rPr>
          <w:rFonts w:ascii="Times New Roman" w:hAnsi="Times New Roman"/>
          <w:spacing w:val="0"/>
          <w:sz w:val="20"/>
        </w:rPr>
        <w:t>de-designation</w:t>
      </w:r>
    </w:p>
    <w:p>
      <w:pPr>
        <w:pStyle w:val="TextBody"/>
        <w:spacing w:before="240" w:after="0"/>
        <w:jc w:val="left"/>
        <w:rPr>
          <w:rFonts w:ascii="Times New Roman" w:hAnsi="Times New Roman"/>
          <w:sz w:val="20"/>
        </w:rPr>
      </w:pPr>
      <w:r>
        <w:rPr>
          <w:rFonts w:ascii="Times New Roman" w:hAnsi="Times New Roman"/>
          <w:sz w:val="20"/>
        </w:rPr>
        <w:t xml:space="preserve">of our hedging relationships in fiscal 2020.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F-16 </w:t>
      </w:r>
    </w:p>
    <w:p>
      <w:pPr>
        <w:pStyle w:val="HorizontalLine"/>
        <w:rPr/>
      </w:pPr>
      <w:r>
        <w:rPr/>
      </w:r>
    </w:p>
    <w:p>
      <w:pPr>
        <w:pStyle w:val="TextBody"/>
        <w:spacing w:before="0" w:after="0"/>
        <w:rPr/>
      </w:pPr>
      <w:hyperlink w:anchor="toc">
        <w:r>
          <w:rPr>
            <w:rStyle w:val="InternetLink"/>
            <w:b/>
            <w:sz w:val="20"/>
          </w:rPr>
          <w:t>Table of Contents</w:t>
        </w:r>
      </w:hyperlink>
    </w:p>
    <w:p>
      <w:pPr>
        <w:pStyle w:val="TextBody"/>
        <w:spacing w:before="0" w:after="0"/>
        <w:jc w:val="left"/>
        <w:rPr>
          <w:rFonts w:ascii="Times New Roman" w:hAnsi="Times New Roman"/>
          <w:b/>
          <w:spacing w:val="0"/>
          <w:sz w:val="20"/>
        </w:rPr>
      </w:pPr>
      <w:r>
        <w:rPr>
          <w:rFonts w:ascii="Times New Roman" w:hAnsi="Times New Roman"/>
          <w:b/>
          <w:spacing w:val="0"/>
          <w:sz w:val="20"/>
        </w:rPr>
        <w:t xml:space="preserve">Note 2: Inventories </w:t>
      </w:r>
    </w:p>
    <w:p>
      <w:pPr>
        <w:pStyle w:val="TextBody"/>
        <w:spacing w:before="120" w:after="0"/>
        <w:jc w:val="left"/>
        <w:rPr>
          <w:rFonts w:ascii="Times New Roman" w:hAnsi="Times New Roman"/>
          <w:spacing w:val="0"/>
          <w:sz w:val="20"/>
        </w:rPr>
      </w:pPr>
      <w:r>
        <w:rPr>
          <w:rFonts w:ascii="Times New Roman" w:hAnsi="Times New Roman"/>
          <w:spacing w:val="0"/>
          <w:sz w:val="20"/>
        </w:rPr>
        <w:t>Inventories consist of the following:</w:t>
      </w:r>
    </w:p>
    <w:p>
      <w:pPr>
        <w:pStyle w:val="TextBody"/>
        <w:spacing w:before="0" w:after="0"/>
        <w:jc w:val="left"/>
        <w:rPr>
          <w:spacing w:val="0"/>
        </w:rPr>
      </w:pPr>
      <w:r>
        <w:rPr>
          <w:spacing w:val="0"/>
        </w:rPr>
        <w:t> </w:t>
      </w:r>
    </w:p>
    <w:tbl>
      <w:tblPr>
        <w:tblW w:w="7455" w:type="dxa"/>
        <w:jc w:val="left"/>
        <w:tblInd w:w="0" w:type="dxa"/>
        <w:tblCellMar>
          <w:top w:w="0" w:type="dxa"/>
          <w:left w:w="0" w:type="dxa"/>
          <w:bottom w:w="0" w:type="dxa"/>
          <w:right w:w="0" w:type="dxa"/>
        </w:tblCellMar>
      </w:tblPr>
      <w:tblGrid>
        <w:gridCol w:w="3530"/>
        <w:gridCol w:w="120"/>
        <w:gridCol w:w="303"/>
        <w:gridCol w:w="1472"/>
        <w:gridCol w:w="60"/>
        <w:gridCol w:w="120"/>
        <w:gridCol w:w="303"/>
        <w:gridCol w:w="1472"/>
        <w:gridCol w:w="75"/>
      </w:tblGrid>
      <w:tr>
        <w:trPr/>
        <w:tc>
          <w:tcPr>
            <w:tcW w:w="353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303" w:type="dxa"/>
            <w:tcBorders/>
            <w:shd w:fill="auto" w:val="clear"/>
            <w:vAlign w:val="center"/>
          </w:tcPr>
          <w:p>
            <w:pPr>
              <w:pStyle w:val="TableContents"/>
              <w:spacing w:before="0" w:after="283"/>
              <w:rPr>
                <w:sz w:val="4"/>
                <w:szCs w:val="4"/>
              </w:rPr>
            </w:pPr>
            <w:r>
              <w:rPr>
                <w:sz w:val="4"/>
                <w:szCs w:val="4"/>
              </w:rPr>
            </w:r>
          </w:p>
        </w:tc>
        <w:tc>
          <w:tcPr>
            <w:tcW w:w="147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303" w:type="dxa"/>
            <w:tcBorders/>
            <w:shd w:fill="auto" w:val="clear"/>
            <w:vAlign w:val="center"/>
          </w:tcPr>
          <w:p>
            <w:pPr>
              <w:pStyle w:val="TableContents"/>
              <w:spacing w:before="0" w:after="283"/>
              <w:rPr>
                <w:sz w:val="4"/>
                <w:szCs w:val="4"/>
              </w:rPr>
            </w:pPr>
            <w:r>
              <w:rPr>
                <w:sz w:val="4"/>
                <w:szCs w:val="4"/>
              </w:rPr>
            </w:r>
          </w:p>
        </w:tc>
        <w:tc>
          <w:tcPr>
            <w:tcW w:w="1472"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353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775" w:type="dxa"/>
            <w:gridSpan w:val="2"/>
            <w:tcBorders/>
            <w:shd w:fill="auto" w:val="clear"/>
            <w:vAlign w:val="center"/>
          </w:tcPr>
          <w:p>
            <w:pPr>
              <w:pStyle w:val="TableContents"/>
              <w:spacing w:before="0" w:after="0"/>
              <w:jc w:val="center"/>
              <w:rPr>
                <w:b/>
                <w:spacing w:val="0"/>
              </w:rPr>
            </w:pPr>
            <w:r>
              <w:rPr>
                <w:b/>
                <w:spacing w:val="0"/>
              </w:rPr>
              <w:t>January 31, 2021</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775" w:type="dxa"/>
            <w:gridSpan w:val="2"/>
            <w:tcBorders/>
            <w:shd w:fill="auto" w:val="clear"/>
            <w:vAlign w:val="center"/>
          </w:tcPr>
          <w:p>
            <w:pPr>
              <w:pStyle w:val="TableContents"/>
              <w:spacing w:before="0" w:after="0"/>
              <w:jc w:val="center"/>
              <w:rPr>
                <w:b/>
                <w:spacing w:val="0"/>
              </w:rPr>
            </w:pPr>
            <w:r>
              <w:rPr>
                <w:b/>
                <w:spacing w:val="0"/>
              </w:rPr>
              <w:t>February 2, 2020</w:t>
            </w:r>
          </w:p>
        </w:tc>
        <w:tc>
          <w:tcPr>
            <w:tcW w:w="75" w:type="dxa"/>
            <w:tcBorders/>
            <w:shd w:fill="auto" w:val="clear"/>
            <w:vAlign w:val="center"/>
          </w:tcPr>
          <w:p>
            <w:pPr>
              <w:pStyle w:val="TableContents"/>
              <w:spacing w:before="0" w:after="283"/>
              <w:rPr/>
            </w:pPr>
            <w:r>
              <w:rPr/>
              <w:t> </w:t>
            </w:r>
          </w:p>
        </w:tc>
      </w:tr>
      <w:tr>
        <w:trPr/>
        <w:tc>
          <w:tcPr>
            <w:tcW w:w="353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Operating store—food and beverage</w:t>
            </w:r>
          </w:p>
        </w:tc>
        <w:tc>
          <w:tcPr>
            <w:tcW w:w="120" w:type="dxa"/>
            <w:tcBorders/>
            <w:shd w:fill="CCEEFF" w:val="clear"/>
            <w:vAlign w:val="center"/>
          </w:tcPr>
          <w:p>
            <w:pPr>
              <w:pStyle w:val="TableContents"/>
              <w:spacing w:before="0" w:after="283"/>
              <w:rPr/>
            </w:pPr>
            <w:r>
              <w:rPr/>
              <w:t>  </w:t>
            </w:r>
          </w:p>
        </w:tc>
        <w:tc>
          <w:tcPr>
            <w:tcW w:w="303" w:type="dxa"/>
            <w:tcBorders/>
            <w:shd w:fill="CCEEFF" w:val="clear"/>
            <w:vAlign w:val="center"/>
          </w:tcPr>
          <w:p>
            <w:pPr>
              <w:pStyle w:val="TableContents"/>
              <w:spacing w:before="0" w:after="283"/>
              <w:rPr/>
            </w:pPr>
            <w:r>
              <w:rPr/>
              <w:t>$</w:t>
            </w:r>
          </w:p>
        </w:tc>
        <w:tc>
          <w:tcPr>
            <w:tcW w:w="1472" w:type="dxa"/>
            <w:tcBorders/>
            <w:shd w:fill="CCEEFF" w:val="clear"/>
            <w:vAlign w:val="center"/>
          </w:tcPr>
          <w:p>
            <w:pPr>
              <w:pStyle w:val="TableContents"/>
              <w:spacing w:before="0" w:after="283"/>
              <w:jc w:val="right"/>
              <w:rPr/>
            </w:pPr>
            <w:r>
              <w:rPr/>
              <w:t>4,175</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303" w:type="dxa"/>
            <w:tcBorders/>
            <w:shd w:fill="CCEEFF" w:val="clear"/>
            <w:vAlign w:val="center"/>
          </w:tcPr>
          <w:p>
            <w:pPr>
              <w:pStyle w:val="TableContents"/>
              <w:spacing w:before="0" w:after="283"/>
              <w:rPr/>
            </w:pPr>
            <w:r>
              <w:rPr/>
              <w:t>$</w:t>
            </w:r>
          </w:p>
        </w:tc>
        <w:tc>
          <w:tcPr>
            <w:tcW w:w="1472" w:type="dxa"/>
            <w:tcBorders/>
            <w:shd w:fill="CCEEFF" w:val="clear"/>
            <w:vAlign w:val="center"/>
          </w:tcPr>
          <w:p>
            <w:pPr>
              <w:pStyle w:val="TableContents"/>
              <w:spacing w:before="0" w:after="283"/>
              <w:jc w:val="right"/>
              <w:rPr/>
            </w:pPr>
            <w:r>
              <w:rPr/>
              <w:t>7,950</w:t>
            </w:r>
          </w:p>
        </w:tc>
        <w:tc>
          <w:tcPr>
            <w:tcW w:w="75" w:type="dxa"/>
            <w:tcBorders/>
            <w:shd w:fill="CCEEFF" w:val="clear"/>
            <w:vAlign w:val="center"/>
          </w:tcPr>
          <w:p>
            <w:pPr>
              <w:pStyle w:val="TableContents"/>
              <w:spacing w:before="0" w:after="283"/>
              <w:rPr/>
            </w:pPr>
            <w:r>
              <w:rPr/>
              <w:t> </w:t>
            </w:r>
          </w:p>
        </w:tc>
      </w:tr>
      <w:tr>
        <w:trPr/>
        <w:tc>
          <w:tcPr>
            <w:tcW w:w="353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Operating store—amusement</w:t>
            </w:r>
          </w:p>
        </w:tc>
        <w:tc>
          <w:tcPr>
            <w:tcW w:w="120" w:type="dxa"/>
            <w:tcBorders/>
            <w:shd w:fill="auto" w:val="clear"/>
            <w:vAlign w:val="center"/>
          </w:tcPr>
          <w:p>
            <w:pPr>
              <w:pStyle w:val="TableContents"/>
              <w:spacing w:before="0" w:after="283"/>
              <w:rPr/>
            </w:pPr>
            <w:r>
              <w:rPr/>
              <w:t>  </w:t>
            </w:r>
          </w:p>
        </w:tc>
        <w:tc>
          <w:tcPr>
            <w:tcW w:w="303" w:type="dxa"/>
            <w:tcBorders/>
            <w:shd w:fill="auto" w:val="clear"/>
            <w:vAlign w:val="center"/>
          </w:tcPr>
          <w:p>
            <w:pPr>
              <w:pStyle w:val="TableContents"/>
              <w:spacing w:before="0" w:after="283"/>
              <w:rPr/>
            </w:pPr>
            <w:r>
              <w:rPr/>
              <w:t> </w:t>
            </w:r>
          </w:p>
        </w:tc>
        <w:tc>
          <w:tcPr>
            <w:tcW w:w="1472" w:type="dxa"/>
            <w:tcBorders/>
            <w:shd w:fill="auto" w:val="clear"/>
            <w:vAlign w:val="center"/>
          </w:tcPr>
          <w:p>
            <w:pPr>
              <w:pStyle w:val="TableContents"/>
              <w:spacing w:before="0" w:after="283"/>
              <w:jc w:val="right"/>
              <w:rPr/>
            </w:pPr>
            <w:r>
              <w:rPr/>
              <w:t>8,640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303" w:type="dxa"/>
            <w:tcBorders/>
            <w:shd w:fill="auto" w:val="clear"/>
            <w:vAlign w:val="center"/>
          </w:tcPr>
          <w:p>
            <w:pPr>
              <w:pStyle w:val="TableContents"/>
              <w:spacing w:before="0" w:after="283"/>
              <w:rPr/>
            </w:pPr>
            <w:r>
              <w:rPr/>
              <w:t> </w:t>
            </w:r>
          </w:p>
        </w:tc>
        <w:tc>
          <w:tcPr>
            <w:tcW w:w="1472" w:type="dxa"/>
            <w:tcBorders/>
            <w:shd w:fill="auto" w:val="clear"/>
            <w:vAlign w:val="center"/>
          </w:tcPr>
          <w:p>
            <w:pPr>
              <w:pStyle w:val="TableContents"/>
              <w:spacing w:before="0" w:after="283"/>
              <w:jc w:val="right"/>
              <w:rPr/>
            </w:pPr>
            <w:r>
              <w:rPr/>
              <w:t>9,585</w:t>
            </w:r>
          </w:p>
        </w:tc>
        <w:tc>
          <w:tcPr>
            <w:tcW w:w="75" w:type="dxa"/>
            <w:tcBorders/>
            <w:shd w:fill="auto" w:val="clear"/>
            <w:vAlign w:val="center"/>
          </w:tcPr>
          <w:p>
            <w:pPr>
              <w:pStyle w:val="TableContents"/>
              <w:spacing w:before="0" w:after="283"/>
              <w:rPr/>
            </w:pPr>
            <w:r>
              <w:rPr/>
              <w:t> </w:t>
            </w:r>
          </w:p>
        </w:tc>
      </w:tr>
      <w:tr>
        <w:trPr/>
        <w:tc>
          <w:tcPr>
            <w:tcW w:w="353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Corporate—amusement, supplies and other</w:t>
            </w:r>
          </w:p>
        </w:tc>
        <w:tc>
          <w:tcPr>
            <w:tcW w:w="120" w:type="dxa"/>
            <w:tcBorders/>
            <w:shd w:fill="CCEEFF" w:val="clear"/>
            <w:vAlign w:val="center"/>
          </w:tcPr>
          <w:p>
            <w:pPr>
              <w:pStyle w:val="TableContents"/>
              <w:spacing w:before="0" w:after="283"/>
              <w:rPr/>
            </w:pPr>
            <w:r>
              <w:rPr/>
              <w:t>  </w:t>
            </w:r>
          </w:p>
        </w:tc>
        <w:tc>
          <w:tcPr>
            <w:tcW w:w="303" w:type="dxa"/>
            <w:tcBorders/>
            <w:shd w:fill="CCEEFF" w:val="clear"/>
            <w:vAlign w:val="center"/>
          </w:tcPr>
          <w:p>
            <w:pPr>
              <w:pStyle w:val="TableContents"/>
              <w:spacing w:before="0" w:after="283"/>
              <w:rPr/>
            </w:pPr>
            <w:r>
              <w:rPr/>
              <w:t> </w:t>
            </w:r>
          </w:p>
        </w:tc>
        <w:tc>
          <w:tcPr>
            <w:tcW w:w="1472" w:type="dxa"/>
            <w:tcBorders/>
            <w:shd w:fill="CCEEFF" w:val="clear"/>
            <w:vAlign w:val="center"/>
          </w:tcPr>
          <w:p>
            <w:pPr>
              <w:pStyle w:val="TableContents"/>
              <w:spacing w:before="0" w:after="283"/>
              <w:jc w:val="right"/>
              <w:rPr/>
            </w:pPr>
            <w:r>
              <w:rPr/>
              <w:t>10,992</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303" w:type="dxa"/>
            <w:tcBorders/>
            <w:shd w:fill="CCEEFF" w:val="clear"/>
            <w:vAlign w:val="center"/>
          </w:tcPr>
          <w:p>
            <w:pPr>
              <w:pStyle w:val="TableContents"/>
              <w:spacing w:before="0" w:after="283"/>
              <w:rPr/>
            </w:pPr>
            <w:r>
              <w:rPr/>
              <w:t> </w:t>
            </w:r>
          </w:p>
        </w:tc>
        <w:tc>
          <w:tcPr>
            <w:tcW w:w="1472" w:type="dxa"/>
            <w:tcBorders/>
            <w:shd w:fill="CCEEFF" w:val="clear"/>
            <w:vAlign w:val="center"/>
          </w:tcPr>
          <w:p>
            <w:pPr>
              <w:pStyle w:val="TableContents"/>
              <w:spacing w:before="0" w:after="283"/>
              <w:jc w:val="right"/>
              <w:rPr/>
            </w:pPr>
            <w:r>
              <w:rPr/>
              <w:t>16,942</w:t>
            </w:r>
          </w:p>
        </w:tc>
        <w:tc>
          <w:tcPr>
            <w:tcW w:w="75" w:type="dxa"/>
            <w:tcBorders/>
            <w:shd w:fill="CCEEFF" w:val="clear"/>
            <w:vAlign w:val="center"/>
          </w:tcPr>
          <w:p>
            <w:pPr>
              <w:pStyle w:val="TableContents"/>
              <w:spacing w:before="0" w:after="283"/>
              <w:rPr/>
            </w:pPr>
            <w:r>
              <w:rPr/>
              <w:t> </w:t>
            </w:r>
          </w:p>
        </w:tc>
      </w:tr>
      <w:tr>
        <w:trPr/>
        <w:tc>
          <w:tcPr>
            <w:tcW w:w="353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303" w:type="dxa"/>
            <w:tcBorders/>
            <w:shd w:fill="auto" w:val="clear"/>
            <w:vAlign w:val="center"/>
          </w:tcPr>
          <w:p>
            <w:pPr>
              <w:pStyle w:val="TableContents"/>
              <w:spacing w:before="0" w:after="0"/>
              <w:rPr>
                <w:bdr w:val="single" w:sz="2" w:space="1" w:color="000000"/>
              </w:rPr>
            </w:pPr>
            <w:r>
              <w:rPr>
                <w:bdr w:val="single" w:sz="2" w:space="1" w:color="000000"/>
              </w:rPr>
              <w:t> </w:t>
            </w:r>
          </w:p>
        </w:tc>
        <w:tc>
          <w:tcPr>
            <w:tcW w:w="1472" w:type="dxa"/>
            <w:tcBorders/>
            <w:shd w:fill="auto" w:val="clear"/>
            <w:vAlign w:val="center"/>
          </w:tcPr>
          <w:p>
            <w:pPr>
              <w:pStyle w:val="TableContents"/>
              <w:spacing w:before="0" w:after="0"/>
              <w:rPr>
                <w:bdr w:val="single" w:sz="2" w:space="1" w:color="000000"/>
              </w:rPr>
            </w:pPr>
            <w:r>
              <w:rPr>
                <w:bdr w:val="single" w:sz="2"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303" w:type="dxa"/>
            <w:tcBorders/>
            <w:shd w:fill="auto" w:val="clear"/>
            <w:vAlign w:val="center"/>
          </w:tcPr>
          <w:p>
            <w:pPr>
              <w:pStyle w:val="TableContents"/>
              <w:spacing w:before="0" w:after="0"/>
              <w:rPr>
                <w:bdr w:val="single" w:sz="2" w:space="1" w:color="000000"/>
              </w:rPr>
            </w:pPr>
            <w:r>
              <w:rPr>
                <w:bdr w:val="single" w:sz="2" w:space="1" w:color="000000"/>
              </w:rPr>
              <w:t> </w:t>
            </w:r>
          </w:p>
        </w:tc>
        <w:tc>
          <w:tcPr>
            <w:tcW w:w="1472" w:type="dxa"/>
            <w:tcBorders/>
            <w:shd w:fill="auto" w:val="clear"/>
            <w:vAlign w:val="center"/>
          </w:tcPr>
          <w:p>
            <w:pPr>
              <w:pStyle w:val="TableContents"/>
              <w:spacing w:before="0" w:after="0"/>
              <w:rPr>
                <w:bdr w:val="single" w:sz="2" w:space="1" w:color="000000"/>
              </w:rPr>
            </w:pPr>
            <w:r>
              <w:rPr>
                <w:bdr w:val="single" w:sz="2" w:space="1" w:color="000000"/>
              </w:rPr>
              <w:t> </w:t>
            </w:r>
          </w:p>
        </w:tc>
        <w:tc>
          <w:tcPr>
            <w:tcW w:w="75" w:type="dxa"/>
            <w:tcBorders/>
            <w:shd w:fill="auto" w:val="clear"/>
            <w:vAlign w:val="center"/>
          </w:tcPr>
          <w:p>
            <w:pPr>
              <w:pStyle w:val="TableContents"/>
              <w:spacing w:before="0" w:after="283"/>
              <w:rPr/>
            </w:pPr>
            <w:r>
              <w:rPr/>
              <w:t> </w:t>
            </w:r>
          </w:p>
        </w:tc>
      </w:tr>
      <w:tr>
        <w:trPr/>
        <w:tc>
          <w:tcPr>
            <w:tcW w:w="353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303" w:type="dxa"/>
            <w:tcBorders/>
            <w:shd w:fill="auto" w:val="clear"/>
            <w:vAlign w:val="center"/>
          </w:tcPr>
          <w:p>
            <w:pPr>
              <w:pStyle w:val="TableContents"/>
              <w:spacing w:before="0" w:after="283"/>
              <w:rPr/>
            </w:pPr>
            <w:r>
              <w:rPr/>
              <w:t>$</w:t>
            </w:r>
          </w:p>
        </w:tc>
        <w:tc>
          <w:tcPr>
            <w:tcW w:w="1472" w:type="dxa"/>
            <w:tcBorders/>
            <w:shd w:fill="auto" w:val="clear"/>
            <w:vAlign w:val="center"/>
          </w:tcPr>
          <w:p>
            <w:pPr>
              <w:pStyle w:val="TableContents"/>
              <w:spacing w:before="0" w:after="283"/>
              <w:jc w:val="right"/>
              <w:rPr/>
            </w:pPr>
            <w:r>
              <w:rPr/>
              <w:t>23,807</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303" w:type="dxa"/>
            <w:tcBorders/>
            <w:shd w:fill="auto" w:val="clear"/>
            <w:vAlign w:val="center"/>
          </w:tcPr>
          <w:p>
            <w:pPr>
              <w:pStyle w:val="TableContents"/>
              <w:spacing w:before="0" w:after="283"/>
              <w:rPr/>
            </w:pPr>
            <w:r>
              <w:rPr/>
              <w:t>$</w:t>
            </w:r>
          </w:p>
        </w:tc>
        <w:tc>
          <w:tcPr>
            <w:tcW w:w="1472" w:type="dxa"/>
            <w:tcBorders/>
            <w:shd w:fill="auto" w:val="clear"/>
            <w:vAlign w:val="center"/>
          </w:tcPr>
          <w:p>
            <w:pPr>
              <w:pStyle w:val="TableContents"/>
              <w:spacing w:before="0" w:after="283"/>
              <w:jc w:val="right"/>
              <w:rPr/>
            </w:pPr>
            <w:r>
              <w:rPr/>
              <w:t>34,477</w:t>
            </w:r>
          </w:p>
        </w:tc>
        <w:tc>
          <w:tcPr>
            <w:tcW w:w="75" w:type="dxa"/>
            <w:tcBorders/>
            <w:shd w:fill="auto" w:val="clear"/>
            <w:vAlign w:val="center"/>
          </w:tcPr>
          <w:p>
            <w:pPr>
              <w:pStyle w:val="TableContents"/>
              <w:spacing w:before="0" w:after="283"/>
              <w:rPr/>
            </w:pPr>
            <w:r>
              <w:rPr/>
              <w:t> </w:t>
            </w:r>
          </w:p>
        </w:tc>
      </w:tr>
      <w:tr>
        <w:trPr/>
        <w:tc>
          <w:tcPr>
            <w:tcW w:w="353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303" w:type="dxa"/>
            <w:tcBorders/>
            <w:shd w:fill="auto" w:val="clear"/>
            <w:vAlign w:val="center"/>
          </w:tcPr>
          <w:p>
            <w:pPr>
              <w:pStyle w:val="TableContents"/>
              <w:spacing w:before="0" w:after="0"/>
              <w:rPr>
                <w:bdr w:val="double" w:sz="6" w:space="1" w:color="000000"/>
              </w:rPr>
            </w:pPr>
            <w:r>
              <w:rPr>
                <w:bdr w:val="double" w:sz="6" w:space="1" w:color="000000"/>
              </w:rPr>
              <w:t> </w:t>
            </w:r>
          </w:p>
        </w:tc>
        <w:tc>
          <w:tcPr>
            <w:tcW w:w="1472" w:type="dxa"/>
            <w:tcBorders/>
            <w:shd w:fill="auto" w:val="clear"/>
            <w:vAlign w:val="center"/>
          </w:tcPr>
          <w:p>
            <w:pPr>
              <w:pStyle w:val="TableContents"/>
              <w:spacing w:before="0" w:after="0"/>
              <w:rPr>
                <w:bdr w:val="double" w:sz="6" w:space="1" w:color="000000"/>
              </w:rPr>
            </w:pPr>
            <w:r>
              <w:rPr>
                <w:bdr w:val="double" w:sz="6"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303" w:type="dxa"/>
            <w:tcBorders/>
            <w:shd w:fill="auto" w:val="clear"/>
            <w:vAlign w:val="center"/>
          </w:tcPr>
          <w:p>
            <w:pPr>
              <w:pStyle w:val="TableContents"/>
              <w:spacing w:before="0" w:after="0"/>
              <w:rPr>
                <w:bdr w:val="double" w:sz="6" w:space="1" w:color="000000"/>
              </w:rPr>
            </w:pPr>
            <w:r>
              <w:rPr>
                <w:bdr w:val="double" w:sz="6" w:space="1" w:color="000000"/>
              </w:rPr>
              <w:t> </w:t>
            </w:r>
          </w:p>
        </w:tc>
        <w:tc>
          <w:tcPr>
            <w:tcW w:w="1472" w:type="dxa"/>
            <w:tcBorders/>
            <w:shd w:fill="auto" w:val="clear"/>
            <w:vAlign w:val="center"/>
          </w:tcPr>
          <w:p>
            <w:pPr>
              <w:pStyle w:val="TableContents"/>
              <w:spacing w:before="0" w:after="0"/>
              <w:rPr>
                <w:bdr w:val="double" w:sz="6" w:space="1" w:color="000000"/>
              </w:rPr>
            </w:pPr>
            <w:r>
              <w:rPr>
                <w:bdr w:val="double" w:sz="6" w:space="1" w:color="000000"/>
              </w:rPr>
              <w:t> </w:t>
            </w:r>
          </w:p>
        </w:tc>
        <w:tc>
          <w:tcPr>
            <w:tcW w:w="75" w:type="dxa"/>
            <w:tcBorders/>
            <w:shd w:fill="auto" w:val="clear"/>
            <w:vAlign w:val="center"/>
          </w:tcPr>
          <w:p>
            <w:pPr>
              <w:pStyle w:val="TableContents"/>
              <w:spacing w:before="0" w:after="283"/>
              <w:rPr/>
            </w:pPr>
            <w:r>
              <w:rPr/>
              <w:t> </w:t>
            </w:r>
          </w:p>
        </w:tc>
      </w:tr>
    </w:tbl>
    <w:p>
      <w:pPr>
        <w:pStyle w:val="TextBody"/>
        <w:spacing w:before="240" w:after="0"/>
        <w:jc w:val="left"/>
        <w:rPr>
          <w:rFonts w:ascii="Times New Roman" w:hAnsi="Times New Roman"/>
          <w:spacing w:val="0"/>
          <w:sz w:val="20"/>
        </w:rPr>
      </w:pPr>
      <w:r>
        <w:rPr>
          <w:rFonts w:ascii="Times New Roman" w:hAnsi="Times New Roman"/>
          <w:spacing w:val="0"/>
          <w:sz w:val="20"/>
        </w:rPr>
        <w:t xml:space="preserve">Amusement inventory includes electronics, plush toys and small novelty and other items used as redemption prizes for certain midway games, as well as supplies needed for midway operations. </w:t>
      </w:r>
    </w:p>
    <w:p>
      <w:pPr>
        <w:pStyle w:val="TextBody"/>
        <w:spacing w:before="360" w:after="0"/>
        <w:jc w:val="left"/>
        <w:rPr>
          <w:rFonts w:ascii="Times New Roman" w:hAnsi="Times New Roman"/>
          <w:b/>
          <w:spacing w:val="0"/>
          <w:sz w:val="20"/>
        </w:rPr>
      </w:pPr>
      <w:r>
        <w:rPr>
          <w:rFonts w:ascii="Times New Roman" w:hAnsi="Times New Roman"/>
          <w:b/>
          <w:spacing w:val="0"/>
          <w:sz w:val="20"/>
        </w:rPr>
        <w:t xml:space="preserve">Note 3: Property and Equipment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Property and equipment consist of the following: </w:t>
      </w:r>
    </w:p>
    <w:p>
      <w:pPr>
        <w:pStyle w:val="TextBody"/>
        <w:spacing w:before="0" w:after="0"/>
        <w:jc w:val="left"/>
        <w:rPr>
          <w:spacing w:val="0"/>
        </w:rPr>
      </w:pPr>
      <w:r>
        <w:rPr>
          <w:spacing w:val="0"/>
        </w:rPr>
        <w:t> </w:t>
      </w:r>
    </w:p>
    <w:tbl>
      <w:tblPr>
        <w:tblW w:w="7255" w:type="dxa"/>
        <w:jc w:val="left"/>
        <w:tblInd w:w="0" w:type="dxa"/>
        <w:tblCellMar>
          <w:top w:w="0" w:type="dxa"/>
          <w:left w:w="0" w:type="dxa"/>
          <w:bottom w:w="0" w:type="dxa"/>
          <w:right w:w="0" w:type="dxa"/>
        </w:tblCellMar>
      </w:tblPr>
      <w:tblGrid>
        <w:gridCol w:w="3140"/>
        <w:gridCol w:w="120"/>
        <w:gridCol w:w="221"/>
        <w:gridCol w:w="1554"/>
        <w:gridCol w:w="155"/>
        <w:gridCol w:w="120"/>
        <w:gridCol w:w="221"/>
        <w:gridCol w:w="1554"/>
        <w:gridCol w:w="170"/>
      </w:tblGrid>
      <w:tr>
        <w:trPr/>
        <w:tc>
          <w:tcPr>
            <w:tcW w:w="314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1554"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1554"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r>
      <w:tr>
        <w:trPr/>
        <w:tc>
          <w:tcPr>
            <w:tcW w:w="314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775" w:type="dxa"/>
            <w:gridSpan w:val="2"/>
            <w:tcBorders/>
            <w:shd w:fill="auto" w:val="clear"/>
            <w:vAlign w:val="center"/>
          </w:tcPr>
          <w:p>
            <w:pPr>
              <w:pStyle w:val="TableContents"/>
              <w:spacing w:before="0" w:after="0"/>
              <w:jc w:val="center"/>
              <w:rPr>
                <w:b/>
                <w:spacing w:val="0"/>
              </w:rPr>
            </w:pPr>
            <w:r>
              <w:rPr>
                <w:b/>
                <w:spacing w:val="0"/>
              </w:rPr>
              <w:t>January 31, 2021</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775" w:type="dxa"/>
            <w:gridSpan w:val="2"/>
            <w:tcBorders/>
            <w:shd w:fill="auto" w:val="clear"/>
            <w:vAlign w:val="center"/>
          </w:tcPr>
          <w:p>
            <w:pPr>
              <w:pStyle w:val="TableContents"/>
              <w:spacing w:before="0" w:after="0"/>
              <w:jc w:val="center"/>
              <w:rPr>
                <w:b/>
                <w:spacing w:val="0"/>
              </w:rPr>
            </w:pPr>
            <w:r>
              <w:rPr>
                <w:b/>
                <w:spacing w:val="0"/>
              </w:rPr>
              <w:t>February 2, 2020</w:t>
            </w:r>
          </w:p>
        </w:tc>
        <w:tc>
          <w:tcPr>
            <w:tcW w:w="170" w:type="dxa"/>
            <w:tcBorders/>
            <w:shd w:fill="auto" w:val="clear"/>
            <w:vAlign w:val="center"/>
          </w:tcPr>
          <w:p>
            <w:pPr>
              <w:pStyle w:val="TableContents"/>
              <w:spacing w:before="0" w:after="283"/>
              <w:rPr/>
            </w:pPr>
            <w:r>
              <w:rPr/>
              <w:t> </w:t>
            </w:r>
          </w:p>
        </w:tc>
      </w:tr>
      <w:tr>
        <w:trPr/>
        <w:tc>
          <w:tcPr>
            <w:tcW w:w="314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Land</w:t>
            </w:r>
          </w:p>
        </w:tc>
        <w:tc>
          <w:tcPr>
            <w:tcW w:w="120" w:type="dxa"/>
            <w:tcBorders/>
            <w:shd w:fill="CCEEFF" w:val="clear"/>
            <w:vAlign w:val="center"/>
          </w:tcPr>
          <w:p>
            <w:pPr>
              <w:pStyle w:val="TableContents"/>
              <w:spacing w:before="0" w:after="283"/>
              <w:rPr/>
            </w:pPr>
            <w:r>
              <w:rPr/>
              <w:t>  </w:t>
            </w:r>
          </w:p>
        </w:tc>
        <w:tc>
          <w:tcPr>
            <w:tcW w:w="221" w:type="dxa"/>
            <w:tcBorders/>
            <w:shd w:fill="CCEEFF" w:val="clear"/>
            <w:vAlign w:val="center"/>
          </w:tcPr>
          <w:p>
            <w:pPr>
              <w:pStyle w:val="TableContents"/>
              <w:spacing w:before="0" w:after="283"/>
              <w:rPr/>
            </w:pPr>
            <w:r>
              <w:rPr/>
              <w:t>$</w:t>
            </w:r>
          </w:p>
        </w:tc>
        <w:tc>
          <w:tcPr>
            <w:tcW w:w="1554" w:type="dxa"/>
            <w:tcBorders/>
            <w:shd w:fill="CCEEFF" w:val="clear"/>
            <w:vAlign w:val="center"/>
          </w:tcPr>
          <w:p>
            <w:pPr>
              <w:pStyle w:val="TableContents"/>
              <w:spacing w:before="0" w:after="283"/>
              <w:jc w:val="right"/>
              <w:rPr/>
            </w:pPr>
            <w:r>
              <w:rPr/>
              <w:t>12,302</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221" w:type="dxa"/>
            <w:tcBorders/>
            <w:shd w:fill="CCEEFF" w:val="clear"/>
            <w:vAlign w:val="center"/>
          </w:tcPr>
          <w:p>
            <w:pPr>
              <w:pStyle w:val="TableContents"/>
              <w:spacing w:before="0" w:after="283"/>
              <w:rPr/>
            </w:pPr>
            <w:r>
              <w:rPr/>
              <w:t>$</w:t>
            </w:r>
          </w:p>
        </w:tc>
        <w:tc>
          <w:tcPr>
            <w:tcW w:w="1554" w:type="dxa"/>
            <w:tcBorders/>
            <w:shd w:fill="CCEEFF" w:val="clear"/>
            <w:vAlign w:val="center"/>
          </w:tcPr>
          <w:p>
            <w:pPr>
              <w:pStyle w:val="TableContents"/>
              <w:spacing w:before="0" w:after="283"/>
              <w:jc w:val="right"/>
              <w:rPr/>
            </w:pPr>
            <w:r>
              <w:rPr/>
              <w:t>9,021</w:t>
            </w:r>
          </w:p>
        </w:tc>
        <w:tc>
          <w:tcPr>
            <w:tcW w:w="170" w:type="dxa"/>
            <w:tcBorders/>
            <w:shd w:fill="CCEEFF" w:val="clear"/>
            <w:vAlign w:val="center"/>
          </w:tcPr>
          <w:p>
            <w:pPr>
              <w:pStyle w:val="TableContents"/>
              <w:spacing w:before="0" w:after="283"/>
              <w:rPr/>
            </w:pPr>
            <w:r>
              <w:rPr/>
              <w:t> </w:t>
            </w:r>
          </w:p>
        </w:tc>
      </w:tr>
      <w:tr>
        <w:trPr/>
        <w:tc>
          <w:tcPr>
            <w:tcW w:w="314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Buildings and building improvements</w:t>
            </w:r>
          </w:p>
        </w:tc>
        <w:tc>
          <w:tcPr>
            <w:tcW w:w="120" w:type="dxa"/>
            <w:tcBorders/>
            <w:shd w:fill="auto" w:val="clear"/>
            <w:vAlign w:val="center"/>
          </w:tcPr>
          <w:p>
            <w:pPr>
              <w:pStyle w:val="TableContents"/>
              <w:spacing w:before="0" w:after="283"/>
              <w:rPr/>
            </w:pPr>
            <w:r>
              <w:rPr/>
              <w:t>  </w:t>
            </w:r>
          </w:p>
        </w:tc>
        <w:tc>
          <w:tcPr>
            <w:tcW w:w="221" w:type="dxa"/>
            <w:tcBorders/>
            <w:shd w:fill="auto" w:val="clear"/>
            <w:vAlign w:val="center"/>
          </w:tcPr>
          <w:p>
            <w:pPr>
              <w:pStyle w:val="TableContents"/>
              <w:spacing w:before="0" w:after="283"/>
              <w:rPr/>
            </w:pPr>
            <w:r>
              <w:rPr/>
              <w:t> </w:t>
            </w:r>
          </w:p>
        </w:tc>
        <w:tc>
          <w:tcPr>
            <w:tcW w:w="1554" w:type="dxa"/>
            <w:tcBorders/>
            <w:shd w:fill="auto" w:val="clear"/>
            <w:vAlign w:val="center"/>
          </w:tcPr>
          <w:p>
            <w:pPr>
              <w:pStyle w:val="TableContents"/>
              <w:spacing w:before="0" w:after="283"/>
              <w:jc w:val="right"/>
              <w:rPr/>
            </w:pPr>
            <w:r>
              <w:rPr/>
              <w:t>37,417</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21" w:type="dxa"/>
            <w:tcBorders/>
            <w:shd w:fill="auto" w:val="clear"/>
            <w:vAlign w:val="center"/>
          </w:tcPr>
          <w:p>
            <w:pPr>
              <w:pStyle w:val="TableContents"/>
              <w:spacing w:before="0" w:after="283"/>
              <w:rPr/>
            </w:pPr>
            <w:r>
              <w:rPr/>
              <w:t> </w:t>
            </w:r>
          </w:p>
        </w:tc>
        <w:tc>
          <w:tcPr>
            <w:tcW w:w="1554" w:type="dxa"/>
            <w:tcBorders/>
            <w:shd w:fill="auto" w:val="clear"/>
            <w:vAlign w:val="center"/>
          </w:tcPr>
          <w:p>
            <w:pPr>
              <w:pStyle w:val="TableContents"/>
              <w:spacing w:before="0" w:after="283"/>
              <w:jc w:val="right"/>
              <w:rPr/>
            </w:pPr>
            <w:r>
              <w:rPr/>
              <w:t>23,484</w:t>
            </w:r>
          </w:p>
        </w:tc>
        <w:tc>
          <w:tcPr>
            <w:tcW w:w="170" w:type="dxa"/>
            <w:tcBorders/>
            <w:shd w:fill="auto" w:val="clear"/>
            <w:vAlign w:val="center"/>
          </w:tcPr>
          <w:p>
            <w:pPr>
              <w:pStyle w:val="TableContents"/>
              <w:spacing w:before="0" w:after="283"/>
              <w:rPr/>
            </w:pPr>
            <w:r>
              <w:rPr/>
              <w:t> </w:t>
            </w:r>
          </w:p>
        </w:tc>
      </w:tr>
      <w:tr>
        <w:trPr/>
        <w:tc>
          <w:tcPr>
            <w:tcW w:w="314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Leasehold improvements</w:t>
            </w:r>
          </w:p>
        </w:tc>
        <w:tc>
          <w:tcPr>
            <w:tcW w:w="120" w:type="dxa"/>
            <w:tcBorders/>
            <w:shd w:fill="CCEEFF" w:val="clear"/>
            <w:vAlign w:val="center"/>
          </w:tcPr>
          <w:p>
            <w:pPr>
              <w:pStyle w:val="TableContents"/>
              <w:spacing w:before="0" w:after="283"/>
              <w:rPr/>
            </w:pPr>
            <w:r>
              <w:rPr/>
              <w:t>  </w:t>
            </w:r>
          </w:p>
        </w:tc>
        <w:tc>
          <w:tcPr>
            <w:tcW w:w="221" w:type="dxa"/>
            <w:tcBorders/>
            <w:shd w:fill="CCEEFF" w:val="clear"/>
            <w:vAlign w:val="center"/>
          </w:tcPr>
          <w:p>
            <w:pPr>
              <w:pStyle w:val="TableContents"/>
              <w:spacing w:before="0" w:after="283"/>
              <w:rPr/>
            </w:pPr>
            <w:r>
              <w:rPr/>
              <w:t> </w:t>
            </w:r>
          </w:p>
        </w:tc>
        <w:tc>
          <w:tcPr>
            <w:tcW w:w="1554" w:type="dxa"/>
            <w:tcBorders/>
            <w:shd w:fill="CCEEFF" w:val="clear"/>
            <w:vAlign w:val="center"/>
          </w:tcPr>
          <w:p>
            <w:pPr>
              <w:pStyle w:val="TableContents"/>
              <w:spacing w:before="0" w:after="283"/>
              <w:jc w:val="right"/>
              <w:rPr/>
            </w:pPr>
            <w:r>
              <w:rPr/>
              <w:t>805,229</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221" w:type="dxa"/>
            <w:tcBorders/>
            <w:shd w:fill="CCEEFF" w:val="clear"/>
            <w:vAlign w:val="center"/>
          </w:tcPr>
          <w:p>
            <w:pPr>
              <w:pStyle w:val="TableContents"/>
              <w:spacing w:before="0" w:after="283"/>
              <w:rPr/>
            </w:pPr>
            <w:r>
              <w:rPr/>
              <w:t> </w:t>
            </w:r>
          </w:p>
        </w:tc>
        <w:tc>
          <w:tcPr>
            <w:tcW w:w="1554" w:type="dxa"/>
            <w:tcBorders/>
            <w:shd w:fill="CCEEFF" w:val="clear"/>
            <w:vAlign w:val="center"/>
          </w:tcPr>
          <w:p>
            <w:pPr>
              <w:pStyle w:val="TableContents"/>
              <w:spacing w:before="0" w:after="283"/>
              <w:jc w:val="right"/>
              <w:rPr/>
            </w:pPr>
            <w:r>
              <w:rPr/>
              <w:t>793,698</w:t>
            </w:r>
          </w:p>
        </w:tc>
        <w:tc>
          <w:tcPr>
            <w:tcW w:w="170" w:type="dxa"/>
            <w:tcBorders/>
            <w:shd w:fill="CCEEFF" w:val="clear"/>
            <w:vAlign w:val="center"/>
          </w:tcPr>
          <w:p>
            <w:pPr>
              <w:pStyle w:val="TableContents"/>
              <w:spacing w:before="0" w:after="283"/>
              <w:rPr/>
            </w:pPr>
            <w:r>
              <w:rPr/>
              <w:t> </w:t>
            </w:r>
          </w:p>
        </w:tc>
      </w:tr>
      <w:tr>
        <w:trPr/>
        <w:tc>
          <w:tcPr>
            <w:tcW w:w="314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Furniture, fixtures and equipment</w:t>
            </w:r>
          </w:p>
        </w:tc>
        <w:tc>
          <w:tcPr>
            <w:tcW w:w="120" w:type="dxa"/>
            <w:tcBorders/>
            <w:shd w:fill="auto" w:val="clear"/>
            <w:vAlign w:val="center"/>
          </w:tcPr>
          <w:p>
            <w:pPr>
              <w:pStyle w:val="TableContents"/>
              <w:spacing w:before="0" w:after="283"/>
              <w:rPr/>
            </w:pPr>
            <w:r>
              <w:rPr/>
              <w:t>  </w:t>
            </w:r>
          </w:p>
        </w:tc>
        <w:tc>
          <w:tcPr>
            <w:tcW w:w="221" w:type="dxa"/>
            <w:tcBorders/>
            <w:shd w:fill="auto" w:val="clear"/>
            <w:vAlign w:val="center"/>
          </w:tcPr>
          <w:p>
            <w:pPr>
              <w:pStyle w:val="TableContents"/>
              <w:spacing w:before="0" w:after="283"/>
              <w:rPr/>
            </w:pPr>
            <w:r>
              <w:rPr/>
              <w:t> </w:t>
            </w:r>
          </w:p>
        </w:tc>
        <w:tc>
          <w:tcPr>
            <w:tcW w:w="1554" w:type="dxa"/>
            <w:tcBorders/>
            <w:shd w:fill="auto" w:val="clear"/>
            <w:vAlign w:val="center"/>
          </w:tcPr>
          <w:p>
            <w:pPr>
              <w:pStyle w:val="TableContents"/>
              <w:spacing w:before="0" w:after="283"/>
              <w:jc w:val="right"/>
              <w:rPr/>
            </w:pPr>
            <w:r>
              <w:rPr/>
              <w:t>430,331</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21" w:type="dxa"/>
            <w:tcBorders/>
            <w:shd w:fill="auto" w:val="clear"/>
            <w:vAlign w:val="center"/>
          </w:tcPr>
          <w:p>
            <w:pPr>
              <w:pStyle w:val="TableContents"/>
              <w:spacing w:before="0" w:after="283"/>
              <w:rPr/>
            </w:pPr>
            <w:r>
              <w:rPr/>
              <w:t> </w:t>
            </w:r>
          </w:p>
        </w:tc>
        <w:tc>
          <w:tcPr>
            <w:tcW w:w="1554" w:type="dxa"/>
            <w:tcBorders/>
            <w:shd w:fill="auto" w:val="clear"/>
            <w:vAlign w:val="center"/>
          </w:tcPr>
          <w:p>
            <w:pPr>
              <w:pStyle w:val="TableContents"/>
              <w:spacing w:before="0" w:after="283"/>
              <w:jc w:val="right"/>
              <w:rPr/>
            </w:pPr>
            <w:r>
              <w:rPr/>
              <w:t>412,716</w:t>
            </w:r>
          </w:p>
        </w:tc>
        <w:tc>
          <w:tcPr>
            <w:tcW w:w="170" w:type="dxa"/>
            <w:tcBorders/>
            <w:shd w:fill="auto" w:val="clear"/>
            <w:vAlign w:val="center"/>
          </w:tcPr>
          <w:p>
            <w:pPr>
              <w:pStyle w:val="TableContents"/>
              <w:spacing w:before="0" w:after="283"/>
              <w:rPr/>
            </w:pPr>
            <w:r>
              <w:rPr/>
              <w:t> </w:t>
            </w:r>
          </w:p>
        </w:tc>
      </w:tr>
      <w:tr>
        <w:trPr/>
        <w:tc>
          <w:tcPr>
            <w:tcW w:w="314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Games</w:t>
            </w:r>
          </w:p>
        </w:tc>
        <w:tc>
          <w:tcPr>
            <w:tcW w:w="120" w:type="dxa"/>
            <w:tcBorders/>
            <w:shd w:fill="CCEEFF" w:val="clear"/>
            <w:vAlign w:val="center"/>
          </w:tcPr>
          <w:p>
            <w:pPr>
              <w:pStyle w:val="TableContents"/>
              <w:spacing w:before="0" w:after="283"/>
              <w:rPr/>
            </w:pPr>
            <w:r>
              <w:rPr/>
              <w:t>  </w:t>
            </w:r>
          </w:p>
        </w:tc>
        <w:tc>
          <w:tcPr>
            <w:tcW w:w="221" w:type="dxa"/>
            <w:tcBorders/>
            <w:shd w:fill="CCEEFF" w:val="clear"/>
            <w:vAlign w:val="center"/>
          </w:tcPr>
          <w:p>
            <w:pPr>
              <w:pStyle w:val="TableContents"/>
              <w:spacing w:before="0" w:after="283"/>
              <w:rPr/>
            </w:pPr>
            <w:r>
              <w:rPr/>
              <w:t> </w:t>
            </w:r>
          </w:p>
        </w:tc>
        <w:tc>
          <w:tcPr>
            <w:tcW w:w="1554" w:type="dxa"/>
            <w:tcBorders/>
            <w:shd w:fill="CCEEFF" w:val="clear"/>
            <w:vAlign w:val="center"/>
          </w:tcPr>
          <w:p>
            <w:pPr>
              <w:pStyle w:val="TableContents"/>
              <w:spacing w:before="0" w:after="283"/>
              <w:jc w:val="right"/>
              <w:rPr/>
            </w:pPr>
            <w:r>
              <w:rPr/>
              <w:t>295,170</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221" w:type="dxa"/>
            <w:tcBorders/>
            <w:shd w:fill="CCEEFF" w:val="clear"/>
            <w:vAlign w:val="center"/>
          </w:tcPr>
          <w:p>
            <w:pPr>
              <w:pStyle w:val="TableContents"/>
              <w:spacing w:before="0" w:after="283"/>
              <w:rPr/>
            </w:pPr>
            <w:r>
              <w:rPr/>
              <w:t> </w:t>
            </w:r>
          </w:p>
        </w:tc>
        <w:tc>
          <w:tcPr>
            <w:tcW w:w="1554" w:type="dxa"/>
            <w:tcBorders/>
            <w:shd w:fill="CCEEFF" w:val="clear"/>
            <w:vAlign w:val="center"/>
          </w:tcPr>
          <w:p>
            <w:pPr>
              <w:pStyle w:val="TableContents"/>
              <w:spacing w:before="0" w:after="283"/>
              <w:jc w:val="right"/>
              <w:rPr/>
            </w:pPr>
            <w:r>
              <w:rPr/>
              <w:t>286,195</w:t>
            </w:r>
          </w:p>
        </w:tc>
        <w:tc>
          <w:tcPr>
            <w:tcW w:w="170" w:type="dxa"/>
            <w:tcBorders/>
            <w:shd w:fill="CCEEFF" w:val="clear"/>
            <w:vAlign w:val="center"/>
          </w:tcPr>
          <w:p>
            <w:pPr>
              <w:pStyle w:val="TableContents"/>
              <w:spacing w:before="0" w:after="283"/>
              <w:rPr/>
            </w:pPr>
            <w:r>
              <w:rPr/>
              <w:t> </w:t>
            </w:r>
          </w:p>
        </w:tc>
      </w:tr>
      <w:tr>
        <w:trPr/>
        <w:tc>
          <w:tcPr>
            <w:tcW w:w="314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Construction in progress</w:t>
            </w:r>
          </w:p>
        </w:tc>
        <w:tc>
          <w:tcPr>
            <w:tcW w:w="120" w:type="dxa"/>
            <w:tcBorders/>
            <w:shd w:fill="auto" w:val="clear"/>
            <w:vAlign w:val="center"/>
          </w:tcPr>
          <w:p>
            <w:pPr>
              <w:pStyle w:val="TableContents"/>
              <w:spacing w:before="0" w:after="283"/>
              <w:rPr/>
            </w:pPr>
            <w:r>
              <w:rPr/>
              <w:t>  </w:t>
            </w:r>
          </w:p>
        </w:tc>
        <w:tc>
          <w:tcPr>
            <w:tcW w:w="221" w:type="dxa"/>
            <w:tcBorders/>
            <w:shd w:fill="auto" w:val="clear"/>
            <w:vAlign w:val="center"/>
          </w:tcPr>
          <w:p>
            <w:pPr>
              <w:pStyle w:val="TableContents"/>
              <w:spacing w:before="0" w:after="283"/>
              <w:rPr/>
            </w:pPr>
            <w:r>
              <w:rPr/>
              <w:t> </w:t>
            </w:r>
          </w:p>
        </w:tc>
        <w:tc>
          <w:tcPr>
            <w:tcW w:w="1554" w:type="dxa"/>
            <w:tcBorders/>
            <w:shd w:fill="auto" w:val="clear"/>
            <w:vAlign w:val="center"/>
          </w:tcPr>
          <w:p>
            <w:pPr>
              <w:pStyle w:val="TableContents"/>
              <w:spacing w:before="0" w:after="283"/>
              <w:jc w:val="right"/>
              <w:rPr/>
            </w:pPr>
            <w:r>
              <w:rPr/>
              <w:t>33,382</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21" w:type="dxa"/>
            <w:tcBorders/>
            <w:shd w:fill="auto" w:val="clear"/>
            <w:vAlign w:val="center"/>
          </w:tcPr>
          <w:p>
            <w:pPr>
              <w:pStyle w:val="TableContents"/>
              <w:spacing w:before="0" w:after="283"/>
              <w:rPr/>
            </w:pPr>
            <w:r>
              <w:rPr/>
              <w:t> </w:t>
            </w:r>
          </w:p>
        </w:tc>
        <w:tc>
          <w:tcPr>
            <w:tcW w:w="1554" w:type="dxa"/>
            <w:tcBorders/>
            <w:shd w:fill="auto" w:val="clear"/>
            <w:vAlign w:val="center"/>
          </w:tcPr>
          <w:p>
            <w:pPr>
              <w:pStyle w:val="TableContents"/>
              <w:spacing w:before="0" w:after="283"/>
              <w:jc w:val="right"/>
              <w:rPr/>
            </w:pPr>
            <w:r>
              <w:rPr/>
              <w:t>62,347</w:t>
            </w:r>
          </w:p>
        </w:tc>
        <w:tc>
          <w:tcPr>
            <w:tcW w:w="170" w:type="dxa"/>
            <w:tcBorders/>
            <w:shd w:fill="auto" w:val="clear"/>
            <w:vAlign w:val="center"/>
          </w:tcPr>
          <w:p>
            <w:pPr>
              <w:pStyle w:val="TableContents"/>
              <w:spacing w:before="0" w:after="283"/>
              <w:rPr/>
            </w:pPr>
            <w:r>
              <w:rPr/>
              <w:t> </w:t>
            </w:r>
          </w:p>
        </w:tc>
      </w:tr>
      <w:tr>
        <w:trPr/>
        <w:tc>
          <w:tcPr>
            <w:tcW w:w="314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21" w:type="dxa"/>
            <w:tcBorders/>
            <w:shd w:fill="auto" w:val="clear"/>
            <w:vAlign w:val="center"/>
          </w:tcPr>
          <w:p>
            <w:pPr>
              <w:pStyle w:val="TableContents"/>
              <w:spacing w:before="0" w:after="0"/>
              <w:rPr>
                <w:bdr w:val="single" w:sz="2" w:space="1" w:color="000000"/>
              </w:rPr>
            </w:pPr>
            <w:r>
              <w:rPr>
                <w:bdr w:val="single" w:sz="2" w:space="1" w:color="000000"/>
              </w:rPr>
              <w:t> </w:t>
            </w:r>
          </w:p>
        </w:tc>
        <w:tc>
          <w:tcPr>
            <w:tcW w:w="1554"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21" w:type="dxa"/>
            <w:tcBorders/>
            <w:shd w:fill="auto" w:val="clear"/>
            <w:vAlign w:val="center"/>
          </w:tcPr>
          <w:p>
            <w:pPr>
              <w:pStyle w:val="TableContents"/>
              <w:spacing w:before="0" w:after="0"/>
              <w:rPr>
                <w:bdr w:val="single" w:sz="2" w:space="1" w:color="000000"/>
              </w:rPr>
            </w:pPr>
            <w:r>
              <w:rPr>
                <w:bdr w:val="single" w:sz="2" w:space="1" w:color="000000"/>
              </w:rPr>
              <w:t> </w:t>
            </w:r>
          </w:p>
        </w:tc>
        <w:tc>
          <w:tcPr>
            <w:tcW w:w="1554" w:type="dxa"/>
            <w:tcBorders/>
            <w:shd w:fill="auto" w:val="clear"/>
            <w:vAlign w:val="center"/>
          </w:tcPr>
          <w:p>
            <w:pPr>
              <w:pStyle w:val="TableContents"/>
              <w:spacing w:before="0" w:after="0"/>
              <w:rPr>
                <w:bdr w:val="single" w:sz="2" w:space="1" w:color="000000"/>
              </w:rPr>
            </w:pPr>
            <w:r>
              <w:rPr>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314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Total cost</w:t>
            </w:r>
          </w:p>
        </w:tc>
        <w:tc>
          <w:tcPr>
            <w:tcW w:w="120" w:type="dxa"/>
            <w:tcBorders/>
            <w:shd w:fill="CCEEFF" w:val="clear"/>
            <w:vAlign w:val="center"/>
          </w:tcPr>
          <w:p>
            <w:pPr>
              <w:pStyle w:val="TableContents"/>
              <w:spacing w:before="0" w:after="283"/>
              <w:rPr/>
            </w:pPr>
            <w:r>
              <w:rPr/>
              <w:t>  </w:t>
            </w:r>
          </w:p>
        </w:tc>
        <w:tc>
          <w:tcPr>
            <w:tcW w:w="221" w:type="dxa"/>
            <w:tcBorders/>
            <w:shd w:fill="CCEEFF" w:val="clear"/>
            <w:vAlign w:val="center"/>
          </w:tcPr>
          <w:p>
            <w:pPr>
              <w:pStyle w:val="TableContents"/>
              <w:spacing w:before="0" w:after="283"/>
              <w:rPr/>
            </w:pPr>
            <w:r>
              <w:rPr/>
              <w:t> </w:t>
            </w:r>
          </w:p>
        </w:tc>
        <w:tc>
          <w:tcPr>
            <w:tcW w:w="1554" w:type="dxa"/>
            <w:tcBorders/>
            <w:shd w:fill="CCEEFF" w:val="clear"/>
            <w:vAlign w:val="center"/>
          </w:tcPr>
          <w:p>
            <w:pPr>
              <w:pStyle w:val="TableContents"/>
              <w:spacing w:before="0" w:after="283"/>
              <w:jc w:val="right"/>
              <w:rPr/>
            </w:pPr>
            <w:r>
              <w:rPr/>
              <w:t>1,613,831</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221" w:type="dxa"/>
            <w:tcBorders/>
            <w:shd w:fill="CCEEFF" w:val="clear"/>
            <w:vAlign w:val="center"/>
          </w:tcPr>
          <w:p>
            <w:pPr>
              <w:pStyle w:val="TableContents"/>
              <w:spacing w:before="0" w:after="283"/>
              <w:rPr/>
            </w:pPr>
            <w:r>
              <w:rPr/>
              <w:t> </w:t>
            </w:r>
          </w:p>
        </w:tc>
        <w:tc>
          <w:tcPr>
            <w:tcW w:w="1554" w:type="dxa"/>
            <w:tcBorders/>
            <w:shd w:fill="CCEEFF" w:val="clear"/>
            <w:vAlign w:val="center"/>
          </w:tcPr>
          <w:p>
            <w:pPr>
              <w:pStyle w:val="TableContents"/>
              <w:spacing w:before="0" w:after="283"/>
              <w:jc w:val="right"/>
              <w:rPr/>
            </w:pPr>
            <w:r>
              <w:rPr/>
              <w:t>1,587,461</w:t>
            </w:r>
          </w:p>
        </w:tc>
        <w:tc>
          <w:tcPr>
            <w:tcW w:w="170" w:type="dxa"/>
            <w:tcBorders/>
            <w:shd w:fill="CCEEFF" w:val="clear"/>
            <w:vAlign w:val="center"/>
          </w:tcPr>
          <w:p>
            <w:pPr>
              <w:pStyle w:val="TableContents"/>
              <w:spacing w:before="0" w:after="283"/>
              <w:rPr/>
            </w:pPr>
            <w:r>
              <w:rPr/>
              <w:t> </w:t>
            </w:r>
          </w:p>
        </w:tc>
      </w:tr>
      <w:tr>
        <w:trPr/>
        <w:tc>
          <w:tcPr>
            <w:tcW w:w="314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Accumulated depreciation</w:t>
            </w:r>
          </w:p>
        </w:tc>
        <w:tc>
          <w:tcPr>
            <w:tcW w:w="120" w:type="dxa"/>
            <w:tcBorders/>
            <w:shd w:fill="auto" w:val="clear"/>
            <w:vAlign w:val="center"/>
          </w:tcPr>
          <w:p>
            <w:pPr>
              <w:pStyle w:val="TableContents"/>
              <w:spacing w:before="0" w:after="283"/>
              <w:rPr/>
            </w:pPr>
            <w:r>
              <w:rPr/>
              <w:t>  </w:t>
            </w:r>
          </w:p>
        </w:tc>
        <w:tc>
          <w:tcPr>
            <w:tcW w:w="221" w:type="dxa"/>
            <w:tcBorders/>
            <w:shd w:fill="auto" w:val="clear"/>
            <w:vAlign w:val="center"/>
          </w:tcPr>
          <w:p>
            <w:pPr>
              <w:pStyle w:val="TableContents"/>
              <w:spacing w:before="0" w:after="283"/>
              <w:rPr/>
            </w:pPr>
            <w:r>
              <w:rPr/>
              <w:t> </w:t>
            </w:r>
          </w:p>
        </w:tc>
        <w:tc>
          <w:tcPr>
            <w:tcW w:w="1554" w:type="dxa"/>
            <w:tcBorders/>
            <w:shd w:fill="auto" w:val="clear"/>
            <w:vAlign w:val="center"/>
          </w:tcPr>
          <w:p>
            <w:pPr>
              <w:pStyle w:val="TableContents"/>
              <w:spacing w:before="0" w:after="283"/>
              <w:jc w:val="right"/>
              <w:rPr/>
            </w:pPr>
            <w:r>
              <w:rPr/>
              <w:t>(798,804</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21" w:type="dxa"/>
            <w:tcBorders/>
            <w:shd w:fill="auto" w:val="clear"/>
            <w:vAlign w:val="center"/>
          </w:tcPr>
          <w:p>
            <w:pPr>
              <w:pStyle w:val="TableContents"/>
              <w:spacing w:before="0" w:after="283"/>
              <w:rPr/>
            </w:pPr>
            <w:r>
              <w:rPr/>
              <w:t> </w:t>
            </w:r>
          </w:p>
        </w:tc>
        <w:tc>
          <w:tcPr>
            <w:tcW w:w="1554" w:type="dxa"/>
            <w:tcBorders/>
            <w:shd w:fill="auto" w:val="clear"/>
            <w:vAlign w:val="center"/>
          </w:tcPr>
          <w:p>
            <w:pPr>
              <w:pStyle w:val="TableContents"/>
              <w:spacing w:before="0" w:after="283"/>
              <w:jc w:val="right"/>
              <w:rPr/>
            </w:pPr>
            <w:r>
              <w:rPr/>
              <w:t>(686,824</w:t>
            </w:r>
          </w:p>
        </w:tc>
        <w:tc>
          <w:tcPr>
            <w:tcW w:w="170" w:type="dxa"/>
            <w:tcBorders/>
            <w:shd w:fill="auto" w:val="clear"/>
            <w:vAlign w:val="center"/>
          </w:tcPr>
          <w:p>
            <w:pPr>
              <w:pStyle w:val="TableContents"/>
              <w:spacing w:before="0" w:after="283"/>
              <w:rPr/>
            </w:pPr>
            <w:r>
              <w:rPr/>
              <w:t>) </w:t>
            </w:r>
          </w:p>
        </w:tc>
      </w:tr>
      <w:tr>
        <w:trPr/>
        <w:tc>
          <w:tcPr>
            <w:tcW w:w="314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21" w:type="dxa"/>
            <w:tcBorders/>
            <w:shd w:fill="auto" w:val="clear"/>
            <w:vAlign w:val="center"/>
          </w:tcPr>
          <w:p>
            <w:pPr>
              <w:pStyle w:val="TableContents"/>
              <w:spacing w:before="0" w:after="0"/>
              <w:rPr>
                <w:bdr w:val="single" w:sz="2" w:space="1" w:color="000000"/>
              </w:rPr>
            </w:pPr>
            <w:r>
              <w:rPr>
                <w:bdr w:val="single" w:sz="2" w:space="1" w:color="000000"/>
              </w:rPr>
              <w:t> </w:t>
            </w:r>
          </w:p>
        </w:tc>
        <w:tc>
          <w:tcPr>
            <w:tcW w:w="1554"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21" w:type="dxa"/>
            <w:tcBorders/>
            <w:shd w:fill="auto" w:val="clear"/>
            <w:vAlign w:val="center"/>
          </w:tcPr>
          <w:p>
            <w:pPr>
              <w:pStyle w:val="TableContents"/>
              <w:spacing w:before="0" w:after="0"/>
              <w:rPr>
                <w:bdr w:val="single" w:sz="2" w:space="1" w:color="000000"/>
              </w:rPr>
            </w:pPr>
            <w:r>
              <w:rPr>
                <w:bdr w:val="single" w:sz="2" w:space="1" w:color="000000"/>
              </w:rPr>
              <w:t> </w:t>
            </w:r>
          </w:p>
        </w:tc>
        <w:tc>
          <w:tcPr>
            <w:tcW w:w="1554" w:type="dxa"/>
            <w:tcBorders/>
            <w:shd w:fill="auto" w:val="clear"/>
            <w:vAlign w:val="center"/>
          </w:tcPr>
          <w:p>
            <w:pPr>
              <w:pStyle w:val="TableContents"/>
              <w:spacing w:before="0" w:after="0"/>
              <w:rPr>
                <w:bdr w:val="single" w:sz="2" w:space="1" w:color="000000"/>
              </w:rPr>
            </w:pPr>
            <w:r>
              <w:rPr>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314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Property and equipment, net</w:t>
            </w:r>
          </w:p>
        </w:tc>
        <w:tc>
          <w:tcPr>
            <w:tcW w:w="120" w:type="dxa"/>
            <w:tcBorders/>
            <w:shd w:fill="CCEEFF" w:val="clear"/>
            <w:vAlign w:val="center"/>
          </w:tcPr>
          <w:p>
            <w:pPr>
              <w:pStyle w:val="TableContents"/>
              <w:spacing w:before="0" w:after="283"/>
              <w:rPr/>
            </w:pPr>
            <w:r>
              <w:rPr/>
              <w:t>  </w:t>
            </w:r>
          </w:p>
        </w:tc>
        <w:tc>
          <w:tcPr>
            <w:tcW w:w="221" w:type="dxa"/>
            <w:tcBorders/>
            <w:shd w:fill="CCEEFF" w:val="clear"/>
            <w:vAlign w:val="center"/>
          </w:tcPr>
          <w:p>
            <w:pPr>
              <w:pStyle w:val="TableContents"/>
              <w:spacing w:before="0" w:after="283"/>
              <w:rPr/>
            </w:pPr>
            <w:r>
              <w:rPr/>
              <w:t>$</w:t>
            </w:r>
          </w:p>
        </w:tc>
        <w:tc>
          <w:tcPr>
            <w:tcW w:w="1554" w:type="dxa"/>
            <w:tcBorders/>
            <w:shd w:fill="CCEEFF" w:val="clear"/>
            <w:vAlign w:val="center"/>
          </w:tcPr>
          <w:p>
            <w:pPr>
              <w:pStyle w:val="TableContents"/>
              <w:spacing w:before="0" w:after="283"/>
              <w:jc w:val="right"/>
              <w:rPr/>
            </w:pPr>
            <w:r>
              <w:rPr/>
              <w:t>815,027</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221" w:type="dxa"/>
            <w:tcBorders/>
            <w:shd w:fill="CCEEFF" w:val="clear"/>
            <w:vAlign w:val="center"/>
          </w:tcPr>
          <w:p>
            <w:pPr>
              <w:pStyle w:val="TableContents"/>
              <w:spacing w:before="0" w:after="283"/>
              <w:rPr/>
            </w:pPr>
            <w:r>
              <w:rPr/>
              <w:t>$</w:t>
            </w:r>
          </w:p>
        </w:tc>
        <w:tc>
          <w:tcPr>
            <w:tcW w:w="1554" w:type="dxa"/>
            <w:tcBorders/>
            <w:shd w:fill="CCEEFF" w:val="clear"/>
            <w:vAlign w:val="center"/>
          </w:tcPr>
          <w:p>
            <w:pPr>
              <w:pStyle w:val="TableContents"/>
              <w:spacing w:before="0" w:after="283"/>
              <w:jc w:val="right"/>
              <w:rPr/>
            </w:pPr>
            <w:r>
              <w:rPr/>
              <w:t>900,637</w:t>
            </w:r>
          </w:p>
        </w:tc>
        <w:tc>
          <w:tcPr>
            <w:tcW w:w="170" w:type="dxa"/>
            <w:tcBorders/>
            <w:shd w:fill="CCEEFF" w:val="clear"/>
            <w:vAlign w:val="center"/>
          </w:tcPr>
          <w:p>
            <w:pPr>
              <w:pStyle w:val="TableContents"/>
              <w:spacing w:before="0" w:after="283"/>
              <w:rPr/>
            </w:pPr>
            <w:r>
              <w:rPr/>
              <w:t> </w:t>
            </w:r>
          </w:p>
        </w:tc>
      </w:tr>
      <w:tr>
        <w:trPr/>
        <w:tc>
          <w:tcPr>
            <w:tcW w:w="314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21" w:type="dxa"/>
            <w:tcBorders/>
            <w:shd w:fill="auto" w:val="clear"/>
            <w:vAlign w:val="center"/>
          </w:tcPr>
          <w:p>
            <w:pPr>
              <w:pStyle w:val="TableContents"/>
              <w:spacing w:before="0" w:after="0"/>
              <w:rPr>
                <w:bdr w:val="double" w:sz="6" w:space="1" w:color="000000"/>
              </w:rPr>
            </w:pPr>
            <w:r>
              <w:rPr>
                <w:bdr w:val="double" w:sz="6" w:space="1" w:color="000000"/>
              </w:rPr>
              <w:t> </w:t>
            </w:r>
          </w:p>
        </w:tc>
        <w:tc>
          <w:tcPr>
            <w:tcW w:w="1554" w:type="dxa"/>
            <w:tcBorders/>
            <w:shd w:fill="auto" w:val="clear"/>
            <w:vAlign w:val="center"/>
          </w:tcPr>
          <w:p>
            <w:pPr>
              <w:pStyle w:val="TableContents"/>
              <w:spacing w:before="0" w:after="0"/>
              <w:rPr>
                <w:bdr w:val="double" w:sz="6" w:space="1" w:color="000000"/>
              </w:rPr>
            </w:pPr>
            <w:r>
              <w:rPr>
                <w:bdr w:val="double" w:sz="6" w:space="1" w:color="000000"/>
              </w:rPr>
              <w:t> </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21" w:type="dxa"/>
            <w:tcBorders/>
            <w:shd w:fill="auto" w:val="clear"/>
            <w:vAlign w:val="center"/>
          </w:tcPr>
          <w:p>
            <w:pPr>
              <w:pStyle w:val="TableContents"/>
              <w:spacing w:before="0" w:after="0"/>
              <w:rPr>
                <w:bdr w:val="double" w:sz="6" w:space="1" w:color="000000"/>
              </w:rPr>
            </w:pPr>
            <w:r>
              <w:rPr>
                <w:bdr w:val="double" w:sz="6" w:space="1" w:color="000000"/>
              </w:rPr>
              <w:t> </w:t>
            </w:r>
          </w:p>
        </w:tc>
        <w:tc>
          <w:tcPr>
            <w:tcW w:w="1554" w:type="dxa"/>
            <w:tcBorders/>
            <w:shd w:fill="auto" w:val="clear"/>
            <w:vAlign w:val="center"/>
          </w:tcPr>
          <w:p>
            <w:pPr>
              <w:pStyle w:val="TableContents"/>
              <w:spacing w:before="0" w:after="0"/>
              <w:rPr>
                <w:bdr w:val="double" w:sz="6" w:space="1" w:color="000000"/>
              </w:rPr>
            </w:pPr>
            <w:r>
              <w:rPr>
                <w:bdr w:val="double" w:sz="6" w:space="1" w:color="000000"/>
              </w:rPr>
              <w:t> </w:t>
            </w:r>
          </w:p>
        </w:tc>
        <w:tc>
          <w:tcPr>
            <w:tcW w:w="170" w:type="dxa"/>
            <w:tcBorders/>
            <w:shd w:fill="auto" w:val="clear"/>
            <w:vAlign w:val="center"/>
          </w:tcPr>
          <w:p>
            <w:pPr>
              <w:pStyle w:val="TableContents"/>
              <w:spacing w:before="0" w:after="283"/>
              <w:rPr/>
            </w:pPr>
            <w:r>
              <w:rPr/>
              <w:t> </w:t>
            </w:r>
          </w:p>
        </w:tc>
      </w:tr>
    </w:tbl>
    <w:p>
      <w:pPr>
        <w:pStyle w:val="TextBody"/>
        <w:spacing w:before="240" w:after="0"/>
        <w:jc w:val="left"/>
        <w:rPr>
          <w:rFonts w:ascii="Times New Roman" w:hAnsi="Times New Roman"/>
          <w:spacing w:val="0"/>
          <w:sz w:val="20"/>
        </w:rPr>
      </w:pPr>
      <w:r>
        <w:rPr>
          <w:rFonts w:ascii="Times New Roman" w:hAnsi="Times New Roman"/>
          <w:spacing w:val="0"/>
          <w:sz w:val="20"/>
        </w:rPr>
        <w:t xml:space="preserve">Depreciation expense totaled $138,789 for fiscal 2020, $132,399 for fiscal 2019, and $118,087 for fiscal 2018.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During fiscal 2020, we recognized business interruption insurance and property insurance recoveries of $160 and $595, respectively, related to flooding at one of our stores, and a net gain on disposal of fixed assets of $500, which are included in “other store operating expenses” in the Consolidated Statements of </w:t>
      </w:r>
    </w:p>
    <w:p>
      <w:pPr>
        <w:pStyle w:val="TextBody"/>
        <w:spacing w:before="240" w:after="0"/>
        <w:jc w:val="left"/>
        <w:rPr>
          <w:rFonts w:ascii="Times New Roman" w:hAnsi="Times New Roman"/>
          <w:spacing w:val="0"/>
          <w:sz w:val="20"/>
        </w:rPr>
      </w:pPr>
      <w:r>
        <w:rPr>
          <w:rFonts w:ascii="Times New Roman" w:hAnsi="Times New Roman"/>
          <w:spacing w:val="0"/>
          <w:sz w:val="20"/>
        </w:rPr>
        <w:t>Comprehensive Income (Loss). During fiscal</w:t>
      </w:r>
    </w:p>
    <w:p>
      <w:pPr>
        <w:pStyle w:val="TextBody"/>
        <w:spacing w:before="240" w:after="0"/>
        <w:jc w:val="left"/>
        <w:rPr>
          <w:spacing w:val="0"/>
        </w:rPr>
      </w:pPr>
      <w:r>
        <w:rPr>
          <w:spacing w:val="0"/>
        </w:rPr>
        <w:t> </w:t>
      </w:r>
      <w:r>
        <w:rPr>
          <w:rFonts w:ascii="Times New Roman" w:hAnsi="Times New Roman"/>
          <w:spacing w:val="0"/>
          <w:sz w:val="20"/>
        </w:rPr>
        <w:t xml:space="preserve">2018, we recognized business interruption insurance recoveries of approximately $3,075 related to three major hurricanes that made landfall during fiscal 2017 and negatively impacted certain store revenues, which are included in “Other store operating expenses” in the Consolidated Statements of </w:t>
      </w:r>
    </w:p>
    <w:p>
      <w:pPr>
        <w:pStyle w:val="TextBody"/>
        <w:spacing w:before="240" w:after="0"/>
        <w:jc w:val="left"/>
        <w:rPr>
          <w:rFonts w:ascii="Times New Roman" w:hAnsi="Times New Roman"/>
          <w:spacing w:val="0"/>
          <w:sz w:val="20"/>
        </w:rPr>
      </w:pPr>
      <w:r>
        <w:rPr>
          <w:rFonts w:ascii="Times New Roman" w:hAnsi="Times New Roman"/>
          <w:spacing w:val="0"/>
          <w:sz w:val="20"/>
        </w:rPr>
        <w:t>Comprehensive Income (Loss).</w:t>
      </w:r>
    </w:p>
    <w:p>
      <w:pPr>
        <w:pStyle w:val="TextBody"/>
        <w:spacing w:before="240" w:after="0"/>
        <w:jc w:val="left"/>
        <w:rPr>
          <w:spacing w:val="0"/>
        </w:rPr>
      </w:pPr>
      <w:r>
        <w:rPr>
          <w:spacing w:val="0"/>
        </w:rPr>
        <w:t> </w:t>
      </w:r>
      <w:r>
        <w:rPr>
          <w:rFonts w:ascii="Times New Roman" w:hAnsi="Times New Roman"/>
          <w:spacing w:val="0"/>
          <w:sz w:val="20"/>
        </w:rPr>
        <w:t xml:space="preserve">We also recognized property insurance recoveries of approximately $541, related to the events, which resulted in a net gain on disposal of fixed assets of approximately $180, which is included in “Other store operating expenses” in the Consolidated Statements of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Comprehensive Income (Loss). During fiscal 2018, we completed a sale-leaseback transaction under which we sold land and buildings of one of our stores to an unrelated party for net proceeds of $11,571.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F-17 </w:t>
      </w:r>
    </w:p>
    <w:p>
      <w:pPr>
        <w:pStyle w:val="HorizontalLine"/>
        <w:rPr/>
      </w:pPr>
      <w:r>
        <w:rPr/>
      </w:r>
    </w:p>
    <w:p>
      <w:pPr>
        <w:pStyle w:val="TextBody"/>
        <w:spacing w:before="0" w:after="0"/>
        <w:rPr/>
      </w:pPr>
      <w:hyperlink w:anchor="toc">
        <w:r>
          <w:rPr>
            <w:rStyle w:val="InternetLink"/>
            <w:b/>
            <w:sz w:val="20"/>
          </w:rPr>
          <w:t>Table of Contents</w:t>
        </w:r>
      </w:hyperlink>
    </w:p>
    <w:p>
      <w:pPr>
        <w:pStyle w:val="TextBody"/>
        <w:spacing w:before="0" w:after="0"/>
        <w:jc w:val="left"/>
        <w:rPr>
          <w:rFonts w:ascii="Times New Roman" w:hAnsi="Times New Roman"/>
          <w:b/>
          <w:spacing w:val="0"/>
          <w:sz w:val="20"/>
        </w:rPr>
      </w:pPr>
      <w:r>
        <w:rPr>
          <w:rFonts w:ascii="Times New Roman" w:hAnsi="Times New Roman"/>
          <w:b/>
          <w:spacing w:val="0"/>
          <w:sz w:val="20"/>
        </w:rPr>
        <w:t xml:space="preserve">Note 4: Accrued Liabilities </w:t>
      </w:r>
    </w:p>
    <w:p>
      <w:pPr>
        <w:pStyle w:val="TextBody"/>
        <w:spacing w:before="120" w:after="0"/>
        <w:jc w:val="left"/>
        <w:rPr>
          <w:rFonts w:ascii="Times New Roman" w:hAnsi="Times New Roman"/>
          <w:spacing w:val="0"/>
          <w:sz w:val="20"/>
        </w:rPr>
      </w:pPr>
      <w:r>
        <w:rPr>
          <w:rFonts w:ascii="Times New Roman" w:hAnsi="Times New Roman"/>
          <w:spacing w:val="0"/>
          <w:sz w:val="20"/>
        </w:rPr>
        <w:t>Accrued liabilities consist of the following as of the fiscal years ended:</w:t>
      </w:r>
    </w:p>
    <w:p>
      <w:pPr>
        <w:pStyle w:val="TextBody"/>
        <w:spacing w:before="0" w:after="0"/>
        <w:jc w:val="left"/>
        <w:rPr>
          <w:spacing w:val="0"/>
        </w:rPr>
      </w:pPr>
      <w:r>
        <w:rPr>
          <w:spacing w:val="0"/>
        </w:rPr>
        <w:t> </w:t>
      </w:r>
    </w:p>
    <w:tbl>
      <w:tblPr>
        <w:tblW w:w="7920" w:type="dxa"/>
        <w:jc w:val="left"/>
        <w:tblInd w:w="0" w:type="dxa"/>
        <w:tblCellMar>
          <w:top w:w="0" w:type="dxa"/>
          <w:left w:w="0" w:type="dxa"/>
          <w:bottom w:w="0" w:type="dxa"/>
          <w:right w:w="0" w:type="dxa"/>
        </w:tblCellMar>
      </w:tblPr>
      <w:tblGrid>
        <w:gridCol w:w="3995"/>
        <w:gridCol w:w="120"/>
        <w:gridCol w:w="264"/>
        <w:gridCol w:w="1511"/>
        <w:gridCol w:w="60"/>
        <w:gridCol w:w="120"/>
        <w:gridCol w:w="264"/>
        <w:gridCol w:w="1511"/>
        <w:gridCol w:w="75"/>
      </w:tblGrid>
      <w:tr>
        <w:trPr/>
        <w:tc>
          <w:tcPr>
            <w:tcW w:w="399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64" w:type="dxa"/>
            <w:tcBorders/>
            <w:shd w:fill="auto" w:val="clear"/>
            <w:vAlign w:val="center"/>
          </w:tcPr>
          <w:p>
            <w:pPr>
              <w:pStyle w:val="TableContents"/>
              <w:spacing w:before="0" w:after="283"/>
              <w:rPr>
                <w:sz w:val="4"/>
                <w:szCs w:val="4"/>
              </w:rPr>
            </w:pPr>
            <w:r>
              <w:rPr>
                <w:sz w:val="4"/>
                <w:szCs w:val="4"/>
              </w:rPr>
            </w:r>
          </w:p>
        </w:tc>
        <w:tc>
          <w:tcPr>
            <w:tcW w:w="1511"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64" w:type="dxa"/>
            <w:tcBorders/>
            <w:shd w:fill="auto" w:val="clear"/>
            <w:vAlign w:val="center"/>
          </w:tcPr>
          <w:p>
            <w:pPr>
              <w:pStyle w:val="TableContents"/>
              <w:spacing w:before="0" w:after="283"/>
              <w:rPr>
                <w:sz w:val="4"/>
                <w:szCs w:val="4"/>
              </w:rPr>
            </w:pPr>
            <w:r>
              <w:rPr>
                <w:sz w:val="4"/>
                <w:szCs w:val="4"/>
              </w:rPr>
            </w:r>
          </w:p>
        </w:tc>
        <w:tc>
          <w:tcPr>
            <w:tcW w:w="1511"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399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775" w:type="dxa"/>
            <w:gridSpan w:val="2"/>
            <w:tcBorders/>
            <w:shd w:fill="auto" w:val="clear"/>
            <w:vAlign w:val="center"/>
          </w:tcPr>
          <w:p>
            <w:pPr>
              <w:pStyle w:val="TableContents"/>
              <w:spacing w:before="0" w:after="0"/>
              <w:jc w:val="center"/>
              <w:rPr>
                <w:b/>
                <w:spacing w:val="0"/>
              </w:rPr>
            </w:pPr>
            <w:r>
              <w:rPr>
                <w:b/>
                <w:spacing w:val="0"/>
              </w:rPr>
              <w:t>January 31, 2021</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775" w:type="dxa"/>
            <w:gridSpan w:val="2"/>
            <w:tcBorders/>
            <w:shd w:fill="auto" w:val="clear"/>
            <w:vAlign w:val="center"/>
          </w:tcPr>
          <w:p>
            <w:pPr>
              <w:pStyle w:val="TableContents"/>
              <w:spacing w:before="0" w:after="0"/>
              <w:jc w:val="center"/>
              <w:rPr>
                <w:b/>
                <w:spacing w:val="0"/>
              </w:rPr>
            </w:pPr>
            <w:r>
              <w:rPr>
                <w:b/>
                <w:spacing w:val="0"/>
              </w:rPr>
              <w:t>February 2, 2020</w:t>
            </w:r>
          </w:p>
        </w:tc>
        <w:tc>
          <w:tcPr>
            <w:tcW w:w="75" w:type="dxa"/>
            <w:tcBorders/>
            <w:shd w:fill="auto" w:val="clear"/>
            <w:vAlign w:val="center"/>
          </w:tcPr>
          <w:p>
            <w:pPr>
              <w:pStyle w:val="TableContents"/>
              <w:spacing w:before="0" w:after="283"/>
              <w:rPr/>
            </w:pPr>
            <w:r>
              <w:rPr/>
              <w:t> </w:t>
            </w:r>
          </w:p>
        </w:tc>
      </w:tr>
      <w:tr>
        <w:trPr/>
        <w:tc>
          <w:tcPr>
            <w:tcW w:w="399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Deferred amusement revenue</w:t>
            </w:r>
          </w:p>
        </w:tc>
        <w:tc>
          <w:tcPr>
            <w:tcW w:w="120" w:type="dxa"/>
            <w:tcBorders/>
            <w:shd w:fill="CCEEFF" w:val="clear"/>
            <w:vAlign w:val="center"/>
          </w:tcPr>
          <w:p>
            <w:pPr>
              <w:pStyle w:val="TableContents"/>
              <w:spacing w:before="0" w:after="283"/>
              <w:rPr/>
            </w:pPr>
            <w:r>
              <w:rPr/>
              <w:t>  </w:t>
            </w:r>
          </w:p>
        </w:tc>
        <w:tc>
          <w:tcPr>
            <w:tcW w:w="264" w:type="dxa"/>
            <w:tcBorders/>
            <w:shd w:fill="CCEEFF" w:val="clear"/>
            <w:vAlign w:val="center"/>
          </w:tcPr>
          <w:p>
            <w:pPr>
              <w:pStyle w:val="TableContents"/>
              <w:spacing w:before="0" w:after="283"/>
              <w:rPr/>
            </w:pPr>
            <w:r>
              <w:rPr/>
              <w:t>$</w:t>
            </w:r>
          </w:p>
        </w:tc>
        <w:tc>
          <w:tcPr>
            <w:tcW w:w="1511" w:type="dxa"/>
            <w:tcBorders/>
            <w:shd w:fill="CCEEFF" w:val="clear"/>
            <w:vAlign w:val="center"/>
          </w:tcPr>
          <w:p>
            <w:pPr>
              <w:pStyle w:val="TableContents"/>
              <w:spacing w:before="0" w:after="283"/>
              <w:jc w:val="right"/>
              <w:rPr/>
            </w:pPr>
            <w:r>
              <w:rPr/>
              <w:t>78,852</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264" w:type="dxa"/>
            <w:tcBorders/>
            <w:shd w:fill="CCEEFF" w:val="clear"/>
            <w:vAlign w:val="center"/>
          </w:tcPr>
          <w:p>
            <w:pPr>
              <w:pStyle w:val="TableContents"/>
              <w:spacing w:before="0" w:after="283"/>
              <w:rPr/>
            </w:pPr>
            <w:r>
              <w:rPr/>
              <w:t>$</w:t>
            </w:r>
          </w:p>
        </w:tc>
        <w:tc>
          <w:tcPr>
            <w:tcW w:w="1511" w:type="dxa"/>
            <w:tcBorders/>
            <w:shd w:fill="CCEEFF" w:val="clear"/>
            <w:vAlign w:val="center"/>
          </w:tcPr>
          <w:p>
            <w:pPr>
              <w:pStyle w:val="TableContents"/>
              <w:spacing w:before="0" w:after="283"/>
              <w:jc w:val="right"/>
              <w:rPr/>
            </w:pPr>
            <w:r>
              <w:rPr/>
              <w:t>75,113</w:t>
            </w:r>
          </w:p>
        </w:tc>
        <w:tc>
          <w:tcPr>
            <w:tcW w:w="75" w:type="dxa"/>
            <w:tcBorders/>
            <w:shd w:fill="CCEEFF" w:val="clear"/>
            <w:vAlign w:val="center"/>
          </w:tcPr>
          <w:p>
            <w:pPr>
              <w:pStyle w:val="TableContents"/>
              <w:spacing w:before="0" w:after="283"/>
              <w:rPr/>
            </w:pPr>
            <w:r>
              <w:rPr/>
              <w:t> </w:t>
            </w:r>
          </w:p>
        </w:tc>
      </w:tr>
      <w:tr>
        <w:trPr/>
        <w:tc>
          <w:tcPr>
            <w:tcW w:w="399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 xml:space="preserve">Current portion of operating lease liabilities, net </w:t>
            </w:r>
          </w:p>
          <w:p>
            <w:pPr>
              <w:pStyle w:val="TableContents"/>
              <w:spacing w:before="0" w:after="0"/>
              <w:rPr>
                <w:rFonts w:ascii="Times New Roman" w:hAnsi="Times New Roman"/>
                <w:spacing w:val="0"/>
                <w:sz w:val="14"/>
              </w:rPr>
            </w:pPr>
            <w:r>
              <w:rPr>
                <w:rFonts w:ascii="Times New Roman" w:hAnsi="Times New Roman"/>
                <w:spacing w:val="0"/>
                <w:sz w:val="14"/>
              </w:rPr>
              <w:t>(1)</w:t>
            </w:r>
          </w:p>
        </w:tc>
        <w:tc>
          <w:tcPr>
            <w:tcW w:w="120" w:type="dxa"/>
            <w:tcBorders/>
            <w:shd w:fill="auto" w:val="clear"/>
            <w:vAlign w:val="center"/>
          </w:tcPr>
          <w:p>
            <w:pPr>
              <w:pStyle w:val="TableContents"/>
              <w:spacing w:before="0" w:after="283"/>
              <w:rPr/>
            </w:pPr>
            <w:r>
              <w:rPr/>
              <w:t>  </w:t>
            </w:r>
          </w:p>
        </w:tc>
        <w:tc>
          <w:tcPr>
            <w:tcW w:w="264" w:type="dxa"/>
            <w:tcBorders/>
            <w:shd w:fill="auto" w:val="clear"/>
            <w:vAlign w:val="center"/>
          </w:tcPr>
          <w:p>
            <w:pPr>
              <w:pStyle w:val="TableContents"/>
              <w:spacing w:before="0" w:after="283"/>
              <w:rPr/>
            </w:pPr>
            <w:r>
              <w:rPr/>
              <w:t> </w:t>
            </w:r>
          </w:p>
        </w:tc>
        <w:tc>
          <w:tcPr>
            <w:tcW w:w="1511" w:type="dxa"/>
            <w:tcBorders/>
            <w:shd w:fill="auto" w:val="clear"/>
            <w:vAlign w:val="center"/>
          </w:tcPr>
          <w:p>
            <w:pPr>
              <w:pStyle w:val="TableContents"/>
              <w:spacing w:before="0" w:after="283"/>
              <w:jc w:val="right"/>
              <w:rPr/>
            </w:pPr>
            <w:r>
              <w:rPr/>
              <w:t>46,471</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64" w:type="dxa"/>
            <w:tcBorders/>
            <w:shd w:fill="auto" w:val="clear"/>
            <w:vAlign w:val="center"/>
          </w:tcPr>
          <w:p>
            <w:pPr>
              <w:pStyle w:val="TableContents"/>
              <w:spacing w:before="0" w:after="283"/>
              <w:rPr/>
            </w:pPr>
            <w:r>
              <w:rPr/>
              <w:t> </w:t>
            </w:r>
          </w:p>
        </w:tc>
        <w:tc>
          <w:tcPr>
            <w:tcW w:w="1511" w:type="dxa"/>
            <w:tcBorders/>
            <w:shd w:fill="auto" w:val="clear"/>
            <w:vAlign w:val="center"/>
          </w:tcPr>
          <w:p>
            <w:pPr>
              <w:pStyle w:val="TableContents"/>
              <w:spacing w:before="0" w:after="283"/>
              <w:jc w:val="right"/>
              <w:rPr/>
            </w:pPr>
            <w:r>
              <w:rPr/>
              <w:t>45,611</w:t>
            </w:r>
          </w:p>
        </w:tc>
        <w:tc>
          <w:tcPr>
            <w:tcW w:w="75" w:type="dxa"/>
            <w:tcBorders/>
            <w:shd w:fill="auto" w:val="clear"/>
            <w:vAlign w:val="center"/>
          </w:tcPr>
          <w:p>
            <w:pPr>
              <w:pStyle w:val="TableContents"/>
              <w:spacing w:before="0" w:after="283"/>
              <w:rPr/>
            </w:pPr>
            <w:r>
              <w:rPr/>
              <w:t> </w:t>
            </w:r>
          </w:p>
        </w:tc>
      </w:tr>
      <w:tr>
        <w:trPr/>
        <w:tc>
          <w:tcPr>
            <w:tcW w:w="399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Current portion of deferred occupancy costs</w:t>
            </w:r>
          </w:p>
        </w:tc>
        <w:tc>
          <w:tcPr>
            <w:tcW w:w="120" w:type="dxa"/>
            <w:tcBorders/>
            <w:shd w:fill="CCEEFF" w:val="clear"/>
            <w:vAlign w:val="center"/>
          </w:tcPr>
          <w:p>
            <w:pPr>
              <w:pStyle w:val="TableContents"/>
              <w:spacing w:before="0" w:after="283"/>
              <w:rPr/>
            </w:pPr>
            <w:r>
              <w:rPr/>
              <w:t>  </w:t>
            </w:r>
          </w:p>
        </w:tc>
        <w:tc>
          <w:tcPr>
            <w:tcW w:w="264" w:type="dxa"/>
            <w:tcBorders/>
            <w:shd w:fill="CCEEFF" w:val="clear"/>
            <w:vAlign w:val="center"/>
          </w:tcPr>
          <w:p>
            <w:pPr>
              <w:pStyle w:val="TableContents"/>
              <w:spacing w:before="0" w:after="283"/>
              <w:rPr/>
            </w:pPr>
            <w:r>
              <w:rPr/>
              <w:t> </w:t>
            </w:r>
          </w:p>
        </w:tc>
        <w:tc>
          <w:tcPr>
            <w:tcW w:w="1511" w:type="dxa"/>
            <w:tcBorders/>
            <w:shd w:fill="CCEEFF" w:val="clear"/>
            <w:vAlign w:val="center"/>
          </w:tcPr>
          <w:p>
            <w:pPr>
              <w:pStyle w:val="TableContents"/>
              <w:spacing w:before="0" w:after="283"/>
              <w:jc w:val="right"/>
              <w:rPr/>
            </w:pPr>
            <w:r>
              <w:rPr/>
              <w:t>36,121</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264" w:type="dxa"/>
            <w:tcBorders/>
            <w:shd w:fill="CCEEFF" w:val="clear"/>
            <w:vAlign w:val="center"/>
          </w:tcPr>
          <w:p>
            <w:pPr>
              <w:pStyle w:val="TableContents"/>
              <w:spacing w:before="0" w:after="283"/>
              <w:rPr/>
            </w:pPr>
            <w:r>
              <w:rPr/>
              <w:t> </w:t>
            </w:r>
          </w:p>
        </w:tc>
        <w:tc>
          <w:tcPr>
            <w:tcW w:w="1511" w:type="dxa"/>
            <w:tcBorders/>
            <w:shd w:fill="CCEEFF" w:val="clear"/>
            <w:vAlign w:val="center"/>
          </w:tcPr>
          <w:p>
            <w:pPr>
              <w:pStyle w:val="TableContents"/>
              <w:spacing w:before="0" w:after="283"/>
              <w:jc w:val="right"/>
              <w:rPr/>
            </w:pPr>
            <w:r>
              <w:rPr/>
              <w:t>—  </w:t>
            </w:r>
          </w:p>
        </w:tc>
        <w:tc>
          <w:tcPr>
            <w:tcW w:w="75" w:type="dxa"/>
            <w:tcBorders/>
            <w:shd w:fill="CCEEFF" w:val="clear"/>
            <w:vAlign w:val="center"/>
          </w:tcPr>
          <w:p>
            <w:pPr>
              <w:pStyle w:val="TableContents"/>
              <w:spacing w:before="0" w:after="283"/>
              <w:rPr/>
            </w:pPr>
            <w:r>
              <w:rPr/>
              <w:t> </w:t>
            </w:r>
          </w:p>
        </w:tc>
      </w:tr>
      <w:tr>
        <w:trPr/>
        <w:tc>
          <w:tcPr>
            <w:tcW w:w="399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Compensation and benefits</w:t>
            </w:r>
          </w:p>
        </w:tc>
        <w:tc>
          <w:tcPr>
            <w:tcW w:w="120" w:type="dxa"/>
            <w:tcBorders/>
            <w:shd w:fill="auto" w:val="clear"/>
            <w:vAlign w:val="center"/>
          </w:tcPr>
          <w:p>
            <w:pPr>
              <w:pStyle w:val="TableContents"/>
              <w:spacing w:before="0" w:after="283"/>
              <w:rPr/>
            </w:pPr>
            <w:r>
              <w:rPr/>
              <w:t>  </w:t>
            </w:r>
          </w:p>
        </w:tc>
        <w:tc>
          <w:tcPr>
            <w:tcW w:w="264" w:type="dxa"/>
            <w:tcBorders/>
            <w:shd w:fill="auto" w:val="clear"/>
            <w:vAlign w:val="center"/>
          </w:tcPr>
          <w:p>
            <w:pPr>
              <w:pStyle w:val="TableContents"/>
              <w:spacing w:before="0" w:after="283"/>
              <w:rPr/>
            </w:pPr>
            <w:r>
              <w:rPr/>
              <w:t> </w:t>
            </w:r>
          </w:p>
        </w:tc>
        <w:tc>
          <w:tcPr>
            <w:tcW w:w="1511" w:type="dxa"/>
            <w:tcBorders/>
            <w:shd w:fill="auto" w:val="clear"/>
            <w:vAlign w:val="center"/>
          </w:tcPr>
          <w:p>
            <w:pPr>
              <w:pStyle w:val="TableContents"/>
              <w:spacing w:before="0" w:after="283"/>
              <w:jc w:val="right"/>
              <w:rPr/>
            </w:pPr>
            <w:r>
              <w:rPr/>
              <w:t>13,846</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64" w:type="dxa"/>
            <w:tcBorders/>
            <w:shd w:fill="auto" w:val="clear"/>
            <w:vAlign w:val="center"/>
          </w:tcPr>
          <w:p>
            <w:pPr>
              <w:pStyle w:val="TableContents"/>
              <w:spacing w:before="0" w:after="283"/>
              <w:rPr/>
            </w:pPr>
            <w:r>
              <w:rPr/>
              <w:t> </w:t>
            </w:r>
          </w:p>
        </w:tc>
        <w:tc>
          <w:tcPr>
            <w:tcW w:w="1511" w:type="dxa"/>
            <w:tcBorders/>
            <w:shd w:fill="auto" w:val="clear"/>
            <w:vAlign w:val="center"/>
          </w:tcPr>
          <w:p>
            <w:pPr>
              <w:pStyle w:val="TableContents"/>
              <w:spacing w:before="0" w:after="283"/>
              <w:jc w:val="right"/>
              <w:rPr/>
            </w:pPr>
            <w:r>
              <w:rPr/>
              <w:t>23,421</w:t>
            </w:r>
          </w:p>
        </w:tc>
        <w:tc>
          <w:tcPr>
            <w:tcW w:w="75" w:type="dxa"/>
            <w:tcBorders/>
            <w:shd w:fill="auto" w:val="clear"/>
            <w:vAlign w:val="center"/>
          </w:tcPr>
          <w:p>
            <w:pPr>
              <w:pStyle w:val="TableContents"/>
              <w:spacing w:before="0" w:after="283"/>
              <w:rPr/>
            </w:pPr>
            <w:r>
              <w:rPr/>
              <w:t> </w:t>
            </w:r>
          </w:p>
        </w:tc>
      </w:tr>
      <w:tr>
        <w:trPr/>
        <w:tc>
          <w:tcPr>
            <w:tcW w:w="399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Accrued interest</w:t>
            </w:r>
          </w:p>
        </w:tc>
        <w:tc>
          <w:tcPr>
            <w:tcW w:w="120" w:type="dxa"/>
            <w:tcBorders/>
            <w:shd w:fill="CCEEFF" w:val="clear"/>
            <w:vAlign w:val="center"/>
          </w:tcPr>
          <w:p>
            <w:pPr>
              <w:pStyle w:val="TableContents"/>
              <w:spacing w:before="0" w:after="283"/>
              <w:rPr/>
            </w:pPr>
            <w:r>
              <w:rPr/>
              <w:t>  </w:t>
            </w:r>
          </w:p>
        </w:tc>
        <w:tc>
          <w:tcPr>
            <w:tcW w:w="264" w:type="dxa"/>
            <w:tcBorders/>
            <w:shd w:fill="CCEEFF" w:val="clear"/>
            <w:vAlign w:val="center"/>
          </w:tcPr>
          <w:p>
            <w:pPr>
              <w:pStyle w:val="TableContents"/>
              <w:spacing w:before="0" w:after="283"/>
              <w:rPr/>
            </w:pPr>
            <w:r>
              <w:rPr/>
              <w:t> </w:t>
            </w:r>
          </w:p>
        </w:tc>
        <w:tc>
          <w:tcPr>
            <w:tcW w:w="1511" w:type="dxa"/>
            <w:tcBorders/>
            <w:shd w:fill="CCEEFF" w:val="clear"/>
            <w:vAlign w:val="center"/>
          </w:tcPr>
          <w:p>
            <w:pPr>
              <w:pStyle w:val="TableContents"/>
              <w:spacing w:before="0" w:after="283"/>
              <w:jc w:val="right"/>
              <w:rPr/>
            </w:pPr>
            <w:r>
              <w:rPr/>
              <w:t>11,321</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264" w:type="dxa"/>
            <w:tcBorders/>
            <w:shd w:fill="CCEEFF" w:val="clear"/>
            <w:vAlign w:val="center"/>
          </w:tcPr>
          <w:p>
            <w:pPr>
              <w:pStyle w:val="TableContents"/>
              <w:spacing w:before="0" w:after="283"/>
              <w:rPr/>
            </w:pPr>
            <w:r>
              <w:rPr/>
              <w:t> </w:t>
            </w:r>
          </w:p>
        </w:tc>
        <w:tc>
          <w:tcPr>
            <w:tcW w:w="1511" w:type="dxa"/>
            <w:tcBorders/>
            <w:shd w:fill="CCEEFF" w:val="clear"/>
            <w:vAlign w:val="center"/>
          </w:tcPr>
          <w:p>
            <w:pPr>
              <w:pStyle w:val="TableContents"/>
              <w:spacing w:before="0" w:after="283"/>
              <w:jc w:val="right"/>
              <w:rPr/>
            </w:pPr>
            <w:r>
              <w:rPr/>
              <w:t>648</w:t>
            </w:r>
          </w:p>
        </w:tc>
        <w:tc>
          <w:tcPr>
            <w:tcW w:w="75" w:type="dxa"/>
            <w:tcBorders/>
            <w:shd w:fill="CCEEFF" w:val="clear"/>
            <w:vAlign w:val="center"/>
          </w:tcPr>
          <w:p>
            <w:pPr>
              <w:pStyle w:val="TableContents"/>
              <w:spacing w:before="0" w:after="283"/>
              <w:rPr/>
            </w:pPr>
            <w:r>
              <w:rPr/>
              <w:t> </w:t>
            </w:r>
          </w:p>
        </w:tc>
      </w:tr>
      <w:tr>
        <w:trPr/>
        <w:tc>
          <w:tcPr>
            <w:tcW w:w="399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Deferred gift card revenue</w:t>
            </w:r>
          </w:p>
        </w:tc>
        <w:tc>
          <w:tcPr>
            <w:tcW w:w="120" w:type="dxa"/>
            <w:tcBorders/>
            <w:shd w:fill="auto" w:val="clear"/>
            <w:vAlign w:val="center"/>
          </w:tcPr>
          <w:p>
            <w:pPr>
              <w:pStyle w:val="TableContents"/>
              <w:spacing w:before="0" w:after="283"/>
              <w:rPr/>
            </w:pPr>
            <w:r>
              <w:rPr/>
              <w:t>  </w:t>
            </w:r>
          </w:p>
        </w:tc>
        <w:tc>
          <w:tcPr>
            <w:tcW w:w="264" w:type="dxa"/>
            <w:tcBorders/>
            <w:shd w:fill="auto" w:val="clear"/>
            <w:vAlign w:val="center"/>
          </w:tcPr>
          <w:p>
            <w:pPr>
              <w:pStyle w:val="TableContents"/>
              <w:spacing w:before="0" w:after="283"/>
              <w:rPr/>
            </w:pPr>
            <w:r>
              <w:rPr/>
              <w:t> </w:t>
            </w:r>
          </w:p>
        </w:tc>
        <w:tc>
          <w:tcPr>
            <w:tcW w:w="1511" w:type="dxa"/>
            <w:tcBorders/>
            <w:shd w:fill="auto" w:val="clear"/>
            <w:vAlign w:val="center"/>
          </w:tcPr>
          <w:p>
            <w:pPr>
              <w:pStyle w:val="TableContents"/>
              <w:spacing w:before="0" w:after="283"/>
              <w:jc w:val="right"/>
              <w:rPr/>
            </w:pPr>
            <w:r>
              <w:rPr/>
              <w:t>10,918</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64" w:type="dxa"/>
            <w:tcBorders/>
            <w:shd w:fill="auto" w:val="clear"/>
            <w:vAlign w:val="center"/>
          </w:tcPr>
          <w:p>
            <w:pPr>
              <w:pStyle w:val="TableContents"/>
              <w:spacing w:before="0" w:after="283"/>
              <w:rPr/>
            </w:pPr>
            <w:r>
              <w:rPr/>
              <w:t> </w:t>
            </w:r>
          </w:p>
        </w:tc>
        <w:tc>
          <w:tcPr>
            <w:tcW w:w="1511" w:type="dxa"/>
            <w:tcBorders/>
            <w:shd w:fill="auto" w:val="clear"/>
            <w:vAlign w:val="center"/>
          </w:tcPr>
          <w:p>
            <w:pPr>
              <w:pStyle w:val="TableContents"/>
              <w:spacing w:before="0" w:after="283"/>
              <w:jc w:val="right"/>
              <w:rPr/>
            </w:pPr>
            <w:r>
              <w:rPr/>
              <w:t>11,253</w:t>
            </w:r>
          </w:p>
        </w:tc>
        <w:tc>
          <w:tcPr>
            <w:tcW w:w="75" w:type="dxa"/>
            <w:tcBorders/>
            <w:shd w:fill="auto" w:val="clear"/>
            <w:vAlign w:val="center"/>
          </w:tcPr>
          <w:p>
            <w:pPr>
              <w:pStyle w:val="TableContents"/>
              <w:spacing w:before="0" w:after="283"/>
              <w:rPr/>
            </w:pPr>
            <w:r>
              <w:rPr/>
              <w:t> </w:t>
            </w:r>
          </w:p>
        </w:tc>
      </w:tr>
      <w:tr>
        <w:trPr/>
        <w:tc>
          <w:tcPr>
            <w:tcW w:w="399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Current portion of derivatives</w:t>
            </w:r>
          </w:p>
        </w:tc>
        <w:tc>
          <w:tcPr>
            <w:tcW w:w="120" w:type="dxa"/>
            <w:tcBorders/>
            <w:shd w:fill="CCEEFF" w:val="clear"/>
            <w:vAlign w:val="center"/>
          </w:tcPr>
          <w:p>
            <w:pPr>
              <w:pStyle w:val="TableContents"/>
              <w:spacing w:before="0" w:after="283"/>
              <w:rPr/>
            </w:pPr>
            <w:r>
              <w:rPr/>
              <w:t>  </w:t>
            </w:r>
          </w:p>
        </w:tc>
        <w:tc>
          <w:tcPr>
            <w:tcW w:w="264" w:type="dxa"/>
            <w:tcBorders/>
            <w:shd w:fill="CCEEFF" w:val="clear"/>
            <w:vAlign w:val="center"/>
          </w:tcPr>
          <w:p>
            <w:pPr>
              <w:pStyle w:val="TableContents"/>
              <w:spacing w:before="0" w:after="283"/>
              <w:rPr/>
            </w:pPr>
            <w:r>
              <w:rPr/>
              <w:t> </w:t>
            </w:r>
          </w:p>
        </w:tc>
        <w:tc>
          <w:tcPr>
            <w:tcW w:w="1511" w:type="dxa"/>
            <w:tcBorders/>
            <w:shd w:fill="CCEEFF" w:val="clear"/>
            <w:vAlign w:val="center"/>
          </w:tcPr>
          <w:p>
            <w:pPr>
              <w:pStyle w:val="TableContents"/>
              <w:spacing w:before="0" w:after="283"/>
              <w:jc w:val="right"/>
              <w:rPr/>
            </w:pPr>
            <w:r>
              <w:rPr/>
              <w:t>8,350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264" w:type="dxa"/>
            <w:tcBorders/>
            <w:shd w:fill="CCEEFF" w:val="clear"/>
            <w:vAlign w:val="center"/>
          </w:tcPr>
          <w:p>
            <w:pPr>
              <w:pStyle w:val="TableContents"/>
              <w:spacing w:before="0" w:after="283"/>
              <w:rPr/>
            </w:pPr>
            <w:r>
              <w:rPr/>
              <w:t> </w:t>
            </w:r>
          </w:p>
        </w:tc>
        <w:tc>
          <w:tcPr>
            <w:tcW w:w="1511" w:type="dxa"/>
            <w:tcBorders/>
            <w:shd w:fill="CCEEFF" w:val="clear"/>
            <w:vAlign w:val="center"/>
          </w:tcPr>
          <w:p>
            <w:pPr>
              <w:pStyle w:val="TableContents"/>
              <w:spacing w:before="0" w:after="283"/>
              <w:jc w:val="right"/>
              <w:rPr/>
            </w:pPr>
            <w:r>
              <w:rPr/>
              <w:t>3,518</w:t>
            </w:r>
          </w:p>
        </w:tc>
        <w:tc>
          <w:tcPr>
            <w:tcW w:w="75" w:type="dxa"/>
            <w:tcBorders/>
            <w:shd w:fill="CCEEFF" w:val="clear"/>
            <w:vAlign w:val="center"/>
          </w:tcPr>
          <w:p>
            <w:pPr>
              <w:pStyle w:val="TableContents"/>
              <w:spacing w:before="0" w:after="283"/>
              <w:rPr/>
            </w:pPr>
            <w:r>
              <w:rPr/>
              <w:t> </w:t>
            </w:r>
          </w:p>
        </w:tc>
      </w:tr>
      <w:tr>
        <w:trPr/>
        <w:tc>
          <w:tcPr>
            <w:tcW w:w="399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Property taxes</w:t>
            </w:r>
          </w:p>
        </w:tc>
        <w:tc>
          <w:tcPr>
            <w:tcW w:w="120" w:type="dxa"/>
            <w:tcBorders/>
            <w:shd w:fill="auto" w:val="clear"/>
            <w:vAlign w:val="center"/>
          </w:tcPr>
          <w:p>
            <w:pPr>
              <w:pStyle w:val="TableContents"/>
              <w:spacing w:before="0" w:after="283"/>
              <w:rPr/>
            </w:pPr>
            <w:r>
              <w:rPr/>
              <w:t>  </w:t>
            </w:r>
          </w:p>
        </w:tc>
        <w:tc>
          <w:tcPr>
            <w:tcW w:w="264" w:type="dxa"/>
            <w:tcBorders/>
            <w:shd w:fill="auto" w:val="clear"/>
            <w:vAlign w:val="center"/>
          </w:tcPr>
          <w:p>
            <w:pPr>
              <w:pStyle w:val="TableContents"/>
              <w:spacing w:before="0" w:after="283"/>
              <w:rPr/>
            </w:pPr>
            <w:r>
              <w:rPr/>
              <w:t> </w:t>
            </w:r>
          </w:p>
        </w:tc>
        <w:tc>
          <w:tcPr>
            <w:tcW w:w="1511" w:type="dxa"/>
            <w:tcBorders/>
            <w:shd w:fill="auto" w:val="clear"/>
            <w:vAlign w:val="center"/>
          </w:tcPr>
          <w:p>
            <w:pPr>
              <w:pStyle w:val="TableContents"/>
              <w:spacing w:before="0" w:after="283"/>
              <w:jc w:val="right"/>
              <w:rPr/>
            </w:pPr>
            <w:r>
              <w:rPr/>
              <w:t>8,149</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64" w:type="dxa"/>
            <w:tcBorders/>
            <w:shd w:fill="auto" w:val="clear"/>
            <w:vAlign w:val="center"/>
          </w:tcPr>
          <w:p>
            <w:pPr>
              <w:pStyle w:val="TableContents"/>
              <w:spacing w:before="0" w:after="283"/>
              <w:rPr/>
            </w:pPr>
            <w:r>
              <w:rPr/>
              <w:t> </w:t>
            </w:r>
          </w:p>
        </w:tc>
        <w:tc>
          <w:tcPr>
            <w:tcW w:w="1511" w:type="dxa"/>
            <w:tcBorders/>
            <w:shd w:fill="auto" w:val="clear"/>
            <w:vAlign w:val="center"/>
          </w:tcPr>
          <w:p>
            <w:pPr>
              <w:pStyle w:val="TableContents"/>
              <w:spacing w:before="0" w:after="283"/>
              <w:jc w:val="right"/>
              <w:rPr/>
            </w:pPr>
            <w:r>
              <w:rPr/>
              <w:t>7,226</w:t>
            </w:r>
          </w:p>
        </w:tc>
        <w:tc>
          <w:tcPr>
            <w:tcW w:w="75" w:type="dxa"/>
            <w:tcBorders/>
            <w:shd w:fill="auto" w:val="clear"/>
            <w:vAlign w:val="center"/>
          </w:tcPr>
          <w:p>
            <w:pPr>
              <w:pStyle w:val="TableContents"/>
              <w:spacing w:before="0" w:after="283"/>
              <w:rPr/>
            </w:pPr>
            <w:r>
              <w:rPr/>
              <w:t> </w:t>
            </w:r>
          </w:p>
        </w:tc>
      </w:tr>
      <w:tr>
        <w:trPr/>
        <w:tc>
          <w:tcPr>
            <w:tcW w:w="399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Current portion of long-term insurance</w:t>
            </w:r>
          </w:p>
        </w:tc>
        <w:tc>
          <w:tcPr>
            <w:tcW w:w="120" w:type="dxa"/>
            <w:tcBorders/>
            <w:shd w:fill="CCEEFF" w:val="clear"/>
            <w:vAlign w:val="center"/>
          </w:tcPr>
          <w:p>
            <w:pPr>
              <w:pStyle w:val="TableContents"/>
              <w:spacing w:before="0" w:after="283"/>
              <w:rPr/>
            </w:pPr>
            <w:r>
              <w:rPr/>
              <w:t>  </w:t>
            </w:r>
          </w:p>
        </w:tc>
        <w:tc>
          <w:tcPr>
            <w:tcW w:w="264" w:type="dxa"/>
            <w:tcBorders/>
            <w:shd w:fill="CCEEFF" w:val="clear"/>
            <w:vAlign w:val="center"/>
          </w:tcPr>
          <w:p>
            <w:pPr>
              <w:pStyle w:val="TableContents"/>
              <w:spacing w:before="0" w:after="283"/>
              <w:rPr/>
            </w:pPr>
            <w:r>
              <w:rPr/>
              <w:t> </w:t>
            </w:r>
          </w:p>
        </w:tc>
        <w:tc>
          <w:tcPr>
            <w:tcW w:w="1511" w:type="dxa"/>
            <w:tcBorders/>
            <w:shd w:fill="CCEEFF" w:val="clear"/>
            <w:vAlign w:val="center"/>
          </w:tcPr>
          <w:p>
            <w:pPr>
              <w:pStyle w:val="TableContents"/>
              <w:spacing w:before="0" w:after="283"/>
              <w:jc w:val="right"/>
              <w:rPr/>
            </w:pPr>
            <w:r>
              <w:rPr/>
              <w:t>5,100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264" w:type="dxa"/>
            <w:tcBorders/>
            <w:shd w:fill="CCEEFF" w:val="clear"/>
            <w:vAlign w:val="center"/>
          </w:tcPr>
          <w:p>
            <w:pPr>
              <w:pStyle w:val="TableContents"/>
              <w:spacing w:before="0" w:after="283"/>
              <w:rPr/>
            </w:pPr>
            <w:r>
              <w:rPr/>
              <w:t> </w:t>
            </w:r>
          </w:p>
        </w:tc>
        <w:tc>
          <w:tcPr>
            <w:tcW w:w="1511" w:type="dxa"/>
            <w:tcBorders/>
            <w:shd w:fill="CCEEFF" w:val="clear"/>
            <w:vAlign w:val="center"/>
          </w:tcPr>
          <w:p>
            <w:pPr>
              <w:pStyle w:val="TableContents"/>
              <w:spacing w:before="0" w:after="283"/>
              <w:jc w:val="right"/>
              <w:rPr/>
            </w:pPr>
            <w:r>
              <w:rPr/>
              <w:t>6,500</w:t>
            </w:r>
          </w:p>
        </w:tc>
        <w:tc>
          <w:tcPr>
            <w:tcW w:w="75" w:type="dxa"/>
            <w:tcBorders/>
            <w:shd w:fill="CCEEFF" w:val="clear"/>
            <w:vAlign w:val="center"/>
          </w:tcPr>
          <w:p>
            <w:pPr>
              <w:pStyle w:val="TableContents"/>
              <w:spacing w:before="0" w:after="283"/>
              <w:rPr/>
            </w:pPr>
            <w:r>
              <w:rPr/>
              <w:t> </w:t>
            </w:r>
          </w:p>
        </w:tc>
      </w:tr>
      <w:tr>
        <w:trPr/>
        <w:tc>
          <w:tcPr>
            <w:tcW w:w="3995" w:type="dxa"/>
            <w:tcBorders/>
            <w:shd w:fill="FFFF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Utilities</w:t>
            </w:r>
          </w:p>
        </w:tc>
        <w:tc>
          <w:tcPr>
            <w:tcW w:w="120" w:type="dxa"/>
            <w:tcBorders/>
            <w:shd w:fill="FFFFFF" w:val="clear"/>
            <w:vAlign w:val="center"/>
          </w:tcPr>
          <w:p>
            <w:pPr>
              <w:pStyle w:val="TableContents"/>
              <w:spacing w:before="0" w:after="283"/>
              <w:rPr/>
            </w:pPr>
            <w:r>
              <w:rPr/>
              <w:t>  </w:t>
            </w:r>
          </w:p>
        </w:tc>
        <w:tc>
          <w:tcPr>
            <w:tcW w:w="264" w:type="dxa"/>
            <w:tcBorders/>
            <w:shd w:fill="FFFFFF" w:val="clear"/>
            <w:vAlign w:val="center"/>
          </w:tcPr>
          <w:p>
            <w:pPr>
              <w:pStyle w:val="TableContents"/>
              <w:spacing w:before="0" w:after="283"/>
              <w:rPr/>
            </w:pPr>
            <w:r>
              <w:rPr/>
              <w:t> </w:t>
            </w:r>
          </w:p>
        </w:tc>
        <w:tc>
          <w:tcPr>
            <w:tcW w:w="1511" w:type="dxa"/>
            <w:tcBorders/>
            <w:shd w:fill="FFFFFF" w:val="clear"/>
            <w:vAlign w:val="center"/>
          </w:tcPr>
          <w:p>
            <w:pPr>
              <w:pStyle w:val="TableContents"/>
              <w:spacing w:before="0" w:after="283"/>
              <w:jc w:val="right"/>
              <w:rPr/>
            </w:pPr>
            <w:r>
              <w:rPr/>
              <w:t>4,151</w:t>
            </w:r>
          </w:p>
        </w:tc>
        <w:tc>
          <w:tcPr>
            <w:tcW w:w="60" w:type="dxa"/>
            <w:tcBorders/>
            <w:shd w:fill="FFFFFF" w:val="clear"/>
            <w:vAlign w:val="center"/>
          </w:tcPr>
          <w:p>
            <w:pPr>
              <w:pStyle w:val="TableContents"/>
              <w:spacing w:before="0" w:after="283"/>
              <w:rPr/>
            </w:pPr>
            <w:r>
              <w:rPr/>
              <w:t> </w:t>
            </w:r>
          </w:p>
        </w:tc>
        <w:tc>
          <w:tcPr>
            <w:tcW w:w="120" w:type="dxa"/>
            <w:tcBorders/>
            <w:shd w:fill="FFFFFF" w:val="clear"/>
            <w:vAlign w:val="center"/>
          </w:tcPr>
          <w:p>
            <w:pPr>
              <w:pStyle w:val="TableContents"/>
              <w:spacing w:before="0" w:after="283"/>
              <w:rPr/>
            </w:pPr>
            <w:r>
              <w:rPr/>
              <w:t>  </w:t>
            </w:r>
          </w:p>
        </w:tc>
        <w:tc>
          <w:tcPr>
            <w:tcW w:w="264" w:type="dxa"/>
            <w:tcBorders/>
            <w:shd w:fill="FFFFFF" w:val="clear"/>
            <w:vAlign w:val="center"/>
          </w:tcPr>
          <w:p>
            <w:pPr>
              <w:pStyle w:val="TableContents"/>
              <w:spacing w:before="0" w:after="283"/>
              <w:rPr/>
            </w:pPr>
            <w:r>
              <w:rPr/>
              <w:t> </w:t>
            </w:r>
          </w:p>
        </w:tc>
        <w:tc>
          <w:tcPr>
            <w:tcW w:w="1511" w:type="dxa"/>
            <w:tcBorders/>
            <w:shd w:fill="FFFFFF" w:val="clear"/>
            <w:vAlign w:val="center"/>
          </w:tcPr>
          <w:p>
            <w:pPr>
              <w:pStyle w:val="TableContents"/>
              <w:spacing w:before="0" w:after="283"/>
              <w:jc w:val="right"/>
              <w:rPr/>
            </w:pPr>
            <w:r>
              <w:rPr/>
              <w:t>4,442</w:t>
            </w:r>
          </w:p>
        </w:tc>
        <w:tc>
          <w:tcPr>
            <w:tcW w:w="75" w:type="dxa"/>
            <w:tcBorders/>
            <w:shd w:fill="FFFFFF" w:val="clear"/>
            <w:vAlign w:val="center"/>
          </w:tcPr>
          <w:p>
            <w:pPr>
              <w:pStyle w:val="TableContents"/>
              <w:spacing w:before="0" w:after="283"/>
              <w:rPr/>
            </w:pPr>
            <w:r>
              <w:rPr/>
              <w:t> </w:t>
            </w:r>
          </w:p>
        </w:tc>
      </w:tr>
      <w:tr>
        <w:trPr/>
        <w:tc>
          <w:tcPr>
            <w:tcW w:w="399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Sales and use taxes</w:t>
            </w:r>
          </w:p>
        </w:tc>
        <w:tc>
          <w:tcPr>
            <w:tcW w:w="120" w:type="dxa"/>
            <w:tcBorders/>
            <w:shd w:fill="CCEEFF" w:val="clear"/>
            <w:vAlign w:val="center"/>
          </w:tcPr>
          <w:p>
            <w:pPr>
              <w:pStyle w:val="TableContents"/>
              <w:spacing w:before="0" w:after="283"/>
              <w:rPr/>
            </w:pPr>
            <w:r>
              <w:rPr/>
              <w:t>  </w:t>
            </w:r>
          </w:p>
        </w:tc>
        <w:tc>
          <w:tcPr>
            <w:tcW w:w="264" w:type="dxa"/>
            <w:tcBorders/>
            <w:shd w:fill="CCEEFF" w:val="clear"/>
            <w:vAlign w:val="center"/>
          </w:tcPr>
          <w:p>
            <w:pPr>
              <w:pStyle w:val="TableContents"/>
              <w:spacing w:before="0" w:after="283"/>
              <w:rPr/>
            </w:pPr>
            <w:r>
              <w:rPr/>
              <w:t> </w:t>
            </w:r>
          </w:p>
        </w:tc>
        <w:tc>
          <w:tcPr>
            <w:tcW w:w="1511" w:type="dxa"/>
            <w:tcBorders/>
            <w:shd w:fill="CCEEFF" w:val="clear"/>
            <w:vAlign w:val="center"/>
          </w:tcPr>
          <w:p>
            <w:pPr>
              <w:pStyle w:val="TableContents"/>
              <w:spacing w:before="0" w:after="283"/>
              <w:jc w:val="right"/>
              <w:rPr/>
            </w:pPr>
            <w:r>
              <w:rPr/>
              <w:t>1,385</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264" w:type="dxa"/>
            <w:tcBorders/>
            <w:shd w:fill="CCEEFF" w:val="clear"/>
            <w:vAlign w:val="center"/>
          </w:tcPr>
          <w:p>
            <w:pPr>
              <w:pStyle w:val="TableContents"/>
              <w:spacing w:before="0" w:after="283"/>
              <w:rPr/>
            </w:pPr>
            <w:r>
              <w:rPr/>
              <w:t> </w:t>
            </w:r>
          </w:p>
        </w:tc>
        <w:tc>
          <w:tcPr>
            <w:tcW w:w="1511" w:type="dxa"/>
            <w:tcBorders/>
            <w:shd w:fill="CCEEFF" w:val="clear"/>
            <w:vAlign w:val="center"/>
          </w:tcPr>
          <w:p>
            <w:pPr>
              <w:pStyle w:val="TableContents"/>
              <w:spacing w:before="0" w:after="283"/>
              <w:jc w:val="right"/>
              <w:rPr/>
            </w:pPr>
            <w:r>
              <w:rPr/>
              <w:t>4,000</w:t>
            </w:r>
          </w:p>
        </w:tc>
        <w:tc>
          <w:tcPr>
            <w:tcW w:w="75" w:type="dxa"/>
            <w:tcBorders/>
            <w:shd w:fill="CCEEFF" w:val="clear"/>
            <w:vAlign w:val="center"/>
          </w:tcPr>
          <w:p>
            <w:pPr>
              <w:pStyle w:val="TableContents"/>
              <w:spacing w:before="0" w:after="283"/>
              <w:rPr/>
            </w:pPr>
            <w:r>
              <w:rPr/>
              <w:t> </w:t>
            </w:r>
          </w:p>
        </w:tc>
      </w:tr>
      <w:tr>
        <w:trPr/>
        <w:tc>
          <w:tcPr>
            <w:tcW w:w="3995" w:type="dxa"/>
            <w:tcBorders/>
            <w:shd w:fill="FFFF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Customer deposits</w:t>
            </w:r>
          </w:p>
        </w:tc>
        <w:tc>
          <w:tcPr>
            <w:tcW w:w="120" w:type="dxa"/>
            <w:tcBorders/>
            <w:shd w:fill="FFFFFF" w:val="clear"/>
            <w:vAlign w:val="center"/>
          </w:tcPr>
          <w:p>
            <w:pPr>
              <w:pStyle w:val="TableContents"/>
              <w:spacing w:before="0" w:after="283"/>
              <w:rPr/>
            </w:pPr>
            <w:r>
              <w:rPr/>
              <w:t>  </w:t>
            </w:r>
          </w:p>
        </w:tc>
        <w:tc>
          <w:tcPr>
            <w:tcW w:w="264" w:type="dxa"/>
            <w:tcBorders/>
            <w:shd w:fill="FFFFFF" w:val="clear"/>
            <w:vAlign w:val="center"/>
          </w:tcPr>
          <w:p>
            <w:pPr>
              <w:pStyle w:val="TableContents"/>
              <w:spacing w:before="0" w:after="283"/>
              <w:rPr/>
            </w:pPr>
            <w:r>
              <w:rPr/>
              <w:t> </w:t>
            </w:r>
          </w:p>
        </w:tc>
        <w:tc>
          <w:tcPr>
            <w:tcW w:w="1511" w:type="dxa"/>
            <w:tcBorders/>
            <w:shd w:fill="FFFFFF" w:val="clear"/>
            <w:vAlign w:val="center"/>
          </w:tcPr>
          <w:p>
            <w:pPr>
              <w:pStyle w:val="TableContents"/>
              <w:spacing w:before="0" w:after="283"/>
              <w:jc w:val="right"/>
              <w:rPr/>
            </w:pPr>
            <w:r>
              <w:rPr/>
              <w:t>1,373</w:t>
            </w:r>
          </w:p>
        </w:tc>
        <w:tc>
          <w:tcPr>
            <w:tcW w:w="60" w:type="dxa"/>
            <w:tcBorders/>
            <w:shd w:fill="FFFFFF" w:val="clear"/>
            <w:vAlign w:val="center"/>
          </w:tcPr>
          <w:p>
            <w:pPr>
              <w:pStyle w:val="TableContents"/>
              <w:spacing w:before="0" w:after="283"/>
              <w:rPr/>
            </w:pPr>
            <w:r>
              <w:rPr/>
              <w:t> </w:t>
            </w:r>
          </w:p>
        </w:tc>
        <w:tc>
          <w:tcPr>
            <w:tcW w:w="120" w:type="dxa"/>
            <w:tcBorders/>
            <w:shd w:fill="FFFFFF" w:val="clear"/>
            <w:vAlign w:val="center"/>
          </w:tcPr>
          <w:p>
            <w:pPr>
              <w:pStyle w:val="TableContents"/>
              <w:spacing w:before="0" w:after="283"/>
              <w:rPr/>
            </w:pPr>
            <w:r>
              <w:rPr/>
              <w:t>  </w:t>
            </w:r>
          </w:p>
        </w:tc>
        <w:tc>
          <w:tcPr>
            <w:tcW w:w="264" w:type="dxa"/>
            <w:tcBorders/>
            <w:shd w:fill="FFFFFF" w:val="clear"/>
            <w:vAlign w:val="center"/>
          </w:tcPr>
          <w:p>
            <w:pPr>
              <w:pStyle w:val="TableContents"/>
              <w:spacing w:before="0" w:after="283"/>
              <w:rPr/>
            </w:pPr>
            <w:r>
              <w:rPr/>
              <w:t> </w:t>
            </w:r>
          </w:p>
        </w:tc>
        <w:tc>
          <w:tcPr>
            <w:tcW w:w="1511" w:type="dxa"/>
            <w:tcBorders/>
            <w:shd w:fill="FFFFFF" w:val="clear"/>
            <w:vAlign w:val="center"/>
          </w:tcPr>
          <w:p>
            <w:pPr>
              <w:pStyle w:val="TableContents"/>
              <w:spacing w:before="0" w:after="283"/>
              <w:jc w:val="right"/>
              <w:rPr/>
            </w:pPr>
            <w:r>
              <w:rPr/>
              <w:t>4,324</w:t>
            </w:r>
          </w:p>
        </w:tc>
        <w:tc>
          <w:tcPr>
            <w:tcW w:w="75" w:type="dxa"/>
            <w:tcBorders/>
            <w:shd w:fill="FFFFFF" w:val="clear"/>
            <w:vAlign w:val="center"/>
          </w:tcPr>
          <w:p>
            <w:pPr>
              <w:pStyle w:val="TableContents"/>
              <w:spacing w:before="0" w:after="283"/>
              <w:rPr/>
            </w:pPr>
            <w:r>
              <w:rPr/>
              <w:t> </w:t>
            </w:r>
          </w:p>
        </w:tc>
      </w:tr>
      <w:tr>
        <w:trPr/>
        <w:tc>
          <w:tcPr>
            <w:tcW w:w="399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Dividend payable</w:t>
            </w:r>
          </w:p>
        </w:tc>
        <w:tc>
          <w:tcPr>
            <w:tcW w:w="120" w:type="dxa"/>
            <w:tcBorders/>
            <w:shd w:fill="CCEEFF" w:val="clear"/>
            <w:vAlign w:val="center"/>
          </w:tcPr>
          <w:p>
            <w:pPr>
              <w:pStyle w:val="TableContents"/>
              <w:spacing w:before="0" w:after="283"/>
              <w:rPr/>
            </w:pPr>
            <w:r>
              <w:rPr/>
              <w:t>  </w:t>
            </w:r>
          </w:p>
        </w:tc>
        <w:tc>
          <w:tcPr>
            <w:tcW w:w="264" w:type="dxa"/>
            <w:tcBorders/>
            <w:shd w:fill="CCEEFF" w:val="clear"/>
            <w:vAlign w:val="center"/>
          </w:tcPr>
          <w:p>
            <w:pPr>
              <w:pStyle w:val="TableContents"/>
              <w:spacing w:before="0" w:after="283"/>
              <w:rPr/>
            </w:pPr>
            <w:r>
              <w:rPr/>
              <w:t> </w:t>
            </w:r>
          </w:p>
        </w:tc>
        <w:tc>
          <w:tcPr>
            <w:tcW w:w="1511"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264" w:type="dxa"/>
            <w:tcBorders/>
            <w:shd w:fill="CCEEFF" w:val="clear"/>
            <w:vAlign w:val="center"/>
          </w:tcPr>
          <w:p>
            <w:pPr>
              <w:pStyle w:val="TableContents"/>
              <w:spacing w:before="0" w:after="283"/>
              <w:rPr/>
            </w:pPr>
            <w:r>
              <w:rPr/>
              <w:t> </w:t>
            </w:r>
          </w:p>
        </w:tc>
        <w:tc>
          <w:tcPr>
            <w:tcW w:w="1511" w:type="dxa"/>
            <w:tcBorders/>
            <w:shd w:fill="CCEEFF" w:val="clear"/>
            <w:vAlign w:val="center"/>
          </w:tcPr>
          <w:p>
            <w:pPr>
              <w:pStyle w:val="TableContents"/>
              <w:spacing w:before="0" w:after="283"/>
              <w:jc w:val="right"/>
              <w:rPr/>
            </w:pPr>
            <w:r>
              <w:rPr/>
              <w:t>4,891</w:t>
            </w:r>
          </w:p>
        </w:tc>
        <w:tc>
          <w:tcPr>
            <w:tcW w:w="75" w:type="dxa"/>
            <w:tcBorders/>
            <w:shd w:fill="CCEEFF" w:val="clear"/>
            <w:vAlign w:val="center"/>
          </w:tcPr>
          <w:p>
            <w:pPr>
              <w:pStyle w:val="TableContents"/>
              <w:spacing w:before="0" w:after="283"/>
              <w:rPr/>
            </w:pPr>
            <w:r>
              <w:rPr/>
              <w:t> </w:t>
            </w:r>
          </w:p>
        </w:tc>
      </w:tr>
      <w:tr>
        <w:trPr/>
        <w:tc>
          <w:tcPr>
            <w:tcW w:w="3995" w:type="dxa"/>
            <w:tcBorders/>
            <w:shd w:fill="FFFF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Other (Note 10)</w:t>
            </w:r>
          </w:p>
        </w:tc>
        <w:tc>
          <w:tcPr>
            <w:tcW w:w="120" w:type="dxa"/>
            <w:tcBorders/>
            <w:shd w:fill="FFFFFF" w:val="clear"/>
            <w:vAlign w:val="center"/>
          </w:tcPr>
          <w:p>
            <w:pPr>
              <w:pStyle w:val="TableContents"/>
              <w:spacing w:before="0" w:after="283"/>
              <w:rPr/>
            </w:pPr>
            <w:r>
              <w:rPr/>
              <w:t>  </w:t>
            </w:r>
          </w:p>
        </w:tc>
        <w:tc>
          <w:tcPr>
            <w:tcW w:w="264" w:type="dxa"/>
            <w:tcBorders/>
            <w:shd w:fill="FFFFFF" w:val="clear"/>
            <w:vAlign w:val="center"/>
          </w:tcPr>
          <w:p>
            <w:pPr>
              <w:pStyle w:val="TableContents"/>
              <w:spacing w:before="0" w:after="283"/>
              <w:rPr/>
            </w:pPr>
            <w:r>
              <w:rPr/>
              <w:t> </w:t>
            </w:r>
          </w:p>
        </w:tc>
        <w:tc>
          <w:tcPr>
            <w:tcW w:w="1511" w:type="dxa"/>
            <w:tcBorders/>
            <w:shd w:fill="FFFFFF" w:val="clear"/>
            <w:vAlign w:val="center"/>
          </w:tcPr>
          <w:p>
            <w:pPr>
              <w:pStyle w:val="TableContents"/>
              <w:spacing w:before="0" w:after="283"/>
              <w:jc w:val="right"/>
              <w:rPr/>
            </w:pPr>
            <w:r>
              <w:rPr/>
              <w:t>8,753</w:t>
            </w:r>
          </w:p>
        </w:tc>
        <w:tc>
          <w:tcPr>
            <w:tcW w:w="60" w:type="dxa"/>
            <w:tcBorders/>
            <w:shd w:fill="FFFFFF" w:val="clear"/>
            <w:vAlign w:val="center"/>
          </w:tcPr>
          <w:p>
            <w:pPr>
              <w:pStyle w:val="TableContents"/>
              <w:spacing w:before="0" w:after="283"/>
              <w:rPr/>
            </w:pPr>
            <w:r>
              <w:rPr/>
              <w:t> </w:t>
            </w:r>
          </w:p>
        </w:tc>
        <w:tc>
          <w:tcPr>
            <w:tcW w:w="120" w:type="dxa"/>
            <w:tcBorders/>
            <w:shd w:fill="FFFFFF" w:val="clear"/>
            <w:vAlign w:val="center"/>
          </w:tcPr>
          <w:p>
            <w:pPr>
              <w:pStyle w:val="TableContents"/>
              <w:spacing w:before="0" w:after="283"/>
              <w:rPr/>
            </w:pPr>
            <w:r>
              <w:rPr/>
              <w:t>  </w:t>
            </w:r>
          </w:p>
        </w:tc>
        <w:tc>
          <w:tcPr>
            <w:tcW w:w="264" w:type="dxa"/>
            <w:tcBorders/>
            <w:shd w:fill="FFFFFF" w:val="clear"/>
            <w:vAlign w:val="center"/>
          </w:tcPr>
          <w:p>
            <w:pPr>
              <w:pStyle w:val="TableContents"/>
              <w:spacing w:before="0" w:after="283"/>
              <w:rPr/>
            </w:pPr>
            <w:r>
              <w:rPr/>
              <w:t> </w:t>
            </w:r>
          </w:p>
        </w:tc>
        <w:tc>
          <w:tcPr>
            <w:tcW w:w="1511" w:type="dxa"/>
            <w:tcBorders/>
            <w:shd w:fill="FFFFFF" w:val="clear"/>
            <w:vAlign w:val="center"/>
          </w:tcPr>
          <w:p>
            <w:pPr>
              <w:pStyle w:val="TableContents"/>
              <w:spacing w:before="0" w:after="283"/>
              <w:jc w:val="right"/>
              <w:rPr/>
            </w:pPr>
            <w:r>
              <w:rPr/>
              <w:t>16,505</w:t>
            </w:r>
          </w:p>
        </w:tc>
        <w:tc>
          <w:tcPr>
            <w:tcW w:w="75" w:type="dxa"/>
            <w:tcBorders/>
            <w:shd w:fill="FFFFFF" w:val="clear"/>
            <w:vAlign w:val="center"/>
          </w:tcPr>
          <w:p>
            <w:pPr>
              <w:pStyle w:val="TableContents"/>
              <w:spacing w:before="0" w:after="283"/>
              <w:rPr/>
            </w:pPr>
            <w:r>
              <w:rPr/>
              <w:t> </w:t>
            </w:r>
          </w:p>
        </w:tc>
      </w:tr>
      <w:tr>
        <w:trPr/>
        <w:tc>
          <w:tcPr>
            <w:tcW w:w="3995" w:type="dxa"/>
            <w:tcBorders/>
            <w:shd w:fill="FFFFFF" w:val="clear"/>
            <w:vAlign w:val="center"/>
          </w:tcPr>
          <w:p>
            <w:pPr>
              <w:pStyle w:val="TableContents"/>
              <w:spacing w:before="0" w:after="283"/>
              <w:rPr/>
            </w:pPr>
            <w:r>
              <w:rPr/>
              <w:t> </w:t>
            </w:r>
          </w:p>
        </w:tc>
        <w:tc>
          <w:tcPr>
            <w:tcW w:w="120" w:type="dxa"/>
            <w:tcBorders/>
            <w:shd w:fill="FFFFFF" w:val="clear"/>
            <w:vAlign w:val="center"/>
          </w:tcPr>
          <w:p>
            <w:pPr>
              <w:pStyle w:val="TableContents"/>
              <w:spacing w:before="0" w:after="283"/>
              <w:rPr/>
            </w:pPr>
            <w:r>
              <w:rPr/>
              <w:t>  </w:t>
            </w:r>
          </w:p>
        </w:tc>
        <w:tc>
          <w:tcPr>
            <w:tcW w:w="264" w:type="dxa"/>
            <w:tcBorders/>
            <w:shd w:fill="FFFFFF" w:val="clear"/>
            <w:vAlign w:val="center"/>
          </w:tcPr>
          <w:p>
            <w:pPr>
              <w:pStyle w:val="TableContents"/>
              <w:spacing w:before="0" w:after="0"/>
              <w:rPr>
                <w:bdr w:val="single" w:sz="2" w:space="1" w:color="000000"/>
              </w:rPr>
            </w:pPr>
            <w:r>
              <w:rPr>
                <w:bdr w:val="single" w:sz="2" w:space="1" w:color="000000"/>
              </w:rPr>
              <w:t> </w:t>
            </w:r>
          </w:p>
        </w:tc>
        <w:tc>
          <w:tcPr>
            <w:tcW w:w="1511" w:type="dxa"/>
            <w:tcBorders/>
            <w:shd w:fill="FFFFFF" w:val="clear"/>
            <w:vAlign w:val="center"/>
          </w:tcPr>
          <w:p>
            <w:pPr>
              <w:pStyle w:val="TableContents"/>
              <w:spacing w:before="0" w:after="0"/>
              <w:rPr>
                <w:bdr w:val="single" w:sz="2" w:space="1" w:color="000000"/>
              </w:rPr>
            </w:pPr>
            <w:r>
              <w:rPr>
                <w:bdr w:val="single" w:sz="2" w:space="1" w:color="000000"/>
              </w:rPr>
              <w:t> </w:t>
            </w:r>
          </w:p>
        </w:tc>
        <w:tc>
          <w:tcPr>
            <w:tcW w:w="60" w:type="dxa"/>
            <w:tcBorders/>
            <w:shd w:fill="FFFFFF" w:val="clear"/>
            <w:vAlign w:val="center"/>
          </w:tcPr>
          <w:p>
            <w:pPr>
              <w:pStyle w:val="TableContents"/>
              <w:spacing w:before="0" w:after="283"/>
              <w:rPr/>
            </w:pPr>
            <w:r>
              <w:rPr/>
              <w:t> </w:t>
            </w:r>
          </w:p>
        </w:tc>
        <w:tc>
          <w:tcPr>
            <w:tcW w:w="120" w:type="dxa"/>
            <w:tcBorders/>
            <w:shd w:fill="FFFFFF" w:val="clear"/>
            <w:vAlign w:val="center"/>
          </w:tcPr>
          <w:p>
            <w:pPr>
              <w:pStyle w:val="TableContents"/>
              <w:spacing w:before="0" w:after="283"/>
              <w:rPr/>
            </w:pPr>
            <w:r>
              <w:rPr/>
              <w:t>  </w:t>
            </w:r>
          </w:p>
        </w:tc>
        <w:tc>
          <w:tcPr>
            <w:tcW w:w="264" w:type="dxa"/>
            <w:tcBorders/>
            <w:shd w:fill="FFFFFF" w:val="clear"/>
            <w:vAlign w:val="center"/>
          </w:tcPr>
          <w:p>
            <w:pPr>
              <w:pStyle w:val="TableContents"/>
              <w:spacing w:before="0" w:after="0"/>
              <w:rPr>
                <w:bdr w:val="single" w:sz="2" w:space="1" w:color="000000"/>
              </w:rPr>
            </w:pPr>
            <w:r>
              <w:rPr>
                <w:bdr w:val="single" w:sz="2" w:space="1" w:color="000000"/>
              </w:rPr>
              <w:t> </w:t>
            </w:r>
          </w:p>
        </w:tc>
        <w:tc>
          <w:tcPr>
            <w:tcW w:w="1511" w:type="dxa"/>
            <w:tcBorders/>
            <w:shd w:fill="FFFFFF" w:val="clear"/>
            <w:vAlign w:val="center"/>
          </w:tcPr>
          <w:p>
            <w:pPr>
              <w:pStyle w:val="TableContents"/>
              <w:spacing w:before="0" w:after="0"/>
              <w:rPr>
                <w:bdr w:val="single" w:sz="2" w:space="1" w:color="000000"/>
              </w:rPr>
            </w:pPr>
            <w:r>
              <w:rPr>
                <w:bdr w:val="single" w:sz="2" w:space="1" w:color="000000"/>
              </w:rPr>
              <w:t> </w:t>
            </w:r>
          </w:p>
        </w:tc>
        <w:tc>
          <w:tcPr>
            <w:tcW w:w="75" w:type="dxa"/>
            <w:tcBorders/>
            <w:shd w:fill="FFFFFF" w:val="clear"/>
            <w:vAlign w:val="center"/>
          </w:tcPr>
          <w:p>
            <w:pPr>
              <w:pStyle w:val="TableContents"/>
              <w:spacing w:before="0" w:after="283"/>
              <w:rPr/>
            </w:pPr>
            <w:r>
              <w:rPr/>
              <w:t> </w:t>
            </w:r>
          </w:p>
        </w:tc>
      </w:tr>
      <w:tr>
        <w:trPr/>
        <w:tc>
          <w:tcPr>
            <w:tcW w:w="399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Total accrued liabilities</w:t>
            </w:r>
          </w:p>
        </w:tc>
        <w:tc>
          <w:tcPr>
            <w:tcW w:w="120" w:type="dxa"/>
            <w:tcBorders/>
            <w:shd w:fill="CCEEFF" w:val="clear"/>
            <w:vAlign w:val="center"/>
          </w:tcPr>
          <w:p>
            <w:pPr>
              <w:pStyle w:val="TableContents"/>
              <w:spacing w:before="0" w:after="283"/>
              <w:rPr/>
            </w:pPr>
            <w:r>
              <w:rPr/>
              <w:t>  </w:t>
            </w:r>
          </w:p>
        </w:tc>
        <w:tc>
          <w:tcPr>
            <w:tcW w:w="264" w:type="dxa"/>
            <w:tcBorders/>
            <w:shd w:fill="CCEEFF" w:val="clear"/>
            <w:vAlign w:val="center"/>
          </w:tcPr>
          <w:p>
            <w:pPr>
              <w:pStyle w:val="TableContents"/>
              <w:spacing w:before="0" w:after="283"/>
              <w:rPr/>
            </w:pPr>
            <w:r>
              <w:rPr/>
              <w:t>$</w:t>
            </w:r>
          </w:p>
        </w:tc>
        <w:tc>
          <w:tcPr>
            <w:tcW w:w="1511" w:type="dxa"/>
            <w:tcBorders/>
            <w:shd w:fill="CCEEFF" w:val="clear"/>
            <w:vAlign w:val="center"/>
          </w:tcPr>
          <w:p>
            <w:pPr>
              <w:pStyle w:val="TableContents"/>
              <w:spacing w:before="0" w:after="283"/>
              <w:jc w:val="right"/>
              <w:rPr/>
            </w:pPr>
            <w:r>
              <w:rPr/>
              <w:t>234,790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264" w:type="dxa"/>
            <w:tcBorders/>
            <w:shd w:fill="CCEEFF" w:val="clear"/>
            <w:vAlign w:val="center"/>
          </w:tcPr>
          <w:p>
            <w:pPr>
              <w:pStyle w:val="TableContents"/>
              <w:spacing w:before="0" w:after="283"/>
              <w:rPr/>
            </w:pPr>
            <w:r>
              <w:rPr/>
              <w:t>$</w:t>
            </w:r>
          </w:p>
        </w:tc>
        <w:tc>
          <w:tcPr>
            <w:tcW w:w="1511" w:type="dxa"/>
            <w:tcBorders/>
            <w:shd w:fill="CCEEFF" w:val="clear"/>
            <w:vAlign w:val="center"/>
          </w:tcPr>
          <w:p>
            <w:pPr>
              <w:pStyle w:val="TableContents"/>
              <w:spacing w:before="0" w:after="283"/>
              <w:jc w:val="right"/>
              <w:rPr/>
            </w:pPr>
            <w:r>
              <w:rPr/>
              <w:t>207,452</w:t>
            </w:r>
          </w:p>
        </w:tc>
        <w:tc>
          <w:tcPr>
            <w:tcW w:w="75" w:type="dxa"/>
            <w:tcBorders/>
            <w:shd w:fill="CCEEFF" w:val="clear"/>
            <w:vAlign w:val="center"/>
          </w:tcPr>
          <w:p>
            <w:pPr>
              <w:pStyle w:val="TableContents"/>
              <w:spacing w:before="0" w:after="283"/>
              <w:rPr/>
            </w:pPr>
            <w:r>
              <w:rPr/>
              <w:t> </w:t>
            </w:r>
          </w:p>
        </w:tc>
      </w:tr>
      <w:tr>
        <w:trPr/>
        <w:tc>
          <w:tcPr>
            <w:tcW w:w="3995" w:type="dxa"/>
            <w:tcBorders/>
            <w:shd w:fill="FFFFFF" w:val="clear"/>
            <w:vAlign w:val="center"/>
          </w:tcPr>
          <w:p>
            <w:pPr>
              <w:pStyle w:val="TableContents"/>
              <w:spacing w:before="0" w:after="283"/>
              <w:rPr/>
            </w:pPr>
            <w:r>
              <w:rPr/>
              <w:t> </w:t>
            </w:r>
          </w:p>
        </w:tc>
        <w:tc>
          <w:tcPr>
            <w:tcW w:w="120" w:type="dxa"/>
            <w:tcBorders/>
            <w:shd w:fill="FFFFFF" w:val="clear"/>
            <w:vAlign w:val="center"/>
          </w:tcPr>
          <w:p>
            <w:pPr>
              <w:pStyle w:val="TableContents"/>
              <w:spacing w:before="0" w:after="283"/>
              <w:rPr/>
            </w:pPr>
            <w:r>
              <w:rPr/>
              <w:t>  </w:t>
            </w:r>
          </w:p>
        </w:tc>
        <w:tc>
          <w:tcPr>
            <w:tcW w:w="264" w:type="dxa"/>
            <w:tcBorders/>
            <w:shd w:fill="FFFFFF" w:val="clear"/>
            <w:vAlign w:val="center"/>
          </w:tcPr>
          <w:p>
            <w:pPr>
              <w:pStyle w:val="TableContents"/>
              <w:spacing w:before="0" w:after="0"/>
              <w:rPr>
                <w:bdr w:val="double" w:sz="6" w:space="1" w:color="000000"/>
              </w:rPr>
            </w:pPr>
            <w:r>
              <w:rPr>
                <w:bdr w:val="double" w:sz="6" w:space="1" w:color="000000"/>
              </w:rPr>
              <w:t> </w:t>
            </w:r>
          </w:p>
        </w:tc>
        <w:tc>
          <w:tcPr>
            <w:tcW w:w="1511" w:type="dxa"/>
            <w:tcBorders/>
            <w:shd w:fill="FFFFFF" w:val="clear"/>
            <w:vAlign w:val="center"/>
          </w:tcPr>
          <w:p>
            <w:pPr>
              <w:pStyle w:val="TableContents"/>
              <w:spacing w:before="0" w:after="0"/>
              <w:rPr>
                <w:bdr w:val="double" w:sz="6" w:space="1" w:color="000000"/>
              </w:rPr>
            </w:pPr>
            <w:r>
              <w:rPr>
                <w:bdr w:val="double" w:sz="6" w:space="1" w:color="000000"/>
              </w:rPr>
              <w:t> </w:t>
            </w:r>
          </w:p>
        </w:tc>
        <w:tc>
          <w:tcPr>
            <w:tcW w:w="60" w:type="dxa"/>
            <w:tcBorders/>
            <w:shd w:fill="FFFFFF" w:val="clear"/>
            <w:vAlign w:val="center"/>
          </w:tcPr>
          <w:p>
            <w:pPr>
              <w:pStyle w:val="TableContents"/>
              <w:spacing w:before="0" w:after="283"/>
              <w:rPr/>
            </w:pPr>
            <w:r>
              <w:rPr/>
              <w:t> </w:t>
            </w:r>
          </w:p>
        </w:tc>
        <w:tc>
          <w:tcPr>
            <w:tcW w:w="120" w:type="dxa"/>
            <w:tcBorders/>
            <w:shd w:fill="FFFFFF" w:val="clear"/>
            <w:vAlign w:val="center"/>
          </w:tcPr>
          <w:p>
            <w:pPr>
              <w:pStyle w:val="TableContents"/>
              <w:spacing w:before="0" w:after="283"/>
              <w:rPr/>
            </w:pPr>
            <w:r>
              <w:rPr/>
              <w:t>  </w:t>
            </w:r>
          </w:p>
        </w:tc>
        <w:tc>
          <w:tcPr>
            <w:tcW w:w="264" w:type="dxa"/>
            <w:tcBorders/>
            <w:shd w:fill="FFFFFF" w:val="clear"/>
            <w:vAlign w:val="center"/>
          </w:tcPr>
          <w:p>
            <w:pPr>
              <w:pStyle w:val="TableContents"/>
              <w:spacing w:before="0" w:after="0"/>
              <w:rPr>
                <w:bdr w:val="double" w:sz="6" w:space="1" w:color="000000"/>
              </w:rPr>
            </w:pPr>
            <w:r>
              <w:rPr>
                <w:bdr w:val="double" w:sz="6" w:space="1" w:color="000000"/>
              </w:rPr>
              <w:t> </w:t>
            </w:r>
          </w:p>
        </w:tc>
        <w:tc>
          <w:tcPr>
            <w:tcW w:w="1511" w:type="dxa"/>
            <w:tcBorders/>
            <w:shd w:fill="FFFFFF" w:val="clear"/>
            <w:vAlign w:val="center"/>
          </w:tcPr>
          <w:p>
            <w:pPr>
              <w:pStyle w:val="TableContents"/>
              <w:spacing w:before="0" w:after="0"/>
              <w:rPr>
                <w:bdr w:val="double" w:sz="6" w:space="1" w:color="000000"/>
              </w:rPr>
            </w:pPr>
            <w:r>
              <w:rPr>
                <w:bdr w:val="double" w:sz="6" w:space="1" w:color="000000"/>
              </w:rPr>
              <w:t> </w:t>
            </w:r>
          </w:p>
        </w:tc>
        <w:tc>
          <w:tcPr>
            <w:tcW w:w="75" w:type="dxa"/>
            <w:tcBorders/>
            <w:shd w:fill="FFFFFF" w:val="clear"/>
            <w:vAlign w:val="center"/>
          </w:tcPr>
          <w:p>
            <w:pPr>
              <w:pStyle w:val="TableContents"/>
              <w:spacing w:before="0" w:after="283"/>
              <w:rPr/>
            </w:pPr>
            <w:r>
              <w:rPr/>
              <w:t> </w:t>
            </w:r>
          </w:p>
        </w:tc>
      </w:tr>
    </w:tbl>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181"/>
        <w:gridCol w:w="10024"/>
      </w:tblGrid>
      <w:tr>
        <w:trPr/>
        <w:tc>
          <w:tcPr>
            <w:tcW w:w="181" w:type="dxa"/>
            <w:tcBorders/>
            <w:shd w:fill="auto" w:val="clear"/>
            <w:vAlign w:val="center"/>
          </w:tcPr>
          <w:p>
            <w:pPr>
              <w:pStyle w:val="TableContents"/>
              <w:spacing w:before="0" w:after="0"/>
              <w:jc w:val="left"/>
              <w:rPr>
                <w:sz w:val="14"/>
              </w:rPr>
            </w:pPr>
            <w:r>
              <w:rPr>
                <w:sz w:val="14"/>
              </w:rPr>
              <w:t>(1)</w:t>
            </w:r>
          </w:p>
        </w:tc>
        <w:tc>
          <w:tcPr>
            <w:tcW w:w="10024"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The balance of leasehold incentive receivables of $8,763 and $6,339 at January 31, 2021 and February 2, 2020, respectively, is reflected as a reduction of the current portion of operating lease liabilities. </w:t>
            </w:r>
          </w:p>
        </w:tc>
      </w:tr>
    </w:tbl>
    <w:p>
      <w:pPr>
        <w:pStyle w:val="TextBody"/>
        <w:spacing w:before="360" w:after="0"/>
        <w:jc w:val="left"/>
        <w:rPr>
          <w:rFonts w:ascii="Times New Roman" w:hAnsi="Times New Roman"/>
          <w:b/>
          <w:spacing w:val="0"/>
          <w:sz w:val="20"/>
        </w:rPr>
      </w:pPr>
      <w:r>
        <w:rPr>
          <w:rFonts w:ascii="Times New Roman" w:hAnsi="Times New Roman"/>
          <w:b/>
          <w:spacing w:val="0"/>
          <w:sz w:val="20"/>
        </w:rPr>
        <w:t xml:space="preserve">Note 5: Debt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Long-term debt consists of the following: </w:t>
      </w:r>
    </w:p>
    <w:p>
      <w:pPr>
        <w:pStyle w:val="TextBody"/>
        <w:spacing w:before="0" w:after="0"/>
        <w:jc w:val="left"/>
        <w:rPr>
          <w:spacing w:val="0"/>
        </w:rPr>
      </w:pPr>
      <w:r>
        <w:rPr>
          <w:spacing w:val="0"/>
        </w:rPr>
        <w:t> </w:t>
      </w:r>
    </w:p>
    <w:tbl>
      <w:tblPr>
        <w:tblW w:w="5125" w:type="dxa"/>
        <w:jc w:val="left"/>
        <w:tblInd w:w="0" w:type="dxa"/>
        <w:tblCellMar>
          <w:top w:w="0" w:type="dxa"/>
          <w:left w:w="0" w:type="dxa"/>
          <w:bottom w:w="0" w:type="dxa"/>
          <w:right w:w="0" w:type="dxa"/>
        </w:tblCellMar>
      </w:tblPr>
      <w:tblGrid>
        <w:gridCol w:w="2090"/>
        <w:gridCol w:w="120"/>
        <w:gridCol w:w="183"/>
        <w:gridCol w:w="1052"/>
        <w:gridCol w:w="155"/>
        <w:gridCol w:w="120"/>
        <w:gridCol w:w="183"/>
        <w:gridCol w:w="1052"/>
        <w:gridCol w:w="170"/>
      </w:tblGrid>
      <w:tr>
        <w:trPr/>
        <w:tc>
          <w:tcPr>
            <w:tcW w:w="209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83" w:type="dxa"/>
            <w:tcBorders/>
            <w:shd w:fill="auto" w:val="clear"/>
            <w:vAlign w:val="center"/>
          </w:tcPr>
          <w:p>
            <w:pPr>
              <w:pStyle w:val="TableContents"/>
              <w:spacing w:before="0" w:after="283"/>
              <w:rPr>
                <w:sz w:val="4"/>
                <w:szCs w:val="4"/>
              </w:rPr>
            </w:pPr>
            <w:r>
              <w:rPr>
                <w:sz w:val="4"/>
                <w:szCs w:val="4"/>
              </w:rPr>
            </w:r>
          </w:p>
        </w:tc>
        <w:tc>
          <w:tcPr>
            <w:tcW w:w="1052"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83" w:type="dxa"/>
            <w:tcBorders/>
            <w:shd w:fill="auto" w:val="clear"/>
            <w:vAlign w:val="center"/>
          </w:tcPr>
          <w:p>
            <w:pPr>
              <w:pStyle w:val="TableContents"/>
              <w:spacing w:before="0" w:after="283"/>
              <w:rPr>
                <w:sz w:val="4"/>
                <w:szCs w:val="4"/>
              </w:rPr>
            </w:pPr>
            <w:r>
              <w:rPr>
                <w:sz w:val="4"/>
                <w:szCs w:val="4"/>
              </w:rPr>
            </w:r>
          </w:p>
        </w:tc>
        <w:tc>
          <w:tcPr>
            <w:tcW w:w="1052"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r>
      <w:tr>
        <w:trPr/>
        <w:tc>
          <w:tcPr>
            <w:tcW w:w="209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235" w:type="dxa"/>
            <w:gridSpan w:val="2"/>
            <w:tcBorders/>
            <w:shd w:fill="auto" w:val="clear"/>
            <w:vAlign w:val="center"/>
          </w:tcPr>
          <w:p>
            <w:pPr>
              <w:pStyle w:val="TableContents"/>
              <w:spacing w:before="0" w:after="0"/>
              <w:jc w:val="center"/>
              <w:rPr>
                <w:b/>
                <w:spacing w:val="0"/>
              </w:rPr>
            </w:pPr>
            <w:r>
              <w:rPr>
                <w:b/>
                <w:spacing w:val="0"/>
              </w:rPr>
              <w:t>January 31,</w:t>
              <w:br/>
              <w:t>2021</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235" w:type="dxa"/>
            <w:gridSpan w:val="2"/>
            <w:tcBorders/>
            <w:shd w:fill="auto" w:val="clear"/>
            <w:vAlign w:val="center"/>
          </w:tcPr>
          <w:p>
            <w:pPr>
              <w:pStyle w:val="TableContents"/>
              <w:spacing w:before="0" w:after="0"/>
              <w:jc w:val="center"/>
              <w:rPr>
                <w:b/>
                <w:spacing w:val="0"/>
              </w:rPr>
            </w:pPr>
            <w:r>
              <w:rPr>
                <w:b/>
                <w:spacing w:val="0"/>
              </w:rPr>
              <w:t>February 2,</w:t>
              <w:br/>
              <w:t>2020</w:t>
            </w:r>
          </w:p>
        </w:tc>
        <w:tc>
          <w:tcPr>
            <w:tcW w:w="170" w:type="dxa"/>
            <w:tcBorders/>
            <w:shd w:fill="auto" w:val="clear"/>
            <w:vAlign w:val="center"/>
          </w:tcPr>
          <w:p>
            <w:pPr>
              <w:pStyle w:val="TableContents"/>
              <w:spacing w:before="0" w:after="283"/>
              <w:rPr/>
            </w:pPr>
            <w:r>
              <w:rPr/>
              <w:t> </w:t>
            </w:r>
          </w:p>
        </w:tc>
      </w:tr>
      <w:tr>
        <w:trPr/>
        <w:tc>
          <w:tcPr>
            <w:tcW w:w="209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Credit Facility—term</w:t>
            </w:r>
          </w:p>
        </w:tc>
        <w:tc>
          <w:tcPr>
            <w:tcW w:w="120" w:type="dxa"/>
            <w:tcBorders/>
            <w:shd w:fill="CCEEFF" w:val="clear"/>
            <w:vAlign w:val="center"/>
          </w:tcPr>
          <w:p>
            <w:pPr>
              <w:pStyle w:val="TableContents"/>
              <w:spacing w:before="0" w:after="283"/>
              <w:rPr/>
            </w:pPr>
            <w:r>
              <w:rPr/>
              <w:t>  </w:t>
            </w:r>
          </w:p>
        </w:tc>
        <w:tc>
          <w:tcPr>
            <w:tcW w:w="183" w:type="dxa"/>
            <w:tcBorders/>
            <w:shd w:fill="CCEEFF" w:val="clear"/>
            <w:vAlign w:val="center"/>
          </w:tcPr>
          <w:p>
            <w:pPr>
              <w:pStyle w:val="TableContents"/>
              <w:spacing w:before="0" w:after="283"/>
              <w:rPr/>
            </w:pPr>
            <w:r>
              <w:rPr/>
              <w:t>$</w:t>
            </w:r>
          </w:p>
        </w:tc>
        <w:tc>
          <w:tcPr>
            <w:tcW w:w="1052" w:type="dxa"/>
            <w:tcBorders/>
            <w:shd w:fill="CCEEFF" w:val="clear"/>
            <w:vAlign w:val="center"/>
          </w:tcPr>
          <w:p>
            <w:pPr>
              <w:pStyle w:val="TableContents"/>
              <w:spacing w:before="0" w:after="283"/>
              <w:jc w:val="right"/>
              <w:rPr/>
            </w:pPr>
            <w:r>
              <w:rPr/>
              <w:t>—  </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83" w:type="dxa"/>
            <w:tcBorders/>
            <w:shd w:fill="CCEEFF" w:val="clear"/>
            <w:vAlign w:val="center"/>
          </w:tcPr>
          <w:p>
            <w:pPr>
              <w:pStyle w:val="TableContents"/>
              <w:spacing w:before="0" w:after="283"/>
              <w:rPr/>
            </w:pPr>
            <w:r>
              <w:rPr/>
              <w:t>$</w:t>
            </w:r>
          </w:p>
        </w:tc>
        <w:tc>
          <w:tcPr>
            <w:tcW w:w="1052" w:type="dxa"/>
            <w:tcBorders/>
            <w:shd w:fill="CCEEFF" w:val="clear"/>
            <w:vAlign w:val="center"/>
          </w:tcPr>
          <w:p>
            <w:pPr>
              <w:pStyle w:val="TableContents"/>
              <w:spacing w:before="0" w:after="283"/>
              <w:jc w:val="right"/>
              <w:rPr/>
            </w:pPr>
            <w:r>
              <w:rPr/>
              <w:t>266,250</w:t>
            </w:r>
          </w:p>
        </w:tc>
        <w:tc>
          <w:tcPr>
            <w:tcW w:w="170" w:type="dxa"/>
            <w:tcBorders/>
            <w:shd w:fill="CCEEFF" w:val="clear"/>
            <w:vAlign w:val="center"/>
          </w:tcPr>
          <w:p>
            <w:pPr>
              <w:pStyle w:val="TableContents"/>
              <w:spacing w:before="0" w:after="283"/>
              <w:rPr/>
            </w:pPr>
            <w:r>
              <w:rPr/>
              <w:t> </w:t>
            </w:r>
          </w:p>
        </w:tc>
      </w:tr>
      <w:tr>
        <w:trPr/>
        <w:tc>
          <w:tcPr>
            <w:tcW w:w="209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Credit Facility—revolver</w:t>
            </w:r>
          </w:p>
        </w:tc>
        <w:tc>
          <w:tcPr>
            <w:tcW w:w="120" w:type="dxa"/>
            <w:tcBorders/>
            <w:shd w:fill="auto" w:val="clear"/>
            <w:vAlign w:val="center"/>
          </w:tcPr>
          <w:p>
            <w:pPr>
              <w:pStyle w:val="TableContents"/>
              <w:spacing w:before="0" w:after="283"/>
              <w:rPr/>
            </w:pPr>
            <w:r>
              <w:rPr/>
              <w:t>  </w:t>
            </w:r>
          </w:p>
        </w:tc>
        <w:tc>
          <w:tcPr>
            <w:tcW w:w="183" w:type="dxa"/>
            <w:tcBorders/>
            <w:shd w:fill="auto" w:val="clear"/>
            <w:vAlign w:val="center"/>
          </w:tcPr>
          <w:p>
            <w:pPr>
              <w:pStyle w:val="TableContents"/>
              <w:spacing w:before="0" w:after="283"/>
              <w:rPr/>
            </w:pPr>
            <w:r>
              <w:rPr/>
              <w:t> </w:t>
            </w:r>
          </w:p>
        </w:tc>
        <w:tc>
          <w:tcPr>
            <w:tcW w:w="1052" w:type="dxa"/>
            <w:tcBorders/>
            <w:shd w:fill="auto" w:val="clear"/>
            <w:vAlign w:val="center"/>
          </w:tcPr>
          <w:p>
            <w:pPr>
              <w:pStyle w:val="TableContents"/>
              <w:spacing w:before="0" w:after="283"/>
              <w:jc w:val="right"/>
              <w:rPr/>
            </w:pPr>
            <w:r>
              <w:rPr/>
              <w:t>60,000</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83" w:type="dxa"/>
            <w:tcBorders/>
            <w:shd w:fill="auto" w:val="clear"/>
            <w:vAlign w:val="center"/>
          </w:tcPr>
          <w:p>
            <w:pPr>
              <w:pStyle w:val="TableContents"/>
              <w:spacing w:before="0" w:after="283"/>
              <w:rPr/>
            </w:pPr>
            <w:r>
              <w:rPr/>
              <w:t> </w:t>
            </w:r>
          </w:p>
        </w:tc>
        <w:tc>
          <w:tcPr>
            <w:tcW w:w="1052" w:type="dxa"/>
            <w:tcBorders/>
            <w:shd w:fill="auto" w:val="clear"/>
            <w:vAlign w:val="center"/>
          </w:tcPr>
          <w:p>
            <w:pPr>
              <w:pStyle w:val="TableContents"/>
              <w:spacing w:before="0" w:after="283"/>
              <w:jc w:val="right"/>
              <w:rPr/>
            </w:pPr>
            <w:r>
              <w:rPr/>
              <w:t>382,000</w:t>
            </w:r>
          </w:p>
        </w:tc>
        <w:tc>
          <w:tcPr>
            <w:tcW w:w="170" w:type="dxa"/>
            <w:tcBorders/>
            <w:shd w:fill="auto" w:val="clear"/>
            <w:vAlign w:val="center"/>
          </w:tcPr>
          <w:p>
            <w:pPr>
              <w:pStyle w:val="TableContents"/>
              <w:spacing w:before="0" w:after="283"/>
              <w:rPr/>
            </w:pPr>
            <w:r>
              <w:rPr/>
              <w:t> </w:t>
            </w:r>
          </w:p>
        </w:tc>
      </w:tr>
      <w:tr>
        <w:trPr/>
        <w:tc>
          <w:tcPr>
            <w:tcW w:w="209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Senior secured notes</w:t>
            </w:r>
          </w:p>
        </w:tc>
        <w:tc>
          <w:tcPr>
            <w:tcW w:w="120" w:type="dxa"/>
            <w:tcBorders/>
            <w:shd w:fill="CCEEFF" w:val="clear"/>
            <w:vAlign w:val="center"/>
          </w:tcPr>
          <w:p>
            <w:pPr>
              <w:pStyle w:val="TableContents"/>
              <w:spacing w:before="0" w:after="283"/>
              <w:rPr/>
            </w:pPr>
            <w:r>
              <w:rPr/>
              <w:t>  </w:t>
            </w:r>
          </w:p>
        </w:tc>
        <w:tc>
          <w:tcPr>
            <w:tcW w:w="183" w:type="dxa"/>
            <w:tcBorders/>
            <w:shd w:fill="CCEEFF" w:val="clear"/>
            <w:vAlign w:val="center"/>
          </w:tcPr>
          <w:p>
            <w:pPr>
              <w:pStyle w:val="TableContents"/>
              <w:spacing w:before="0" w:after="283"/>
              <w:rPr/>
            </w:pPr>
            <w:r>
              <w:rPr/>
              <w:t> </w:t>
            </w:r>
          </w:p>
        </w:tc>
        <w:tc>
          <w:tcPr>
            <w:tcW w:w="1052" w:type="dxa"/>
            <w:tcBorders/>
            <w:shd w:fill="CCEEFF" w:val="clear"/>
            <w:vAlign w:val="center"/>
          </w:tcPr>
          <w:p>
            <w:pPr>
              <w:pStyle w:val="TableContents"/>
              <w:spacing w:before="0" w:after="283"/>
              <w:jc w:val="right"/>
              <w:rPr/>
            </w:pPr>
            <w:r>
              <w:rPr/>
              <w:t>550,000</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83" w:type="dxa"/>
            <w:tcBorders/>
            <w:shd w:fill="CCEEFF" w:val="clear"/>
            <w:vAlign w:val="center"/>
          </w:tcPr>
          <w:p>
            <w:pPr>
              <w:pStyle w:val="TableContents"/>
              <w:spacing w:before="0" w:after="283"/>
              <w:rPr/>
            </w:pPr>
            <w:r>
              <w:rPr/>
              <w:t> </w:t>
            </w:r>
          </w:p>
        </w:tc>
        <w:tc>
          <w:tcPr>
            <w:tcW w:w="1052" w:type="dxa"/>
            <w:tcBorders/>
            <w:shd w:fill="CCEEFF" w:val="clear"/>
            <w:vAlign w:val="center"/>
          </w:tcPr>
          <w:p>
            <w:pPr>
              <w:pStyle w:val="TableContents"/>
              <w:spacing w:before="0" w:after="283"/>
              <w:jc w:val="right"/>
              <w:rPr/>
            </w:pPr>
            <w:r>
              <w:rPr/>
              <w:t>—  </w:t>
            </w:r>
          </w:p>
        </w:tc>
        <w:tc>
          <w:tcPr>
            <w:tcW w:w="170" w:type="dxa"/>
            <w:tcBorders/>
            <w:shd w:fill="CCEEFF" w:val="clear"/>
            <w:vAlign w:val="center"/>
          </w:tcPr>
          <w:p>
            <w:pPr>
              <w:pStyle w:val="TableContents"/>
              <w:spacing w:before="0" w:after="283"/>
              <w:rPr/>
            </w:pPr>
            <w:r>
              <w:rPr/>
              <w:t> </w:t>
            </w:r>
          </w:p>
        </w:tc>
      </w:tr>
      <w:tr>
        <w:trPr/>
        <w:tc>
          <w:tcPr>
            <w:tcW w:w="209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83" w:type="dxa"/>
            <w:tcBorders/>
            <w:shd w:fill="auto" w:val="clear"/>
            <w:vAlign w:val="center"/>
          </w:tcPr>
          <w:p>
            <w:pPr>
              <w:pStyle w:val="TableContents"/>
              <w:spacing w:before="0" w:after="0"/>
              <w:rPr>
                <w:bdr w:val="single" w:sz="2" w:space="1" w:color="000000"/>
              </w:rPr>
            </w:pPr>
            <w:r>
              <w:rPr>
                <w:bdr w:val="single" w:sz="2" w:space="1" w:color="000000"/>
              </w:rPr>
              <w:t> </w:t>
            </w:r>
          </w:p>
        </w:tc>
        <w:tc>
          <w:tcPr>
            <w:tcW w:w="1052"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83" w:type="dxa"/>
            <w:tcBorders/>
            <w:shd w:fill="auto" w:val="clear"/>
            <w:vAlign w:val="center"/>
          </w:tcPr>
          <w:p>
            <w:pPr>
              <w:pStyle w:val="TableContents"/>
              <w:spacing w:before="0" w:after="0"/>
              <w:rPr>
                <w:bdr w:val="single" w:sz="2" w:space="1" w:color="000000"/>
              </w:rPr>
            </w:pPr>
            <w:r>
              <w:rPr>
                <w:bdr w:val="single" w:sz="2" w:space="1" w:color="000000"/>
              </w:rPr>
              <w:t> </w:t>
            </w:r>
          </w:p>
        </w:tc>
        <w:tc>
          <w:tcPr>
            <w:tcW w:w="1052" w:type="dxa"/>
            <w:tcBorders/>
            <w:shd w:fill="auto" w:val="clear"/>
            <w:vAlign w:val="center"/>
          </w:tcPr>
          <w:p>
            <w:pPr>
              <w:pStyle w:val="TableContents"/>
              <w:spacing w:before="0" w:after="0"/>
              <w:rPr>
                <w:bdr w:val="single" w:sz="2" w:space="1" w:color="000000"/>
              </w:rPr>
            </w:pPr>
            <w:r>
              <w:rPr>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209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Total debt outstanding</w:t>
            </w:r>
          </w:p>
        </w:tc>
        <w:tc>
          <w:tcPr>
            <w:tcW w:w="120" w:type="dxa"/>
            <w:tcBorders/>
            <w:shd w:fill="auto" w:val="clear"/>
            <w:vAlign w:val="center"/>
          </w:tcPr>
          <w:p>
            <w:pPr>
              <w:pStyle w:val="TableContents"/>
              <w:spacing w:before="0" w:after="283"/>
              <w:rPr/>
            </w:pPr>
            <w:r>
              <w:rPr/>
              <w:t>  </w:t>
            </w:r>
          </w:p>
        </w:tc>
        <w:tc>
          <w:tcPr>
            <w:tcW w:w="183" w:type="dxa"/>
            <w:tcBorders/>
            <w:shd w:fill="auto" w:val="clear"/>
            <w:vAlign w:val="center"/>
          </w:tcPr>
          <w:p>
            <w:pPr>
              <w:pStyle w:val="TableContents"/>
              <w:spacing w:before="0" w:after="283"/>
              <w:rPr/>
            </w:pPr>
            <w:r>
              <w:rPr/>
              <w:t> </w:t>
            </w:r>
          </w:p>
        </w:tc>
        <w:tc>
          <w:tcPr>
            <w:tcW w:w="1052" w:type="dxa"/>
            <w:tcBorders/>
            <w:shd w:fill="auto" w:val="clear"/>
            <w:vAlign w:val="center"/>
          </w:tcPr>
          <w:p>
            <w:pPr>
              <w:pStyle w:val="TableContents"/>
              <w:spacing w:before="0" w:after="283"/>
              <w:jc w:val="right"/>
              <w:rPr/>
            </w:pPr>
            <w:r>
              <w:rPr/>
              <w:t>610,000</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83" w:type="dxa"/>
            <w:tcBorders/>
            <w:shd w:fill="auto" w:val="clear"/>
            <w:vAlign w:val="center"/>
          </w:tcPr>
          <w:p>
            <w:pPr>
              <w:pStyle w:val="TableContents"/>
              <w:spacing w:before="0" w:after="283"/>
              <w:rPr/>
            </w:pPr>
            <w:r>
              <w:rPr/>
              <w:t> </w:t>
            </w:r>
          </w:p>
        </w:tc>
        <w:tc>
          <w:tcPr>
            <w:tcW w:w="1052" w:type="dxa"/>
            <w:tcBorders/>
            <w:shd w:fill="auto" w:val="clear"/>
            <w:vAlign w:val="center"/>
          </w:tcPr>
          <w:p>
            <w:pPr>
              <w:pStyle w:val="TableContents"/>
              <w:spacing w:before="0" w:after="283"/>
              <w:jc w:val="right"/>
              <w:rPr/>
            </w:pPr>
            <w:r>
              <w:rPr/>
              <w:t>648,250</w:t>
            </w:r>
          </w:p>
        </w:tc>
        <w:tc>
          <w:tcPr>
            <w:tcW w:w="170" w:type="dxa"/>
            <w:tcBorders/>
            <w:shd w:fill="auto" w:val="clear"/>
            <w:vAlign w:val="center"/>
          </w:tcPr>
          <w:p>
            <w:pPr>
              <w:pStyle w:val="TableContents"/>
              <w:spacing w:before="0" w:after="283"/>
              <w:rPr/>
            </w:pPr>
            <w:r>
              <w:rPr/>
              <w:t> </w:t>
            </w:r>
          </w:p>
        </w:tc>
      </w:tr>
      <w:tr>
        <w:trPr/>
        <w:tc>
          <w:tcPr>
            <w:tcW w:w="209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Less current installments</w:t>
            </w:r>
          </w:p>
        </w:tc>
        <w:tc>
          <w:tcPr>
            <w:tcW w:w="120" w:type="dxa"/>
            <w:tcBorders/>
            <w:shd w:fill="CCEEFF" w:val="clear"/>
            <w:vAlign w:val="center"/>
          </w:tcPr>
          <w:p>
            <w:pPr>
              <w:pStyle w:val="TableContents"/>
              <w:spacing w:before="0" w:after="283"/>
              <w:rPr/>
            </w:pPr>
            <w:r>
              <w:rPr/>
              <w:t>  </w:t>
            </w:r>
          </w:p>
        </w:tc>
        <w:tc>
          <w:tcPr>
            <w:tcW w:w="183" w:type="dxa"/>
            <w:tcBorders/>
            <w:shd w:fill="CCEEFF" w:val="clear"/>
            <w:vAlign w:val="center"/>
          </w:tcPr>
          <w:p>
            <w:pPr>
              <w:pStyle w:val="TableContents"/>
              <w:spacing w:before="0" w:after="283"/>
              <w:rPr/>
            </w:pPr>
            <w:r>
              <w:rPr/>
              <w:t> </w:t>
            </w:r>
          </w:p>
        </w:tc>
        <w:tc>
          <w:tcPr>
            <w:tcW w:w="1052" w:type="dxa"/>
            <w:tcBorders/>
            <w:shd w:fill="CCEEFF" w:val="clear"/>
            <w:vAlign w:val="center"/>
          </w:tcPr>
          <w:p>
            <w:pPr>
              <w:pStyle w:val="TableContents"/>
              <w:spacing w:before="0" w:after="0"/>
              <w:jc w:val="right"/>
              <w:rPr>
                <w:spacing w:val="0"/>
              </w:rPr>
            </w:pPr>
            <w:r>
              <w:rPr>
                <w:spacing w:val="0"/>
              </w:rPr>
              <w:t>— </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83" w:type="dxa"/>
            <w:tcBorders/>
            <w:shd w:fill="CCEEFF" w:val="clear"/>
            <w:vAlign w:val="center"/>
          </w:tcPr>
          <w:p>
            <w:pPr>
              <w:pStyle w:val="TableContents"/>
              <w:spacing w:before="0" w:after="283"/>
              <w:rPr/>
            </w:pPr>
            <w:r>
              <w:rPr/>
              <w:t> </w:t>
            </w:r>
          </w:p>
        </w:tc>
        <w:tc>
          <w:tcPr>
            <w:tcW w:w="1052" w:type="dxa"/>
            <w:tcBorders/>
            <w:shd w:fill="CCEEFF" w:val="clear"/>
            <w:vAlign w:val="center"/>
          </w:tcPr>
          <w:p>
            <w:pPr>
              <w:pStyle w:val="TableContents"/>
              <w:spacing w:before="0" w:after="283"/>
              <w:jc w:val="right"/>
              <w:rPr/>
            </w:pPr>
            <w:r>
              <w:rPr/>
              <w:t>(15,000</w:t>
            </w:r>
          </w:p>
        </w:tc>
        <w:tc>
          <w:tcPr>
            <w:tcW w:w="170" w:type="dxa"/>
            <w:tcBorders/>
            <w:shd w:fill="CCEEFF" w:val="clear"/>
            <w:vAlign w:val="center"/>
          </w:tcPr>
          <w:p>
            <w:pPr>
              <w:pStyle w:val="TableContents"/>
              <w:spacing w:before="0" w:after="283"/>
              <w:rPr/>
            </w:pPr>
            <w:r>
              <w:rPr/>
              <w:t>) </w:t>
            </w:r>
          </w:p>
        </w:tc>
      </w:tr>
      <w:tr>
        <w:trPr/>
        <w:tc>
          <w:tcPr>
            <w:tcW w:w="209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Less debt issuance costs</w:t>
            </w:r>
          </w:p>
        </w:tc>
        <w:tc>
          <w:tcPr>
            <w:tcW w:w="120" w:type="dxa"/>
            <w:tcBorders/>
            <w:shd w:fill="auto" w:val="clear"/>
            <w:vAlign w:val="center"/>
          </w:tcPr>
          <w:p>
            <w:pPr>
              <w:pStyle w:val="TableContents"/>
              <w:spacing w:before="0" w:after="283"/>
              <w:rPr/>
            </w:pPr>
            <w:r>
              <w:rPr/>
              <w:t>  </w:t>
            </w:r>
          </w:p>
        </w:tc>
        <w:tc>
          <w:tcPr>
            <w:tcW w:w="183" w:type="dxa"/>
            <w:tcBorders/>
            <w:shd w:fill="auto" w:val="clear"/>
            <w:vAlign w:val="center"/>
          </w:tcPr>
          <w:p>
            <w:pPr>
              <w:pStyle w:val="TableContents"/>
              <w:spacing w:before="0" w:after="283"/>
              <w:rPr/>
            </w:pPr>
            <w:r>
              <w:rPr/>
              <w:t> </w:t>
            </w:r>
          </w:p>
        </w:tc>
        <w:tc>
          <w:tcPr>
            <w:tcW w:w="1052" w:type="dxa"/>
            <w:tcBorders/>
            <w:shd w:fill="auto" w:val="clear"/>
            <w:vAlign w:val="center"/>
          </w:tcPr>
          <w:p>
            <w:pPr>
              <w:pStyle w:val="TableContents"/>
              <w:spacing w:before="0" w:after="283"/>
              <w:jc w:val="right"/>
              <w:rPr/>
            </w:pPr>
            <w:r>
              <w:rPr/>
              <w:t>(13,612</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83" w:type="dxa"/>
            <w:tcBorders/>
            <w:shd w:fill="auto" w:val="clear"/>
            <w:vAlign w:val="center"/>
          </w:tcPr>
          <w:p>
            <w:pPr>
              <w:pStyle w:val="TableContents"/>
              <w:spacing w:before="0" w:after="283"/>
              <w:rPr/>
            </w:pPr>
            <w:r>
              <w:rPr/>
              <w:t> </w:t>
            </w:r>
          </w:p>
        </w:tc>
        <w:tc>
          <w:tcPr>
            <w:tcW w:w="1052" w:type="dxa"/>
            <w:tcBorders/>
            <w:shd w:fill="auto" w:val="clear"/>
            <w:vAlign w:val="center"/>
          </w:tcPr>
          <w:p>
            <w:pPr>
              <w:pStyle w:val="TableContents"/>
              <w:spacing w:before="0" w:after="283"/>
              <w:jc w:val="right"/>
              <w:rPr/>
            </w:pPr>
            <w:r>
              <w:rPr/>
              <w:t>(561</w:t>
            </w:r>
          </w:p>
        </w:tc>
        <w:tc>
          <w:tcPr>
            <w:tcW w:w="170" w:type="dxa"/>
            <w:tcBorders/>
            <w:shd w:fill="auto" w:val="clear"/>
            <w:vAlign w:val="center"/>
          </w:tcPr>
          <w:p>
            <w:pPr>
              <w:pStyle w:val="TableContents"/>
              <w:spacing w:before="0" w:after="283"/>
              <w:rPr/>
            </w:pPr>
            <w:r>
              <w:rPr/>
              <w:t>) </w:t>
            </w:r>
          </w:p>
        </w:tc>
      </w:tr>
      <w:tr>
        <w:trPr/>
        <w:tc>
          <w:tcPr>
            <w:tcW w:w="209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83" w:type="dxa"/>
            <w:tcBorders/>
            <w:shd w:fill="auto" w:val="clear"/>
            <w:vAlign w:val="center"/>
          </w:tcPr>
          <w:p>
            <w:pPr>
              <w:pStyle w:val="TableContents"/>
              <w:spacing w:before="0" w:after="0"/>
              <w:rPr>
                <w:bdr w:val="single" w:sz="2" w:space="1" w:color="000000"/>
              </w:rPr>
            </w:pPr>
            <w:r>
              <w:rPr>
                <w:bdr w:val="single" w:sz="2" w:space="1" w:color="000000"/>
              </w:rPr>
              <w:t> </w:t>
            </w:r>
          </w:p>
        </w:tc>
        <w:tc>
          <w:tcPr>
            <w:tcW w:w="1052"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83" w:type="dxa"/>
            <w:tcBorders/>
            <w:shd w:fill="auto" w:val="clear"/>
            <w:vAlign w:val="center"/>
          </w:tcPr>
          <w:p>
            <w:pPr>
              <w:pStyle w:val="TableContents"/>
              <w:spacing w:before="0" w:after="0"/>
              <w:rPr>
                <w:bdr w:val="single" w:sz="2" w:space="1" w:color="000000"/>
              </w:rPr>
            </w:pPr>
            <w:r>
              <w:rPr>
                <w:bdr w:val="single" w:sz="2" w:space="1" w:color="000000"/>
              </w:rPr>
              <w:t> </w:t>
            </w:r>
          </w:p>
        </w:tc>
        <w:tc>
          <w:tcPr>
            <w:tcW w:w="1052" w:type="dxa"/>
            <w:tcBorders/>
            <w:shd w:fill="auto" w:val="clear"/>
            <w:vAlign w:val="center"/>
          </w:tcPr>
          <w:p>
            <w:pPr>
              <w:pStyle w:val="TableContents"/>
              <w:spacing w:before="0" w:after="0"/>
              <w:rPr>
                <w:bdr w:val="single" w:sz="2" w:space="1" w:color="000000"/>
              </w:rPr>
            </w:pPr>
            <w:r>
              <w:rPr>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209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Long-term debt, net</w:t>
            </w:r>
          </w:p>
        </w:tc>
        <w:tc>
          <w:tcPr>
            <w:tcW w:w="120" w:type="dxa"/>
            <w:tcBorders/>
            <w:shd w:fill="CCEEFF" w:val="clear"/>
            <w:vAlign w:val="center"/>
          </w:tcPr>
          <w:p>
            <w:pPr>
              <w:pStyle w:val="TableContents"/>
              <w:spacing w:before="0" w:after="283"/>
              <w:rPr/>
            </w:pPr>
            <w:r>
              <w:rPr/>
              <w:t>  </w:t>
            </w:r>
          </w:p>
        </w:tc>
        <w:tc>
          <w:tcPr>
            <w:tcW w:w="183" w:type="dxa"/>
            <w:tcBorders/>
            <w:shd w:fill="CCEEFF" w:val="clear"/>
            <w:vAlign w:val="center"/>
          </w:tcPr>
          <w:p>
            <w:pPr>
              <w:pStyle w:val="TableContents"/>
              <w:spacing w:before="0" w:after="283"/>
              <w:rPr/>
            </w:pPr>
            <w:r>
              <w:rPr/>
              <w:t>$</w:t>
            </w:r>
          </w:p>
        </w:tc>
        <w:tc>
          <w:tcPr>
            <w:tcW w:w="1052" w:type="dxa"/>
            <w:tcBorders/>
            <w:shd w:fill="CCEEFF" w:val="clear"/>
            <w:vAlign w:val="center"/>
          </w:tcPr>
          <w:p>
            <w:pPr>
              <w:pStyle w:val="TableContents"/>
              <w:spacing w:before="0" w:after="283"/>
              <w:jc w:val="right"/>
              <w:rPr/>
            </w:pPr>
            <w:r>
              <w:rPr/>
              <w:t>596,388</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83" w:type="dxa"/>
            <w:tcBorders/>
            <w:shd w:fill="CCEEFF" w:val="clear"/>
            <w:vAlign w:val="center"/>
          </w:tcPr>
          <w:p>
            <w:pPr>
              <w:pStyle w:val="TableContents"/>
              <w:spacing w:before="0" w:after="283"/>
              <w:rPr/>
            </w:pPr>
            <w:r>
              <w:rPr/>
              <w:t>$</w:t>
            </w:r>
          </w:p>
        </w:tc>
        <w:tc>
          <w:tcPr>
            <w:tcW w:w="1052" w:type="dxa"/>
            <w:tcBorders/>
            <w:shd w:fill="CCEEFF" w:val="clear"/>
            <w:vAlign w:val="center"/>
          </w:tcPr>
          <w:p>
            <w:pPr>
              <w:pStyle w:val="TableContents"/>
              <w:spacing w:before="0" w:after="283"/>
              <w:jc w:val="right"/>
              <w:rPr/>
            </w:pPr>
            <w:r>
              <w:rPr/>
              <w:t>632,689</w:t>
            </w:r>
          </w:p>
        </w:tc>
        <w:tc>
          <w:tcPr>
            <w:tcW w:w="170" w:type="dxa"/>
            <w:tcBorders/>
            <w:shd w:fill="CCEEFF" w:val="clear"/>
            <w:vAlign w:val="center"/>
          </w:tcPr>
          <w:p>
            <w:pPr>
              <w:pStyle w:val="TableContents"/>
              <w:spacing w:before="0" w:after="283"/>
              <w:rPr/>
            </w:pPr>
            <w:r>
              <w:rPr/>
              <w:t> </w:t>
            </w:r>
          </w:p>
        </w:tc>
      </w:tr>
      <w:tr>
        <w:trPr/>
        <w:tc>
          <w:tcPr>
            <w:tcW w:w="209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83" w:type="dxa"/>
            <w:tcBorders/>
            <w:shd w:fill="auto" w:val="clear"/>
            <w:vAlign w:val="center"/>
          </w:tcPr>
          <w:p>
            <w:pPr>
              <w:pStyle w:val="TableContents"/>
              <w:spacing w:before="0" w:after="0"/>
              <w:rPr>
                <w:bdr w:val="double" w:sz="6" w:space="1" w:color="000000"/>
              </w:rPr>
            </w:pPr>
            <w:r>
              <w:rPr>
                <w:bdr w:val="double" w:sz="6" w:space="1" w:color="000000"/>
              </w:rPr>
              <w:t> </w:t>
            </w:r>
          </w:p>
        </w:tc>
        <w:tc>
          <w:tcPr>
            <w:tcW w:w="1052" w:type="dxa"/>
            <w:tcBorders/>
            <w:shd w:fill="auto" w:val="clear"/>
            <w:vAlign w:val="center"/>
          </w:tcPr>
          <w:p>
            <w:pPr>
              <w:pStyle w:val="TableContents"/>
              <w:spacing w:before="0" w:after="0"/>
              <w:rPr>
                <w:bdr w:val="double" w:sz="6" w:space="1" w:color="000000"/>
              </w:rPr>
            </w:pPr>
            <w:r>
              <w:rPr>
                <w:bdr w:val="double" w:sz="6" w:space="1" w:color="000000"/>
              </w:rPr>
              <w:t> </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83" w:type="dxa"/>
            <w:tcBorders/>
            <w:shd w:fill="auto" w:val="clear"/>
            <w:vAlign w:val="center"/>
          </w:tcPr>
          <w:p>
            <w:pPr>
              <w:pStyle w:val="TableContents"/>
              <w:spacing w:before="0" w:after="0"/>
              <w:rPr>
                <w:bdr w:val="double" w:sz="6" w:space="1" w:color="000000"/>
              </w:rPr>
            </w:pPr>
            <w:r>
              <w:rPr>
                <w:bdr w:val="double" w:sz="6" w:space="1" w:color="000000"/>
              </w:rPr>
              <w:t> </w:t>
            </w:r>
          </w:p>
        </w:tc>
        <w:tc>
          <w:tcPr>
            <w:tcW w:w="1052" w:type="dxa"/>
            <w:tcBorders/>
            <w:shd w:fill="auto" w:val="clear"/>
            <w:vAlign w:val="center"/>
          </w:tcPr>
          <w:p>
            <w:pPr>
              <w:pStyle w:val="TableContents"/>
              <w:spacing w:before="0" w:after="0"/>
              <w:rPr>
                <w:bdr w:val="double" w:sz="6" w:space="1" w:color="000000"/>
              </w:rPr>
            </w:pPr>
            <w:r>
              <w:rPr>
                <w:bdr w:val="double" w:sz="6" w:space="1" w:color="000000"/>
              </w:rPr>
              <w:t> </w:t>
            </w:r>
          </w:p>
        </w:tc>
        <w:tc>
          <w:tcPr>
            <w:tcW w:w="170" w:type="dxa"/>
            <w:tcBorders/>
            <w:shd w:fill="auto" w:val="clear"/>
            <w:vAlign w:val="center"/>
          </w:tcPr>
          <w:p>
            <w:pPr>
              <w:pStyle w:val="TableContents"/>
              <w:spacing w:before="0" w:after="283"/>
              <w:rPr/>
            </w:pPr>
            <w:r>
              <w:rPr/>
              <w:t> </w:t>
            </w:r>
          </w:p>
        </w:tc>
      </w:tr>
    </w:tbl>
    <w:p>
      <w:pPr>
        <w:pStyle w:val="TextBody"/>
        <w:spacing w:before="240" w:after="0"/>
        <w:jc w:val="left"/>
        <w:rPr>
          <w:rFonts w:ascii="Times New Roman" w:hAnsi="Times New Roman"/>
          <w:sz w:val="20"/>
        </w:rPr>
      </w:pPr>
      <w:r>
        <w:rPr>
          <w:rFonts w:ascii="Times New Roman" w:hAnsi="Times New Roman"/>
          <w:sz w:val="20"/>
        </w:rPr>
        <w:t xml:space="preserve">On August 17, 2017, we entered into a senior secured credit facility that provided a $300,000 term loan facility and a $500,000 revolving credit facility with a maturity date of August 17, 2022. The $500,000 revolving credit facility includes a $35,000 letter of credit </w:t>
      </w:r>
    </w:p>
    <w:p>
      <w:pPr>
        <w:pStyle w:val="TextBody"/>
        <w:spacing w:before="240" w:after="0"/>
        <w:jc w:val="left"/>
        <w:rPr>
          <w:rFonts w:ascii="Times New Roman" w:hAnsi="Times New Roman"/>
          <w:spacing w:val="0"/>
          <w:sz w:val="20"/>
        </w:rPr>
      </w:pPr>
      <w:r>
        <w:rPr>
          <w:rFonts w:ascii="Times New Roman" w:hAnsi="Times New Roman"/>
          <w:spacing w:val="0"/>
          <w:sz w:val="20"/>
        </w:rPr>
        <w:t>sub-facility</w:t>
      </w:r>
    </w:p>
    <w:p>
      <w:pPr>
        <w:pStyle w:val="TextBody"/>
        <w:spacing w:before="240" w:after="0"/>
        <w:jc w:val="left"/>
        <w:rPr>
          <w:rFonts w:ascii="Times New Roman" w:hAnsi="Times New Roman"/>
          <w:sz w:val="20"/>
        </w:rPr>
      </w:pPr>
      <w:r>
        <w:rPr>
          <w:rFonts w:ascii="Times New Roman" w:hAnsi="Times New Roman"/>
          <w:sz w:val="20"/>
        </w:rPr>
        <w:t xml:space="preserve">and a $15,000 swing loan </w:t>
      </w:r>
    </w:p>
    <w:p>
      <w:pPr>
        <w:pStyle w:val="TextBody"/>
        <w:spacing w:before="240" w:after="0"/>
        <w:jc w:val="left"/>
        <w:rPr>
          <w:rFonts w:ascii="Times New Roman" w:hAnsi="Times New Roman"/>
          <w:spacing w:val="0"/>
          <w:sz w:val="20"/>
        </w:rPr>
      </w:pPr>
      <w:r>
        <w:rPr>
          <w:rFonts w:ascii="Times New Roman" w:hAnsi="Times New Roman"/>
          <w:spacing w:val="0"/>
          <w:sz w:val="20"/>
        </w:rPr>
        <w:t>sub-facility.</w:t>
      </w:r>
    </w:p>
    <w:p>
      <w:pPr>
        <w:pStyle w:val="TextBody"/>
        <w:spacing w:before="240" w:after="0"/>
        <w:jc w:val="left"/>
        <w:rPr>
          <w:rFonts w:ascii="Times New Roman" w:hAnsi="Times New Roman"/>
          <w:sz w:val="20"/>
        </w:rPr>
      </w:pPr>
      <w:r>
        <w:rPr>
          <w:rFonts w:ascii="Times New Roman" w:hAnsi="Times New Roman"/>
          <w:sz w:val="20"/>
        </w:rPr>
        <w:t>Principal payments on the term loan facility of $3,750 per</w:t>
      </w:r>
    </w:p>
    <w:p>
      <w:pPr>
        <w:pStyle w:val="TextBody"/>
        <w:spacing w:before="240" w:after="0"/>
        <w:jc w:val="left"/>
        <w:rPr>
          <w:spacing w:val="0"/>
        </w:rPr>
      </w:pPr>
      <w:r>
        <w:rPr>
          <w:spacing w:val="0"/>
        </w:rPr>
        <w:t> </w:t>
      </w:r>
    </w:p>
    <w:p>
      <w:pPr>
        <w:pStyle w:val="TextBody"/>
        <w:spacing w:before="240" w:after="0"/>
        <w:jc w:val="left"/>
        <w:rPr>
          <w:rFonts w:ascii="Times New Roman" w:hAnsi="Times New Roman"/>
          <w:sz w:val="20"/>
        </w:rPr>
      </w:pPr>
      <w:r>
        <w:rPr>
          <w:rFonts w:ascii="Times New Roman" w:hAnsi="Times New Roman"/>
          <w:sz w:val="20"/>
        </w:rPr>
        <w:t xml:space="preserve">quarter were required through maturity, when the remaining balance became due. The credit facility is secured by the assets of D&amp;B Inc and is unconditionally guaranteed by D&amp;B Holdings and each of its direct and indirect domestic wholly-owned subsidiaries. Our credit facility and Notes contain restrictive covenants that, among other things, place certain limitations on our ability to incur additional indebtedness, make loans or advances to subsidiaries and other entities, pay dividends, acquire other businesses or sell assets. In addition, our credit facility requires us to maintain certain financial ratio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covenants.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Effective April 14, 2020, we amended our existing credit facility, which provided relief from compliance with financial covenants through the third quarter of fiscal 2020. The interest rate spread increased to 2.00% plus a LIBOR floor of 1.00%. </w:t>
      </w:r>
    </w:p>
    <w:p>
      <w:pPr>
        <w:pStyle w:val="TextBody"/>
        <w:spacing w:before="0" w:after="0"/>
        <w:jc w:val="left"/>
        <w:rPr/>
      </w:pPr>
      <w:r>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F-18 </w:t>
      </w:r>
    </w:p>
    <w:p>
      <w:pPr>
        <w:pStyle w:val="HorizontalLine"/>
        <w:rPr/>
      </w:pPr>
      <w:r>
        <w:rPr/>
      </w:r>
    </w:p>
    <w:p>
      <w:pPr>
        <w:pStyle w:val="TextBody"/>
        <w:spacing w:before="0" w:after="0"/>
        <w:rPr/>
      </w:pPr>
      <w:hyperlink w:anchor="toc">
        <w:r>
          <w:rPr>
            <w:rStyle w:val="InternetLink"/>
            <w:b/>
            <w:sz w:val="20"/>
          </w:rPr>
          <w:t>Table of Contents</w:t>
        </w:r>
      </w:hyperlink>
    </w:p>
    <w:p>
      <w:pPr>
        <w:pStyle w:val="TextBody"/>
        <w:spacing w:lineRule="atLeast" w:line="240" w:before="0" w:after="0"/>
        <w:jc w:val="left"/>
        <w:rPr>
          <w:rFonts w:ascii="Times New Roman" w:hAnsi="Times New Roman"/>
          <w:spacing w:val="0"/>
          <w:sz w:val="20"/>
        </w:rPr>
      </w:pPr>
      <w:r>
        <w:rPr>
          <w:rFonts w:ascii="Times New Roman" w:hAnsi="Times New Roman"/>
          <w:spacing w:val="0"/>
          <w:sz w:val="20"/>
        </w:rPr>
        <w:t xml:space="preserve">On October 27, 2020, the Company issued $550,000 aggregate principal amount of 7.625% senior secured notes (the “Notes”). Interest on the Notes accrues from October 27, 2020 and is payable in arrears on November 1 and May 1 of each year, commencing on May 1, 2021. The Notes mature on </w:t>
      </w:r>
    </w:p>
    <w:p>
      <w:pPr>
        <w:pStyle w:val="TextBody"/>
        <w:spacing w:lineRule="atLeast" w:line="240" w:before="0" w:after="0"/>
        <w:jc w:val="left"/>
        <w:rPr>
          <w:rFonts w:ascii="Times New Roman" w:hAnsi="Times New Roman"/>
          <w:spacing w:val="0"/>
          <w:sz w:val="20"/>
        </w:rPr>
      </w:pPr>
      <w:r>
        <w:rPr>
          <w:rFonts w:ascii="Times New Roman" w:hAnsi="Times New Roman"/>
          <w:spacing w:val="0"/>
          <w:sz w:val="20"/>
        </w:rPr>
        <w:t>November 1, 2025</w:t>
      </w:r>
    </w:p>
    <w:p>
      <w:pPr>
        <w:pStyle w:val="TextBody"/>
        <w:spacing w:lineRule="atLeast" w:line="240" w:before="0" w:after="0"/>
        <w:jc w:val="left"/>
        <w:rPr>
          <w:rFonts w:ascii="Times New Roman" w:hAnsi="Times New Roman"/>
          <w:spacing w:val="0"/>
          <w:sz w:val="20"/>
        </w:rPr>
      </w:pPr>
      <w:r>
        <w:rPr>
          <w:rFonts w:ascii="Times New Roman" w:hAnsi="Times New Roman"/>
          <w:spacing w:val="0"/>
          <w:sz w:val="20"/>
        </w:rPr>
        <w:t xml:space="preserve">, unless earlier redeemed, and are subject to the terms and conditions set forth in the related indenture. The Notes were issued by D&amp;B Inc and are unconditionally guaranteed by D&amp;B Holdings and certain of D&amp;B Inc’s existing and future wholly owned material domestic subsidiaries, which is substantially the same as the guarantors of the Company’s existing credit facility.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Concurrent and subject to the issuance of the Notes, the Company entered into a second amendment to its existing credit facility, which included relief from testing compliance with certain financial covenants until the last day of the fiscal quarter ending on May 1, 2022. During the financial covenant suspension period the Company is required to maintain minimum liquidity (primarily availability under the credit facility) of $150,000. The second amendment extended the maturity date of the $500,000 revolving portion of the facility from August 17, 2022 to August 17, 2024, </w:t>
      </w:r>
    </w:p>
    <w:p>
      <w:pPr>
        <w:pStyle w:val="TextBody"/>
        <w:spacing w:before="240" w:after="0"/>
        <w:jc w:val="left"/>
        <w:rPr>
          <w:rFonts w:ascii="Times New Roman" w:hAnsi="Times New Roman"/>
          <w:spacing w:val="0"/>
          <w:sz w:val="20"/>
        </w:rPr>
      </w:pPr>
      <w:r>
        <w:rPr>
          <w:rFonts w:ascii="Times New Roman" w:hAnsi="Times New Roman"/>
          <w:spacing w:val="0"/>
          <w:sz w:val="20"/>
        </w:rPr>
        <w:t>inc</w:t>
      </w:r>
    </w:p>
    <w:p>
      <w:pPr>
        <w:pStyle w:val="TextBody"/>
        <w:spacing w:before="240" w:after="0"/>
        <w:jc w:val="left"/>
        <w:rPr>
          <w:rFonts w:ascii="Times New Roman" w:hAnsi="Times New Roman"/>
          <w:spacing w:val="0"/>
          <w:sz w:val="20"/>
        </w:rPr>
      </w:pPr>
      <w:r>
        <w:rPr>
          <w:rFonts w:ascii="Times New Roman" w:hAnsi="Times New Roman"/>
          <w:spacing w:val="0"/>
          <w:sz w:val="20"/>
        </w:rPr>
        <w:t>reased</w:t>
      </w:r>
    </w:p>
    <w:p>
      <w:pPr>
        <w:pStyle w:val="TextBody"/>
        <w:spacing w:before="240" w:after="0"/>
        <w:jc w:val="left"/>
        <w:rPr>
          <w:spacing w:val="0"/>
        </w:rPr>
      </w:pPr>
      <w:r>
        <w:rPr>
          <w:spacing w:val="0"/>
        </w:rPr>
        <w:t> </w:t>
      </w:r>
      <w:r>
        <w:rPr>
          <w:rFonts w:ascii="Times New Roman" w:hAnsi="Times New Roman"/>
          <w:spacing w:val="0"/>
          <w:sz w:val="20"/>
        </w:rPr>
        <w:t xml:space="preserve">the interest rate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spread to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4.00% during the financial covenant suspension period, </w:t>
      </w:r>
    </w:p>
    <w:p>
      <w:pPr>
        <w:pStyle w:val="TextBody"/>
        <w:spacing w:before="240" w:after="0"/>
        <w:jc w:val="left"/>
        <w:rPr>
          <w:rFonts w:ascii="Times New Roman" w:hAnsi="Times New Roman"/>
          <w:spacing w:val="0"/>
          <w:sz w:val="20"/>
        </w:rPr>
      </w:pPr>
      <w:r>
        <w:rPr>
          <w:rFonts w:ascii="Times New Roman" w:hAnsi="Times New Roman"/>
          <w:spacing w:val="0"/>
          <w:sz w:val="20"/>
        </w:rPr>
        <w:t>and instituted a</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1.00% utilization fee </w:t>
      </w:r>
    </w:p>
    <w:p>
      <w:pPr>
        <w:pStyle w:val="TextBody"/>
        <w:spacing w:before="240" w:after="0"/>
        <w:jc w:val="left"/>
        <w:rPr>
          <w:rFonts w:ascii="Times New Roman" w:hAnsi="Times New Roman"/>
          <w:spacing w:val="0"/>
          <w:sz w:val="20"/>
        </w:rPr>
      </w:pPr>
      <w:r>
        <w:rPr>
          <w:rFonts w:ascii="Times New Roman" w:hAnsi="Times New Roman"/>
          <w:spacing w:val="0"/>
          <w:sz w:val="20"/>
        </w:rPr>
        <w:t>during that same time period. The utilization fee is due</w:t>
      </w:r>
    </w:p>
    <w:p>
      <w:pPr>
        <w:pStyle w:val="TextBody"/>
        <w:spacing w:before="240" w:after="0"/>
        <w:jc w:val="left"/>
        <w:rPr>
          <w:spacing w:val="0"/>
        </w:rPr>
      </w:pPr>
      <w:r>
        <w:rPr>
          <w:spacing w:val="0"/>
        </w:rPr>
        <w:t> </w:t>
      </w:r>
      <w:r>
        <w:rPr>
          <w:rFonts w:ascii="Times New Roman" w:hAnsi="Times New Roman"/>
          <w:spacing w:val="0"/>
          <w:sz w:val="20"/>
        </w:rPr>
        <w:t xml:space="preserve">at maturity. After the financial covenant suspension period, the interest rate spread ranges from </w:t>
      </w:r>
    </w:p>
    <w:p>
      <w:pPr>
        <w:pStyle w:val="TextBody"/>
        <w:spacing w:before="240" w:after="0"/>
        <w:jc w:val="left"/>
        <w:rPr>
          <w:rFonts w:ascii="Times New Roman" w:hAnsi="Times New Roman"/>
          <w:sz w:val="20"/>
        </w:rPr>
      </w:pPr>
      <w:r>
        <w:rPr>
          <w:rFonts w:ascii="Times New Roman" w:hAnsi="Times New Roman"/>
          <w:sz w:val="20"/>
        </w:rPr>
        <w:t>1.25</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 to </w:t>
      </w:r>
    </w:p>
    <w:p>
      <w:pPr>
        <w:pStyle w:val="TextBody"/>
        <w:spacing w:before="240" w:after="0"/>
        <w:jc w:val="left"/>
        <w:rPr>
          <w:rFonts w:ascii="Times New Roman" w:hAnsi="Times New Roman"/>
          <w:sz w:val="20"/>
        </w:rPr>
      </w:pPr>
      <w:r>
        <w:rPr>
          <w:rFonts w:ascii="Times New Roman" w:hAnsi="Times New Roman"/>
          <w:sz w:val="20"/>
        </w:rPr>
        <w:t>3.00</w:t>
      </w:r>
    </w:p>
    <w:p>
      <w:pPr>
        <w:pStyle w:val="TextBody"/>
        <w:spacing w:before="240" w:after="0"/>
        <w:jc w:val="left"/>
        <w:rPr>
          <w:rFonts w:ascii="Times New Roman" w:hAnsi="Times New Roman"/>
          <w:spacing w:val="0"/>
          <w:sz w:val="20"/>
        </w:rPr>
      </w:pPr>
      <w:r>
        <w:rPr>
          <w:rFonts w:ascii="Times New Roman" w:hAnsi="Times New Roman"/>
          <w:spacing w:val="0"/>
          <w:sz w:val="20"/>
        </w:rPr>
        <w:t>%. The second amendment terminated the term loan portion of the credit facility, which triggered payment of $</w:t>
      </w:r>
    </w:p>
    <w:p>
      <w:pPr>
        <w:pStyle w:val="TextBody"/>
        <w:spacing w:before="240" w:after="0"/>
        <w:jc w:val="left"/>
        <w:rPr>
          <w:rFonts w:ascii="Times New Roman" w:hAnsi="Times New Roman"/>
          <w:sz w:val="20"/>
        </w:rPr>
      </w:pPr>
      <w:r>
        <w:rPr>
          <w:rFonts w:ascii="Times New Roman" w:hAnsi="Times New Roman"/>
          <w:sz w:val="20"/>
        </w:rPr>
        <w:t>1,900</w:t>
      </w:r>
    </w:p>
    <w:p>
      <w:pPr>
        <w:pStyle w:val="TextBody"/>
        <w:spacing w:before="240" w:after="0"/>
        <w:jc w:val="left"/>
        <w:rPr>
          <w:rFonts w:ascii="Times New Roman" w:hAnsi="Times New Roman"/>
          <w:spacing w:val="0"/>
          <w:sz w:val="20"/>
        </w:rPr>
      </w:pPr>
      <w:r>
        <w:rPr>
          <w:rFonts w:ascii="Times New Roman" w:hAnsi="Times New Roman"/>
          <w:spacing w:val="0"/>
          <w:sz w:val="20"/>
        </w:rPr>
        <w:t>of lender debt costs associated with the first amendment.</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The Company used the proceeds of the Notes offering, along with cash on hand, to repay the $255,000 principal balance of the term loan facility, $463,000 of borrowings under the revolving credit facility, and related accrued interest. The Company incurred debt costs of $18,300, which are being amortized over the terms of the respective Notes and revolving credit facility. The Company also recorded a loss of $904 related to the unamortized debt costs associated with the term portion of the credit facility.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For fiscal 2020 and fiscal 2019, the Company’s weighted average interest rate on outstanding borrowings was 5.40% and 3.98%, respectively. As of January 31, 2021, we had letters of credit outstanding of $9,686 and an unused commitment balance of $430,314 under the revolving credit facility. </w:t>
      </w:r>
    </w:p>
    <w:p>
      <w:pPr>
        <w:pStyle w:val="TextBody"/>
        <w:spacing w:before="24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Future debt obligations </w:t>
      </w:r>
    </w:p>
    <w:p>
      <w:pPr>
        <w:pStyle w:val="TextBody"/>
        <w:spacing w:before="240" w:after="0"/>
        <w:jc w:val="left"/>
        <w:rPr/>
      </w:pPr>
      <w:r>
        <w:rPr/>
        <w:t xml:space="preserve">— </w:t>
      </w:r>
      <w:r>
        <w:rPr>
          <w:rFonts w:ascii="Times New Roman" w:hAnsi="Times New Roman"/>
          <w:sz w:val="20"/>
        </w:rPr>
        <w:t xml:space="preserve">Below is our future debt principal payment obligations as of January 31, 2021 by fiscal year: </w:t>
      </w:r>
    </w:p>
    <w:p>
      <w:pPr>
        <w:pStyle w:val="TextBody"/>
        <w:spacing w:before="0" w:after="0"/>
        <w:jc w:val="left"/>
        <w:rPr>
          <w:spacing w:val="0"/>
        </w:rPr>
      </w:pPr>
      <w:r>
        <w:rPr>
          <w:spacing w:val="0"/>
        </w:rPr>
        <w:t> </w:t>
      </w:r>
    </w:p>
    <w:tbl>
      <w:tblPr>
        <w:tblW w:w="2955" w:type="dxa"/>
        <w:jc w:val="left"/>
        <w:tblInd w:w="0" w:type="dxa"/>
        <w:tblCellMar>
          <w:top w:w="0" w:type="dxa"/>
          <w:left w:w="0" w:type="dxa"/>
          <w:bottom w:w="0" w:type="dxa"/>
          <w:right w:w="0" w:type="dxa"/>
        </w:tblCellMar>
      </w:tblPr>
      <w:tblGrid>
        <w:gridCol w:w="1820"/>
        <w:gridCol w:w="120"/>
        <w:gridCol w:w="140"/>
        <w:gridCol w:w="800"/>
        <w:gridCol w:w="75"/>
      </w:tblGrid>
      <w:tr>
        <w:trPr/>
        <w:tc>
          <w:tcPr>
            <w:tcW w:w="182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800"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182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2024</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800" w:type="dxa"/>
            <w:tcBorders/>
            <w:shd w:fill="CCEEFF" w:val="clear"/>
            <w:vAlign w:val="center"/>
          </w:tcPr>
          <w:p>
            <w:pPr>
              <w:pStyle w:val="TableContents"/>
              <w:spacing w:before="0" w:after="283"/>
              <w:jc w:val="right"/>
              <w:rPr/>
            </w:pPr>
            <w:r>
              <w:rPr/>
              <w:t>60,000</w:t>
            </w:r>
          </w:p>
        </w:tc>
        <w:tc>
          <w:tcPr>
            <w:tcW w:w="75" w:type="dxa"/>
            <w:tcBorders/>
            <w:shd w:fill="CCEEFF" w:val="clear"/>
            <w:vAlign w:val="center"/>
          </w:tcPr>
          <w:p>
            <w:pPr>
              <w:pStyle w:val="TableContents"/>
              <w:spacing w:before="0" w:after="283"/>
              <w:rPr/>
            </w:pPr>
            <w:r>
              <w:rPr/>
              <w:t> </w:t>
            </w:r>
          </w:p>
        </w:tc>
      </w:tr>
      <w:tr>
        <w:trPr/>
        <w:tc>
          <w:tcPr>
            <w:tcW w:w="182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2025</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800" w:type="dxa"/>
            <w:tcBorders/>
            <w:shd w:fill="auto" w:val="clear"/>
            <w:vAlign w:val="center"/>
          </w:tcPr>
          <w:p>
            <w:pPr>
              <w:pStyle w:val="TableContents"/>
              <w:spacing w:before="0" w:after="283"/>
              <w:jc w:val="right"/>
              <w:rPr/>
            </w:pPr>
            <w:r>
              <w:rPr/>
              <w:t>550,000</w:t>
            </w:r>
          </w:p>
        </w:tc>
        <w:tc>
          <w:tcPr>
            <w:tcW w:w="75" w:type="dxa"/>
            <w:tcBorders/>
            <w:shd w:fill="auto" w:val="clear"/>
            <w:vAlign w:val="center"/>
          </w:tcPr>
          <w:p>
            <w:pPr>
              <w:pStyle w:val="TableContents"/>
              <w:spacing w:before="0" w:after="283"/>
              <w:rPr/>
            </w:pPr>
            <w:r>
              <w:rPr/>
              <w:t> </w:t>
            </w:r>
          </w:p>
        </w:tc>
      </w:tr>
      <w:tr>
        <w:trPr/>
        <w:tc>
          <w:tcPr>
            <w:tcW w:w="182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single" w:sz="2" w:space="1" w:color="000000"/>
              </w:rPr>
            </w:pPr>
            <w:r>
              <w:rPr>
                <w:bdr w:val="single" w:sz="2" w:space="1" w:color="000000"/>
              </w:rPr>
              <w:t> </w:t>
            </w:r>
          </w:p>
        </w:tc>
        <w:tc>
          <w:tcPr>
            <w:tcW w:w="800" w:type="dxa"/>
            <w:tcBorders/>
            <w:shd w:fill="auto" w:val="clear"/>
            <w:vAlign w:val="center"/>
          </w:tcPr>
          <w:p>
            <w:pPr>
              <w:pStyle w:val="TableContents"/>
              <w:spacing w:before="0" w:after="0"/>
              <w:rPr>
                <w:bdr w:val="single" w:sz="2" w:space="1" w:color="000000"/>
              </w:rPr>
            </w:pPr>
            <w:r>
              <w:rPr>
                <w:bdr w:val="single" w:sz="2" w:space="1" w:color="000000"/>
              </w:rPr>
              <w:t> </w:t>
            </w:r>
          </w:p>
        </w:tc>
        <w:tc>
          <w:tcPr>
            <w:tcW w:w="75" w:type="dxa"/>
            <w:tcBorders/>
            <w:shd w:fill="auto" w:val="clear"/>
            <w:vAlign w:val="center"/>
          </w:tcPr>
          <w:p>
            <w:pPr>
              <w:pStyle w:val="TableContents"/>
              <w:spacing w:before="0" w:after="283"/>
              <w:rPr/>
            </w:pPr>
            <w:r>
              <w:rPr/>
              <w:t> </w:t>
            </w:r>
          </w:p>
        </w:tc>
      </w:tr>
      <w:tr>
        <w:trPr/>
        <w:tc>
          <w:tcPr>
            <w:tcW w:w="182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Total future payments</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800" w:type="dxa"/>
            <w:tcBorders/>
            <w:shd w:fill="CCEEFF" w:val="clear"/>
            <w:vAlign w:val="center"/>
          </w:tcPr>
          <w:p>
            <w:pPr>
              <w:pStyle w:val="TableContents"/>
              <w:spacing w:before="0" w:after="283"/>
              <w:jc w:val="right"/>
              <w:rPr/>
            </w:pPr>
            <w:r>
              <w:rPr/>
              <w:t>610,000</w:t>
            </w:r>
          </w:p>
        </w:tc>
        <w:tc>
          <w:tcPr>
            <w:tcW w:w="75" w:type="dxa"/>
            <w:tcBorders/>
            <w:shd w:fill="CCEEFF" w:val="clear"/>
            <w:vAlign w:val="center"/>
          </w:tcPr>
          <w:p>
            <w:pPr>
              <w:pStyle w:val="TableContents"/>
              <w:spacing w:before="0" w:after="283"/>
              <w:rPr/>
            </w:pPr>
            <w:r>
              <w:rPr/>
              <w:t> </w:t>
            </w:r>
          </w:p>
        </w:tc>
      </w:tr>
      <w:tr>
        <w:trPr/>
        <w:tc>
          <w:tcPr>
            <w:tcW w:w="182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double" w:sz="6" w:space="1" w:color="000000"/>
              </w:rPr>
            </w:pPr>
            <w:r>
              <w:rPr>
                <w:bdr w:val="double" w:sz="6" w:space="1" w:color="000000"/>
              </w:rPr>
              <w:t> </w:t>
            </w:r>
          </w:p>
        </w:tc>
        <w:tc>
          <w:tcPr>
            <w:tcW w:w="800" w:type="dxa"/>
            <w:tcBorders/>
            <w:shd w:fill="auto" w:val="clear"/>
            <w:vAlign w:val="center"/>
          </w:tcPr>
          <w:p>
            <w:pPr>
              <w:pStyle w:val="TableContents"/>
              <w:spacing w:before="0" w:after="0"/>
              <w:rPr>
                <w:bdr w:val="double" w:sz="6" w:space="1" w:color="000000"/>
              </w:rPr>
            </w:pPr>
            <w:r>
              <w:rPr>
                <w:bdr w:val="double" w:sz="6" w:space="1" w:color="000000"/>
              </w:rPr>
              <w:t> </w:t>
            </w:r>
          </w:p>
        </w:tc>
        <w:tc>
          <w:tcPr>
            <w:tcW w:w="75" w:type="dxa"/>
            <w:tcBorders/>
            <w:shd w:fill="auto" w:val="clear"/>
            <w:vAlign w:val="center"/>
          </w:tcPr>
          <w:p>
            <w:pPr>
              <w:pStyle w:val="TableContents"/>
              <w:spacing w:before="0" w:after="283"/>
              <w:rPr/>
            </w:pPr>
            <w:r>
              <w:rPr/>
              <w:t> </w:t>
            </w:r>
          </w:p>
        </w:tc>
      </w:tr>
    </w:tbl>
    <w:p>
      <w:pPr>
        <w:pStyle w:val="TextBody"/>
        <w:spacing w:before="24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Interest expense, net </w:t>
      </w:r>
    </w:p>
    <w:p>
      <w:pPr>
        <w:pStyle w:val="TextBody"/>
        <w:spacing w:before="240" w:after="0"/>
        <w:jc w:val="left"/>
        <w:rPr>
          <w:spacing w:val="0"/>
        </w:rPr>
      </w:pPr>
      <w:r>
        <w:rPr>
          <w:spacing w:val="0"/>
        </w:rPr>
        <w:t xml:space="preserve">— </w:t>
      </w:r>
      <w:r>
        <w:rPr>
          <w:rFonts w:ascii="Times New Roman" w:hAnsi="Times New Roman"/>
          <w:spacing w:val="0"/>
          <w:sz w:val="20"/>
        </w:rPr>
        <w:t xml:space="preserve">The following tables set forth our recorded interest expense, net: </w:t>
      </w:r>
    </w:p>
    <w:p>
      <w:pPr>
        <w:pStyle w:val="TextBody"/>
        <w:spacing w:before="0" w:after="0"/>
        <w:jc w:val="left"/>
        <w:rPr>
          <w:spacing w:val="0"/>
        </w:rPr>
      </w:pPr>
      <w:r>
        <w:rPr>
          <w:spacing w:val="0"/>
        </w:rPr>
        <w:t> </w:t>
      </w:r>
    </w:p>
    <w:tbl>
      <w:tblPr>
        <w:tblW w:w="7880" w:type="dxa"/>
        <w:jc w:val="left"/>
        <w:tblInd w:w="0" w:type="dxa"/>
        <w:tblCellMar>
          <w:top w:w="0" w:type="dxa"/>
          <w:left w:w="0" w:type="dxa"/>
          <w:bottom w:w="0" w:type="dxa"/>
          <w:right w:w="0" w:type="dxa"/>
        </w:tblCellMar>
      </w:tblPr>
      <w:tblGrid>
        <w:gridCol w:w="3335"/>
        <w:gridCol w:w="120"/>
        <w:gridCol w:w="210"/>
        <w:gridCol w:w="1025"/>
        <w:gridCol w:w="155"/>
        <w:gridCol w:w="120"/>
        <w:gridCol w:w="210"/>
        <w:gridCol w:w="1025"/>
        <w:gridCol w:w="155"/>
        <w:gridCol w:w="120"/>
        <w:gridCol w:w="210"/>
        <w:gridCol w:w="1025"/>
        <w:gridCol w:w="170"/>
      </w:tblGrid>
      <w:tr>
        <w:trPr/>
        <w:tc>
          <w:tcPr>
            <w:tcW w:w="333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102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102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1025"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r>
      <w:tr>
        <w:trPr/>
        <w:tc>
          <w:tcPr>
            <w:tcW w:w="333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235" w:type="dxa"/>
            <w:gridSpan w:val="2"/>
            <w:tcBorders/>
            <w:shd w:fill="auto" w:val="clear"/>
            <w:vAlign w:val="center"/>
          </w:tcPr>
          <w:p>
            <w:pPr>
              <w:pStyle w:val="TableContents"/>
              <w:spacing w:before="0" w:after="0"/>
              <w:jc w:val="center"/>
              <w:rPr>
                <w:b/>
                <w:spacing w:val="0"/>
              </w:rPr>
            </w:pPr>
            <w:r>
              <w:rPr>
                <w:b/>
                <w:spacing w:val="0"/>
              </w:rPr>
              <w:t>January 31,</w:t>
              <w:br/>
              <w:t>2021</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235" w:type="dxa"/>
            <w:gridSpan w:val="2"/>
            <w:tcBorders/>
            <w:shd w:fill="auto" w:val="clear"/>
            <w:vAlign w:val="center"/>
          </w:tcPr>
          <w:p>
            <w:pPr>
              <w:pStyle w:val="TableContents"/>
              <w:spacing w:before="0" w:after="0"/>
              <w:jc w:val="center"/>
              <w:rPr>
                <w:b/>
                <w:spacing w:val="0"/>
              </w:rPr>
            </w:pPr>
            <w:r>
              <w:rPr>
                <w:b/>
                <w:spacing w:val="0"/>
              </w:rPr>
              <w:t>February 2,</w:t>
              <w:br/>
              <w:t>2020</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235" w:type="dxa"/>
            <w:gridSpan w:val="2"/>
            <w:tcBorders/>
            <w:shd w:fill="auto" w:val="clear"/>
            <w:vAlign w:val="center"/>
          </w:tcPr>
          <w:p>
            <w:pPr>
              <w:pStyle w:val="TableContents"/>
              <w:spacing w:before="0" w:after="0"/>
              <w:jc w:val="center"/>
              <w:rPr>
                <w:b/>
                <w:spacing w:val="0"/>
              </w:rPr>
            </w:pPr>
            <w:r>
              <w:rPr>
                <w:b/>
                <w:spacing w:val="0"/>
              </w:rPr>
              <w:t>February 3,</w:t>
              <w:br/>
              <w:t>2019</w:t>
            </w:r>
          </w:p>
        </w:tc>
        <w:tc>
          <w:tcPr>
            <w:tcW w:w="170" w:type="dxa"/>
            <w:tcBorders/>
            <w:shd w:fill="auto" w:val="clear"/>
            <w:vAlign w:val="center"/>
          </w:tcPr>
          <w:p>
            <w:pPr>
              <w:pStyle w:val="TableContents"/>
              <w:spacing w:before="0" w:after="283"/>
              <w:rPr/>
            </w:pPr>
            <w:r>
              <w:rPr/>
              <w:t> </w:t>
            </w:r>
          </w:p>
        </w:tc>
      </w:tr>
      <w:tr>
        <w:trPr/>
        <w:tc>
          <w:tcPr>
            <w:tcW w:w="333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Interest expense on debt</w:t>
            </w:r>
          </w:p>
        </w:tc>
        <w:tc>
          <w:tcPr>
            <w:tcW w:w="120" w:type="dxa"/>
            <w:tcBorders/>
            <w:shd w:fill="CCEEFF" w:val="clear"/>
            <w:vAlign w:val="center"/>
          </w:tcPr>
          <w:p>
            <w:pPr>
              <w:pStyle w:val="TableContents"/>
              <w:spacing w:before="0" w:after="283"/>
              <w:rPr/>
            </w:pPr>
            <w:r>
              <w:rPr/>
              <w:t>  </w:t>
            </w:r>
          </w:p>
        </w:tc>
        <w:tc>
          <w:tcPr>
            <w:tcW w:w="210" w:type="dxa"/>
            <w:tcBorders/>
            <w:shd w:fill="CCEEFF" w:val="clear"/>
            <w:vAlign w:val="center"/>
          </w:tcPr>
          <w:p>
            <w:pPr>
              <w:pStyle w:val="TableContents"/>
              <w:spacing w:before="0" w:after="283"/>
              <w:rPr/>
            </w:pPr>
            <w:r>
              <w:rPr/>
              <w:t>$</w:t>
            </w:r>
          </w:p>
        </w:tc>
        <w:tc>
          <w:tcPr>
            <w:tcW w:w="1025" w:type="dxa"/>
            <w:tcBorders/>
            <w:shd w:fill="CCEEFF" w:val="clear"/>
            <w:vAlign w:val="center"/>
          </w:tcPr>
          <w:p>
            <w:pPr>
              <w:pStyle w:val="TableContents"/>
              <w:spacing w:before="0" w:after="283"/>
              <w:jc w:val="right"/>
              <w:rPr/>
            </w:pPr>
            <w:r>
              <w:rPr/>
              <w:t>29,124</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210" w:type="dxa"/>
            <w:tcBorders/>
            <w:shd w:fill="CCEEFF" w:val="clear"/>
            <w:vAlign w:val="center"/>
          </w:tcPr>
          <w:p>
            <w:pPr>
              <w:pStyle w:val="TableContents"/>
              <w:spacing w:before="0" w:after="283"/>
              <w:rPr/>
            </w:pPr>
            <w:r>
              <w:rPr/>
              <w:t>$</w:t>
            </w:r>
          </w:p>
        </w:tc>
        <w:tc>
          <w:tcPr>
            <w:tcW w:w="1025" w:type="dxa"/>
            <w:tcBorders/>
            <w:shd w:fill="CCEEFF" w:val="clear"/>
            <w:vAlign w:val="center"/>
          </w:tcPr>
          <w:p>
            <w:pPr>
              <w:pStyle w:val="TableContents"/>
              <w:spacing w:before="0" w:after="283"/>
              <w:jc w:val="right"/>
              <w:rPr/>
            </w:pPr>
            <w:r>
              <w:rPr/>
              <w:t>20,277</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210" w:type="dxa"/>
            <w:tcBorders/>
            <w:shd w:fill="CCEEFF" w:val="clear"/>
            <w:vAlign w:val="center"/>
          </w:tcPr>
          <w:p>
            <w:pPr>
              <w:pStyle w:val="TableContents"/>
              <w:spacing w:before="0" w:after="283"/>
              <w:rPr/>
            </w:pPr>
            <w:r>
              <w:rPr/>
              <w:t>$</w:t>
            </w:r>
          </w:p>
        </w:tc>
        <w:tc>
          <w:tcPr>
            <w:tcW w:w="1025" w:type="dxa"/>
            <w:tcBorders/>
            <w:shd w:fill="CCEEFF" w:val="clear"/>
            <w:vAlign w:val="center"/>
          </w:tcPr>
          <w:p>
            <w:pPr>
              <w:pStyle w:val="TableContents"/>
              <w:spacing w:before="0" w:after="283"/>
              <w:jc w:val="right"/>
              <w:rPr/>
            </w:pPr>
            <w:r>
              <w:rPr/>
              <w:t>13,408</w:t>
            </w:r>
          </w:p>
        </w:tc>
        <w:tc>
          <w:tcPr>
            <w:tcW w:w="170" w:type="dxa"/>
            <w:tcBorders/>
            <w:shd w:fill="CCEEFF" w:val="clear"/>
            <w:vAlign w:val="center"/>
          </w:tcPr>
          <w:p>
            <w:pPr>
              <w:pStyle w:val="TableContents"/>
              <w:spacing w:before="0" w:after="283"/>
              <w:rPr/>
            </w:pPr>
            <w:r>
              <w:rPr/>
              <w:t> </w:t>
            </w:r>
          </w:p>
        </w:tc>
      </w:tr>
      <w:tr>
        <w:trPr/>
        <w:tc>
          <w:tcPr>
            <w:tcW w:w="333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Interest associated with swap agreements</w:t>
            </w:r>
          </w:p>
        </w:tc>
        <w:tc>
          <w:tcPr>
            <w:tcW w:w="120" w:type="dxa"/>
            <w:tcBorders/>
            <w:shd w:fill="auto" w:val="clear"/>
            <w:vAlign w:val="center"/>
          </w:tcPr>
          <w:p>
            <w:pPr>
              <w:pStyle w:val="TableContents"/>
              <w:spacing w:before="0" w:after="283"/>
              <w:rPr/>
            </w:pPr>
            <w:r>
              <w:rPr/>
              <w:t>  </w:t>
            </w:r>
          </w:p>
        </w:tc>
        <w:tc>
          <w:tcPr>
            <w:tcW w:w="210" w:type="dxa"/>
            <w:tcBorders/>
            <w:shd w:fill="auto" w:val="clear"/>
            <w:vAlign w:val="center"/>
          </w:tcPr>
          <w:p>
            <w:pPr>
              <w:pStyle w:val="TableContents"/>
              <w:spacing w:before="0" w:after="283"/>
              <w:rPr/>
            </w:pPr>
            <w:r>
              <w:rPr/>
              <w:t> </w:t>
            </w:r>
          </w:p>
        </w:tc>
        <w:tc>
          <w:tcPr>
            <w:tcW w:w="1025" w:type="dxa"/>
            <w:tcBorders/>
            <w:shd w:fill="auto" w:val="clear"/>
            <w:vAlign w:val="center"/>
          </w:tcPr>
          <w:p>
            <w:pPr>
              <w:pStyle w:val="TableContents"/>
              <w:spacing w:before="0" w:after="283"/>
              <w:jc w:val="right"/>
              <w:rPr/>
            </w:pPr>
            <w:r>
              <w:rPr/>
              <w:t>6,453</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10" w:type="dxa"/>
            <w:tcBorders/>
            <w:shd w:fill="auto" w:val="clear"/>
            <w:vAlign w:val="center"/>
          </w:tcPr>
          <w:p>
            <w:pPr>
              <w:pStyle w:val="TableContents"/>
              <w:spacing w:before="0" w:after="283"/>
              <w:rPr/>
            </w:pPr>
            <w:r>
              <w:rPr/>
              <w:t> </w:t>
            </w:r>
          </w:p>
        </w:tc>
        <w:tc>
          <w:tcPr>
            <w:tcW w:w="1025" w:type="dxa"/>
            <w:tcBorders/>
            <w:shd w:fill="auto" w:val="clear"/>
            <w:vAlign w:val="center"/>
          </w:tcPr>
          <w:p>
            <w:pPr>
              <w:pStyle w:val="TableContents"/>
              <w:spacing w:before="0" w:after="283"/>
              <w:jc w:val="right"/>
              <w:rPr/>
            </w:pPr>
            <w:r>
              <w:rPr/>
              <w:t>969</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10" w:type="dxa"/>
            <w:tcBorders/>
            <w:shd w:fill="auto" w:val="clear"/>
            <w:vAlign w:val="center"/>
          </w:tcPr>
          <w:p>
            <w:pPr>
              <w:pStyle w:val="TableContents"/>
              <w:spacing w:before="0" w:after="283"/>
              <w:rPr/>
            </w:pPr>
            <w:r>
              <w:rPr/>
              <w:t> </w:t>
            </w:r>
          </w:p>
        </w:tc>
        <w:tc>
          <w:tcPr>
            <w:tcW w:w="1025" w:type="dxa"/>
            <w:tcBorders/>
            <w:shd w:fill="auto" w:val="clear"/>
            <w:vAlign w:val="center"/>
          </w:tcPr>
          <w:p>
            <w:pPr>
              <w:pStyle w:val="TableContents"/>
              <w:spacing w:before="0" w:after="283"/>
              <w:jc w:val="right"/>
              <w:rPr/>
            </w:pPr>
            <w:r>
              <w:rPr/>
              <w:t>—</w:t>
            </w:r>
          </w:p>
        </w:tc>
        <w:tc>
          <w:tcPr>
            <w:tcW w:w="170" w:type="dxa"/>
            <w:tcBorders/>
            <w:shd w:fill="auto" w:val="clear"/>
            <w:vAlign w:val="center"/>
          </w:tcPr>
          <w:p>
            <w:pPr>
              <w:pStyle w:val="TableContents"/>
              <w:spacing w:before="0" w:after="283"/>
              <w:rPr/>
            </w:pPr>
            <w:r>
              <w:rPr/>
              <w:t> </w:t>
            </w:r>
          </w:p>
        </w:tc>
      </w:tr>
      <w:tr>
        <w:trPr/>
        <w:tc>
          <w:tcPr>
            <w:tcW w:w="333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Amortization of issuance cost</w:t>
            </w:r>
          </w:p>
        </w:tc>
        <w:tc>
          <w:tcPr>
            <w:tcW w:w="120" w:type="dxa"/>
            <w:tcBorders/>
            <w:shd w:fill="CCEEFF" w:val="clear"/>
            <w:vAlign w:val="center"/>
          </w:tcPr>
          <w:p>
            <w:pPr>
              <w:pStyle w:val="TableContents"/>
              <w:spacing w:before="0" w:after="283"/>
              <w:rPr/>
            </w:pPr>
            <w:r>
              <w:rPr/>
              <w:t>  </w:t>
            </w:r>
          </w:p>
        </w:tc>
        <w:tc>
          <w:tcPr>
            <w:tcW w:w="210" w:type="dxa"/>
            <w:tcBorders/>
            <w:shd w:fill="CCEEFF" w:val="clear"/>
            <w:vAlign w:val="center"/>
          </w:tcPr>
          <w:p>
            <w:pPr>
              <w:pStyle w:val="TableContents"/>
              <w:spacing w:before="0" w:after="283"/>
              <w:rPr/>
            </w:pPr>
            <w:r>
              <w:rPr/>
              <w:t> </w:t>
            </w:r>
          </w:p>
        </w:tc>
        <w:tc>
          <w:tcPr>
            <w:tcW w:w="1025" w:type="dxa"/>
            <w:tcBorders/>
            <w:shd w:fill="CCEEFF" w:val="clear"/>
            <w:vAlign w:val="center"/>
          </w:tcPr>
          <w:p>
            <w:pPr>
              <w:pStyle w:val="TableContents"/>
              <w:spacing w:before="0" w:after="283"/>
              <w:jc w:val="right"/>
              <w:rPr/>
            </w:pPr>
            <w:r>
              <w:rPr/>
              <w:t>2,184</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210" w:type="dxa"/>
            <w:tcBorders/>
            <w:shd w:fill="CCEEFF" w:val="clear"/>
            <w:vAlign w:val="center"/>
          </w:tcPr>
          <w:p>
            <w:pPr>
              <w:pStyle w:val="TableContents"/>
              <w:spacing w:before="0" w:after="283"/>
              <w:rPr/>
            </w:pPr>
            <w:r>
              <w:rPr/>
              <w:t> </w:t>
            </w:r>
          </w:p>
        </w:tc>
        <w:tc>
          <w:tcPr>
            <w:tcW w:w="1025" w:type="dxa"/>
            <w:tcBorders/>
            <w:shd w:fill="CCEEFF" w:val="clear"/>
            <w:vAlign w:val="center"/>
          </w:tcPr>
          <w:p>
            <w:pPr>
              <w:pStyle w:val="TableContents"/>
              <w:spacing w:before="0" w:after="283"/>
              <w:jc w:val="right"/>
              <w:rPr/>
            </w:pPr>
            <w:r>
              <w:rPr/>
              <w:t>792</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210" w:type="dxa"/>
            <w:tcBorders/>
            <w:shd w:fill="CCEEFF" w:val="clear"/>
            <w:vAlign w:val="center"/>
          </w:tcPr>
          <w:p>
            <w:pPr>
              <w:pStyle w:val="TableContents"/>
              <w:spacing w:before="0" w:after="283"/>
              <w:rPr/>
            </w:pPr>
            <w:r>
              <w:rPr/>
              <w:t> </w:t>
            </w:r>
          </w:p>
        </w:tc>
        <w:tc>
          <w:tcPr>
            <w:tcW w:w="1025" w:type="dxa"/>
            <w:tcBorders/>
            <w:shd w:fill="CCEEFF" w:val="clear"/>
            <w:vAlign w:val="center"/>
          </w:tcPr>
          <w:p>
            <w:pPr>
              <w:pStyle w:val="TableContents"/>
              <w:spacing w:before="0" w:after="283"/>
              <w:jc w:val="right"/>
              <w:rPr/>
            </w:pPr>
            <w:r>
              <w:rPr/>
              <w:t>792</w:t>
            </w:r>
          </w:p>
        </w:tc>
        <w:tc>
          <w:tcPr>
            <w:tcW w:w="170" w:type="dxa"/>
            <w:tcBorders/>
            <w:shd w:fill="CCEEFF" w:val="clear"/>
            <w:vAlign w:val="center"/>
          </w:tcPr>
          <w:p>
            <w:pPr>
              <w:pStyle w:val="TableContents"/>
              <w:spacing w:before="0" w:after="283"/>
              <w:rPr/>
            </w:pPr>
            <w:r>
              <w:rPr/>
              <w:t> </w:t>
            </w:r>
          </w:p>
        </w:tc>
      </w:tr>
      <w:tr>
        <w:trPr/>
        <w:tc>
          <w:tcPr>
            <w:tcW w:w="333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Interest income</w:t>
            </w:r>
          </w:p>
        </w:tc>
        <w:tc>
          <w:tcPr>
            <w:tcW w:w="120" w:type="dxa"/>
            <w:tcBorders/>
            <w:shd w:fill="auto" w:val="clear"/>
            <w:vAlign w:val="center"/>
          </w:tcPr>
          <w:p>
            <w:pPr>
              <w:pStyle w:val="TableContents"/>
              <w:spacing w:before="0" w:after="283"/>
              <w:rPr/>
            </w:pPr>
            <w:r>
              <w:rPr/>
              <w:t>  </w:t>
            </w:r>
          </w:p>
        </w:tc>
        <w:tc>
          <w:tcPr>
            <w:tcW w:w="210" w:type="dxa"/>
            <w:tcBorders/>
            <w:shd w:fill="auto" w:val="clear"/>
            <w:vAlign w:val="center"/>
          </w:tcPr>
          <w:p>
            <w:pPr>
              <w:pStyle w:val="TableContents"/>
              <w:spacing w:before="0" w:after="283"/>
              <w:rPr/>
            </w:pPr>
            <w:r>
              <w:rPr/>
              <w:t> </w:t>
            </w:r>
          </w:p>
        </w:tc>
        <w:tc>
          <w:tcPr>
            <w:tcW w:w="1025" w:type="dxa"/>
            <w:tcBorders/>
            <w:shd w:fill="auto" w:val="clear"/>
            <w:vAlign w:val="center"/>
          </w:tcPr>
          <w:p>
            <w:pPr>
              <w:pStyle w:val="TableContents"/>
              <w:spacing w:before="0" w:after="283"/>
              <w:jc w:val="right"/>
              <w:rPr/>
            </w:pPr>
            <w:r>
              <w:rPr/>
              <w:t>(22</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10" w:type="dxa"/>
            <w:tcBorders/>
            <w:shd w:fill="auto" w:val="clear"/>
            <w:vAlign w:val="center"/>
          </w:tcPr>
          <w:p>
            <w:pPr>
              <w:pStyle w:val="TableContents"/>
              <w:spacing w:before="0" w:after="283"/>
              <w:rPr/>
            </w:pPr>
            <w:r>
              <w:rPr/>
              <w:t> </w:t>
            </w:r>
          </w:p>
        </w:tc>
        <w:tc>
          <w:tcPr>
            <w:tcW w:w="1025" w:type="dxa"/>
            <w:tcBorders/>
            <w:shd w:fill="auto" w:val="clear"/>
            <w:vAlign w:val="center"/>
          </w:tcPr>
          <w:p>
            <w:pPr>
              <w:pStyle w:val="TableContents"/>
              <w:spacing w:before="0" w:after="283"/>
              <w:jc w:val="right"/>
              <w:rPr/>
            </w:pPr>
            <w:r>
              <w:rPr/>
              <w:t>(119</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10" w:type="dxa"/>
            <w:tcBorders/>
            <w:shd w:fill="auto" w:val="clear"/>
            <w:vAlign w:val="center"/>
          </w:tcPr>
          <w:p>
            <w:pPr>
              <w:pStyle w:val="TableContents"/>
              <w:spacing w:before="0" w:after="283"/>
              <w:rPr/>
            </w:pPr>
            <w:r>
              <w:rPr/>
              <w:t> </w:t>
            </w:r>
          </w:p>
        </w:tc>
        <w:tc>
          <w:tcPr>
            <w:tcW w:w="1025" w:type="dxa"/>
            <w:tcBorders/>
            <w:shd w:fill="auto" w:val="clear"/>
            <w:vAlign w:val="center"/>
          </w:tcPr>
          <w:p>
            <w:pPr>
              <w:pStyle w:val="TableContents"/>
              <w:spacing w:before="0" w:after="283"/>
              <w:jc w:val="right"/>
              <w:rPr/>
            </w:pPr>
            <w:r>
              <w:rPr/>
              <w:t>(136</w:t>
            </w:r>
          </w:p>
        </w:tc>
        <w:tc>
          <w:tcPr>
            <w:tcW w:w="170" w:type="dxa"/>
            <w:tcBorders/>
            <w:shd w:fill="auto" w:val="clear"/>
            <w:vAlign w:val="center"/>
          </w:tcPr>
          <w:p>
            <w:pPr>
              <w:pStyle w:val="TableContents"/>
              <w:spacing w:before="0" w:after="283"/>
              <w:rPr/>
            </w:pPr>
            <w:r>
              <w:rPr/>
              <w:t>) </w:t>
            </w:r>
          </w:p>
        </w:tc>
      </w:tr>
      <w:tr>
        <w:trPr/>
        <w:tc>
          <w:tcPr>
            <w:tcW w:w="333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Capitalized interest</w:t>
            </w:r>
          </w:p>
        </w:tc>
        <w:tc>
          <w:tcPr>
            <w:tcW w:w="120" w:type="dxa"/>
            <w:tcBorders/>
            <w:shd w:fill="CCEEFF" w:val="clear"/>
            <w:vAlign w:val="center"/>
          </w:tcPr>
          <w:p>
            <w:pPr>
              <w:pStyle w:val="TableContents"/>
              <w:spacing w:before="0" w:after="283"/>
              <w:rPr/>
            </w:pPr>
            <w:r>
              <w:rPr/>
              <w:t>  </w:t>
            </w:r>
          </w:p>
        </w:tc>
        <w:tc>
          <w:tcPr>
            <w:tcW w:w="210" w:type="dxa"/>
            <w:tcBorders/>
            <w:shd w:fill="CCEEFF" w:val="clear"/>
            <w:vAlign w:val="center"/>
          </w:tcPr>
          <w:p>
            <w:pPr>
              <w:pStyle w:val="TableContents"/>
              <w:spacing w:before="0" w:after="283"/>
              <w:rPr/>
            </w:pPr>
            <w:r>
              <w:rPr/>
              <w:t> </w:t>
            </w:r>
          </w:p>
        </w:tc>
        <w:tc>
          <w:tcPr>
            <w:tcW w:w="1025" w:type="dxa"/>
            <w:tcBorders/>
            <w:shd w:fill="CCEEFF" w:val="clear"/>
            <w:vAlign w:val="center"/>
          </w:tcPr>
          <w:p>
            <w:pPr>
              <w:pStyle w:val="TableContents"/>
              <w:spacing w:before="0" w:after="283"/>
              <w:jc w:val="right"/>
              <w:rPr/>
            </w:pPr>
            <w:r>
              <w:rPr/>
              <w:t>(849</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210" w:type="dxa"/>
            <w:tcBorders/>
            <w:shd w:fill="CCEEFF" w:val="clear"/>
            <w:vAlign w:val="center"/>
          </w:tcPr>
          <w:p>
            <w:pPr>
              <w:pStyle w:val="TableContents"/>
              <w:spacing w:before="0" w:after="283"/>
              <w:rPr/>
            </w:pPr>
            <w:r>
              <w:rPr/>
              <w:t> </w:t>
            </w:r>
          </w:p>
        </w:tc>
        <w:tc>
          <w:tcPr>
            <w:tcW w:w="1025" w:type="dxa"/>
            <w:tcBorders/>
            <w:shd w:fill="CCEEFF" w:val="clear"/>
            <w:vAlign w:val="center"/>
          </w:tcPr>
          <w:p>
            <w:pPr>
              <w:pStyle w:val="TableContents"/>
              <w:spacing w:before="0" w:after="283"/>
              <w:jc w:val="right"/>
              <w:rPr/>
            </w:pPr>
            <w:r>
              <w:rPr/>
              <w:t>(982</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210" w:type="dxa"/>
            <w:tcBorders/>
            <w:shd w:fill="CCEEFF" w:val="clear"/>
            <w:vAlign w:val="center"/>
          </w:tcPr>
          <w:p>
            <w:pPr>
              <w:pStyle w:val="TableContents"/>
              <w:spacing w:before="0" w:after="283"/>
              <w:rPr/>
            </w:pPr>
            <w:r>
              <w:rPr/>
              <w:t> </w:t>
            </w:r>
          </w:p>
        </w:tc>
        <w:tc>
          <w:tcPr>
            <w:tcW w:w="1025" w:type="dxa"/>
            <w:tcBorders/>
            <w:shd w:fill="CCEEFF" w:val="clear"/>
            <w:vAlign w:val="center"/>
          </w:tcPr>
          <w:p>
            <w:pPr>
              <w:pStyle w:val="TableContents"/>
              <w:spacing w:before="0" w:after="283"/>
              <w:jc w:val="right"/>
              <w:rPr/>
            </w:pPr>
            <w:r>
              <w:rPr/>
              <w:t>(1,009</w:t>
            </w:r>
          </w:p>
        </w:tc>
        <w:tc>
          <w:tcPr>
            <w:tcW w:w="170" w:type="dxa"/>
            <w:tcBorders/>
            <w:shd w:fill="CCEEFF" w:val="clear"/>
            <w:vAlign w:val="center"/>
          </w:tcPr>
          <w:p>
            <w:pPr>
              <w:pStyle w:val="TableContents"/>
              <w:spacing w:before="0" w:after="283"/>
              <w:rPr/>
            </w:pPr>
            <w:r>
              <w:rPr/>
              <w:t>) </w:t>
            </w:r>
          </w:p>
        </w:tc>
      </w:tr>
      <w:tr>
        <w:trPr/>
        <w:tc>
          <w:tcPr>
            <w:tcW w:w="333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Change in fair value of interest rate cap</w:t>
            </w:r>
          </w:p>
        </w:tc>
        <w:tc>
          <w:tcPr>
            <w:tcW w:w="120" w:type="dxa"/>
            <w:tcBorders/>
            <w:shd w:fill="auto" w:val="clear"/>
            <w:vAlign w:val="center"/>
          </w:tcPr>
          <w:p>
            <w:pPr>
              <w:pStyle w:val="TableContents"/>
              <w:spacing w:before="0" w:after="283"/>
              <w:rPr/>
            </w:pPr>
            <w:r>
              <w:rPr/>
              <w:t>  </w:t>
            </w:r>
          </w:p>
        </w:tc>
        <w:tc>
          <w:tcPr>
            <w:tcW w:w="210" w:type="dxa"/>
            <w:tcBorders/>
            <w:shd w:fill="auto" w:val="clear"/>
            <w:vAlign w:val="center"/>
          </w:tcPr>
          <w:p>
            <w:pPr>
              <w:pStyle w:val="TableContents"/>
              <w:spacing w:before="0" w:after="283"/>
              <w:rPr/>
            </w:pPr>
            <w:r>
              <w:rPr/>
              <w:t> </w:t>
            </w:r>
          </w:p>
        </w:tc>
        <w:tc>
          <w:tcPr>
            <w:tcW w:w="1025"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10" w:type="dxa"/>
            <w:tcBorders/>
            <w:shd w:fill="auto" w:val="clear"/>
            <w:vAlign w:val="center"/>
          </w:tcPr>
          <w:p>
            <w:pPr>
              <w:pStyle w:val="TableContents"/>
              <w:spacing w:before="0" w:after="283"/>
              <w:rPr/>
            </w:pPr>
            <w:r>
              <w:rPr/>
              <w:t> </w:t>
            </w:r>
          </w:p>
        </w:tc>
        <w:tc>
          <w:tcPr>
            <w:tcW w:w="1025" w:type="dxa"/>
            <w:tcBorders/>
            <w:shd w:fill="auto" w:val="cle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10" w:type="dxa"/>
            <w:tcBorders/>
            <w:shd w:fill="auto" w:val="clear"/>
            <w:vAlign w:val="center"/>
          </w:tcPr>
          <w:p>
            <w:pPr>
              <w:pStyle w:val="TableContents"/>
              <w:spacing w:before="0" w:after="283"/>
              <w:rPr/>
            </w:pPr>
            <w:r>
              <w:rPr/>
              <w:t> </w:t>
            </w:r>
          </w:p>
        </w:tc>
        <w:tc>
          <w:tcPr>
            <w:tcW w:w="1025" w:type="dxa"/>
            <w:tcBorders/>
            <w:shd w:fill="auto" w:val="clear"/>
            <w:vAlign w:val="center"/>
          </w:tcPr>
          <w:p>
            <w:pPr>
              <w:pStyle w:val="TableContents"/>
              <w:spacing w:before="0" w:after="283"/>
              <w:jc w:val="right"/>
              <w:rPr/>
            </w:pPr>
            <w:r>
              <w:rPr/>
              <w:t>58</w:t>
            </w:r>
          </w:p>
        </w:tc>
        <w:tc>
          <w:tcPr>
            <w:tcW w:w="170" w:type="dxa"/>
            <w:tcBorders/>
            <w:shd w:fill="auto" w:val="clear"/>
            <w:vAlign w:val="center"/>
          </w:tcPr>
          <w:p>
            <w:pPr>
              <w:pStyle w:val="TableContents"/>
              <w:spacing w:before="0" w:after="283"/>
              <w:rPr/>
            </w:pPr>
            <w:r>
              <w:rPr/>
              <w:t> </w:t>
            </w:r>
          </w:p>
        </w:tc>
      </w:tr>
      <w:tr>
        <w:trPr/>
        <w:tc>
          <w:tcPr>
            <w:tcW w:w="333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10" w:type="dxa"/>
            <w:tcBorders/>
            <w:shd w:fill="auto" w:val="clear"/>
            <w:vAlign w:val="center"/>
          </w:tcPr>
          <w:p>
            <w:pPr>
              <w:pStyle w:val="TableContents"/>
              <w:spacing w:before="0" w:after="0"/>
              <w:rPr>
                <w:bdr w:val="single" w:sz="2" w:space="1" w:color="000000"/>
              </w:rPr>
            </w:pPr>
            <w:r>
              <w:rPr>
                <w:bdr w:val="single" w:sz="2" w:space="1" w:color="000000"/>
              </w:rPr>
              <w:t> </w:t>
            </w:r>
          </w:p>
        </w:tc>
        <w:tc>
          <w:tcPr>
            <w:tcW w:w="1025"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10" w:type="dxa"/>
            <w:tcBorders/>
            <w:shd w:fill="auto" w:val="clear"/>
            <w:vAlign w:val="center"/>
          </w:tcPr>
          <w:p>
            <w:pPr>
              <w:pStyle w:val="TableContents"/>
              <w:spacing w:before="0" w:after="0"/>
              <w:rPr>
                <w:bdr w:val="single" w:sz="2" w:space="1" w:color="000000"/>
              </w:rPr>
            </w:pPr>
            <w:r>
              <w:rPr>
                <w:bdr w:val="single" w:sz="2" w:space="1" w:color="000000"/>
              </w:rPr>
              <w:t> </w:t>
            </w:r>
          </w:p>
        </w:tc>
        <w:tc>
          <w:tcPr>
            <w:tcW w:w="1025"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10" w:type="dxa"/>
            <w:tcBorders/>
            <w:shd w:fill="auto" w:val="clear"/>
            <w:vAlign w:val="center"/>
          </w:tcPr>
          <w:p>
            <w:pPr>
              <w:pStyle w:val="TableContents"/>
              <w:spacing w:before="0" w:after="0"/>
              <w:rPr>
                <w:bdr w:val="single" w:sz="2" w:space="1" w:color="000000"/>
              </w:rPr>
            </w:pPr>
            <w:r>
              <w:rPr>
                <w:bdr w:val="single" w:sz="2" w:space="1" w:color="000000"/>
              </w:rPr>
              <w:t> </w:t>
            </w:r>
          </w:p>
        </w:tc>
        <w:tc>
          <w:tcPr>
            <w:tcW w:w="1025" w:type="dxa"/>
            <w:tcBorders/>
            <w:shd w:fill="auto" w:val="clear"/>
            <w:vAlign w:val="center"/>
          </w:tcPr>
          <w:p>
            <w:pPr>
              <w:pStyle w:val="TableContents"/>
              <w:spacing w:before="0" w:after="0"/>
              <w:rPr>
                <w:bdr w:val="single" w:sz="2" w:space="1" w:color="000000"/>
              </w:rPr>
            </w:pPr>
            <w:r>
              <w:rPr>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333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Total interest expense, net</w:t>
            </w:r>
          </w:p>
        </w:tc>
        <w:tc>
          <w:tcPr>
            <w:tcW w:w="120" w:type="dxa"/>
            <w:tcBorders/>
            <w:shd w:fill="CCEEFF" w:val="clear"/>
            <w:vAlign w:val="center"/>
          </w:tcPr>
          <w:p>
            <w:pPr>
              <w:pStyle w:val="TableContents"/>
              <w:spacing w:before="0" w:after="283"/>
              <w:rPr/>
            </w:pPr>
            <w:r>
              <w:rPr/>
              <w:t>  </w:t>
            </w:r>
          </w:p>
        </w:tc>
        <w:tc>
          <w:tcPr>
            <w:tcW w:w="210" w:type="dxa"/>
            <w:tcBorders/>
            <w:shd w:fill="CCEEFF" w:val="clear"/>
            <w:vAlign w:val="center"/>
          </w:tcPr>
          <w:p>
            <w:pPr>
              <w:pStyle w:val="TableContents"/>
              <w:spacing w:before="0" w:after="283"/>
              <w:rPr/>
            </w:pPr>
            <w:r>
              <w:rPr/>
              <w:t>$</w:t>
            </w:r>
          </w:p>
        </w:tc>
        <w:tc>
          <w:tcPr>
            <w:tcW w:w="1025" w:type="dxa"/>
            <w:tcBorders/>
            <w:shd w:fill="CCEEFF" w:val="clear"/>
            <w:vAlign w:val="center"/>
          </w:tcPr>
          <w:p>
            <w:pPr>
              <w:pStyle w:val="TableContents"/>
              <w:spacing w:before="0" w:after="283"/>
              <w:jc w:val="right"/>
              <w:rPr/>
            </w:pPr>
            <w:r>
              <w:rPr/>
              <w:t>36,890</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210" w:type="dxa"/>
            <w:tcBorders/>
            <w:shd w:fill="CCEEFF" w:val="clear"/>
            <w:vAlign w:val="center"/>
          </w:tcPr>
          <w:p>
            <w:pPr>
              <w:pStyle w:val="TableContents"/>
              <w:spacing w:before="0" w:after="283"/>
              <w:rPr/>
            </w:pPr>
            <w:r>
              <w:rPr/>
              <w:t>$</w:t>
            </w:r>
          </w:p>
        </w:tc>
        <w:tc>
          <w:tcPr>
            <w:tcW w:w="1025" w:type="dxa"/>
            <w:tcBorders/>
            <w:shd w:fill="CCEEFF" w:val="clear"/>
            <w:vAlign w:val="center"/>
          </w:tcPr>
          <w:p>
            <w:pPr>
              <w:pStyle w:val="TableContents"/>
              <w:spacing w:before="0" w:after="283"/>
              <w:jc w:val="right"/>
              <w:rPr/>
            </w:pPr>
            <w:r>
              <w:rPr/>
              <w:t>20,937</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210" w:type="dxa"/>
            <w:tcBorders/>
            <w:shd w:fill="CCEEFF" w:val="clear"/>
            <w:vAlign w:val="center"/>
          </w:tcPr>
          <w:p>
            <w:pPr>
              <w:pStyle w:val="TableContents"/>
              <w:spacing w:before="0" w:after="283"/>
              <w:rPr/>
            </w:pPr>
            <w:r>
              <w:rPr/>
              <w:t>$</w:t>
            </w:r>
          </w:p>
        </w:tc>
        <w:tc>
          <w:tcPr>
            <w:tcW w:w="1025" w:type="dxa"/>
            <w:tcBorders/>
            <w:shd w:fill="CCEEFF" w:val="clear"/>
            <w:vAlign w:val="center"/>
          </w:tcPr>
          <w:p>
            <w:pPr>
              <w:pStyle w:val="TableContents"/>
              <w:spacing w:before="0" w:after="283"/>
              <w:jc w:val="right"/>
              <w:rPr/>
            </w:pPr>
            <w:r>
              <w:rPr/>
              <w:t>13,113</w:t>
            </w:r>
          </w:p>
        </w:tc>
        <w:tc>
          <w:tcPr>
            <w:tcW w:w="170" w:type="dxa"/>
            <w:tcBorders/>
            <w:shd w:fill="CCEEFF" w:val="clear"/>
            <w:vAlign w:val="center"/>
          </w:tcPr>
          <w:p>
            <w:pPr>
              <w:pStyle w:val="TableContents"/>
              <w:spacing w:before="0" w:after="283"/>
              <w:rPr/>
            </w:pPr>
            <w:r>
              <w:rPr/>
              <w:t> </w:t>
            </w:r>
          </w:p>
        </w:tc>
      </w:tr>
      <w:tr>
        <w:trPr/>
        <w:tc>
          <w:tcPr>
            <w:tcW w:w="333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10" w:type="dxa"/>
            <w:tcBorders/>
            <w:shd w:fill="auto" w:val="clear"/>
            <w:vAlign w:val="center"/>
          </w:tcPr>
          <w:p>
            <w:pPr>
              <w:pStyle w:val="TableContents"/>
              <w:spacing w:before="0" w:after="0"/>
              <w:rPr>
                <w:bdr w:val="double" w:sz="6" w:space="1" w:color="000000"/>
              </w:rPr>
            </w:pPr>
            <w:r>
              <w:rPr>
                <w:bdr w:val="double" w:sz="6" w:space="1" w:color="000000"/>
              </w:rPr>
              <w:t> </w:t>
            </w:r>
          </w:p>
        </w:tc>
        <w:tc>
          <w:tcPr>
            <w:tcW w:w="1025" w:type="dxa"/>
            <w:tcBorders/>
            <w:shd w:fill="auto" w:val="clear"/>
            <w:vAlign w:val="center"/>
          </w:tcPr>
          <w:p>
            <w:pPr>
              <w:pStyle w:val="TableContents"/>
              <w:spacing w:before="0" w:after="0"/>
              <w:rPr>
                <w:bdr w:val="double" w:sz="6" w:space="1" w:color="000000"/>
              </w:rPr>
            </w:pPr>
            <w:r>
              <w:rPr>
                <w:bdr w:val="double" w:sz="6" w:space="1" w:color="000000"/>
              </w:rPr>
              <w:t> </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10" w:type="dxa"/>
            <w:tcBorders/>
            <w:shd w:fill="auto" w:val="clear"/>
            <w:vAlign w:val="center"/>
          </w:tcPr>
          <w:p>
            <w:pPr>
              <w:pStyle w:val="TableContents"/>
              <w:spacing w:before="0" w:after="0"/>
              <w:rPr>
                <w:bdr w:val="double" w:sz="6" w:space="1" w:color="000000"/>
              </w:rPr>
            </w:pPr>
            <w:r>
              <w:rPr>
                <w:bdr w:val="double" w:sz="6" w:space="1" w:color="000000"/>
              </w:rPr>
              <w:t> </w:t>
            </w:r>
          </w:p>
        </w:tc>
        <w:tc>
          <w:tcPr>
            <w:tcW w:w="1025" w:type="dxa"/>
            <w:tcBorders/>
            <w:shd w:fill="auto" w:val="clear"/>
            <w:vAlign w:val="center"/>
          </w:tcPr>
          <w:p>
            <w:pPr>
              <w:pStyle w:val="TableContents"/>
              <w:spacing w:before="0" w:after="0"/>
              <w:rPr>
                <w:bdr w:val="double" w:sz="6" w:space="1" w:color="000000"/>
              </w:rPr>
            </w:pPr>
            <w:r>
              <w:rPr>
                <w:bdr w:val="double" w:sz="6" w:space="1" w:color="000000"/>
              </w:rPr>
              <w:t> </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10" w:type="dxa"/>
            <w:tcBorders/>
            <w:shd w:fill="auto" w:val="clear"/>
            <w:vAlign w:val="center"/>
          </w:tcPr>
          <w:p>
            <w:pPr>
              <w:pStyle w:val="TableContents"/>
              <w:spacing w:before="0" w:after="0"/>
              <w:rPr>
                <w:bdr w:val="double" w:sz="6" w:space="1" w:color="000000"/>
              </w:rPr>
            </w:pPr>
            <w:r>
              <w:rPr>
                <w:bdr w:val="double" w:sz="6" w:space="1" w:color="000000"/>
              </w:rPr>
              <w:t> </w:t>
            </w:r>
          </w:p>
        </w:tc>
        <w:tc>
          <w:tcPr>
            <w:tcW w:w="1025" w:type="dxa"/>
            <w:tcBorders/>
            <w:shd w:fill="auto" w:val="clear"/>
            <w:vAlign w:val="center"/>
          </w:tcPr>
          <w:p>
            <w:pPr>
              <w:pStyle w:val="TableContents"/>
              <w:spacing w:before="0" w:after="0"/>
              <w:rPr>
                <w:bdr w:val="double" w:sz="6" w:space="1" w:color="000000"/>
              </w:rPr>
            </w:pPr>
            <w:r>
              <w:rPr>
                <w:bdr w:val="double" w:sz="6" w:space="1" w:color="000000"/>
              </w:rPr>
              <w:t> </w:t>
            </w:r>
          </w:p>
        </w:tc>
        <w:tc>
          <w:tcPr>
            <w:tcW w:w="170" w:type="dxa"/>
            <w:tcBorders/>
            <w:shd w:fill="auto" w:val="clear"/>
            <w:vAlign w:val="center"/>
          </w:tcPr>
          <w:p>
            <w:pPr>
              <w:pStyle w:val="TableContents"/>
              <w:spacing w:before="0" w:after="283"/>
              <w:rPr/>
            </w:pPr>
            <w:r>
              <w:rPr/>
              <w:t> </w:t>
            </w:r>
          </w:p>
        </w:tc>
      </w:tr>
    </w:tbl>
    <w:p>
      <w:pPr>
        <w:pStyle w:val="TextBody"/>
        <w:spacing w:before="360" w:after="0"/>
        <w:jc w:val="left"/>
        <w:rPr>
          <w:rFonts w:ascii="Times New Roman" w:hAnsi="Times New Roman"/>
          <w:b/>
          <w:spacing w:val="0"/>
          <w:sz w:val="20"/>
        </w:rPr>
      </w:pPr>
      <w:r>
        <w:rPr>
          <w:rFonts w:ascii="Times New Roman" w:hAnsi="Times New Roman"/>
          <w:b/>
          <w:spacing w:val="0"/>
          <w:sz w:val="20"/>
        </w:rPr>
        <w:t xml:space="preserve">Note 6: Income Taxes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On March 27, 2020, the Coronavirus Aid, Relief and Economic Security Act (“CARES Act”) was signed into law. Intended to provide economic relief to those impacted by the </w:t>
      </w:r>
    </w:p>
    <w:p>
      <w:pPr>
        <w:pStyle w:val="TextBody"/>
        <w:spacing w:before="120" w:after="0"/>
        <w:jc w:val="left"/>
        <w:rPr>
          <w:rFonts w:ascii="Times New Roman" w:hAnsi="Times New Roman"/>
          <w:spacing w:val="0"/>
          <w:sz w:val="20"/>
        </w:rPr>
      </w:pPr>
      <w:r>
        <w:rPr>
          <w:rFonts w:ascii="Times New Roman" w:hAnsi="Times New Roman"/>
          <w:spacing w:val="0"/>
          <w:sz w:val="20"/>
        </w:rPr>
        <w:t>COVID-19</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pandemic, the CARES Act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F-19 </w:t>
      </w:r>
    </w:p>
    <w:p>
      <w:pPr>
        <w:pStyle w:val="HorizontalLine"/>
        <w:jc w:val="center"/>
        <w:rPr/>
      </w:pPr>
      <w:r>
        <w:rPr/>
      </w:r>
    </w:p>
    <w:p>
      <w:pPr>
        <w:pStyle w:val="TextBody"/>
        <w:spacing w:before="0" w:after="0"/>
        <w:jc w:val="left"/>
        <w:rPr/>
      </w:pPr>
      <w:hyperlink w:anchor="toc">
        <w:r>
          <w:rPr>
            <w:rStyle w:val="InternetLink"/>
            <w:b/>
            <w:sz w:val="20"/>
          </w:rPr>
          <w:t>Table of Contents</w:t>
        </w:r>
      </w:hyperlink>
    </w:p>
    <w:p>
      <w:pPr>
        <w:pStyle w:val="TextBody"/>
        <w:spacing w:before="0" w:after="0"/>
        <w:jc w:val="left"/>
        <w:rPr>
          <w:rFonts w:ascii="Times New Roman" w:hAnsi="Times New Roman"/>
          <w:spacing w:val="0"/>
          <w:sz w:val="20"/>
        </w:rPr>
      </w:pPr>
      <w:r>
        <w:rPr>
          <w:rFonts w:ascii="Times New Roman" w:hAnsi="Times New Roman"/>
          <w:spacing w:val="0"/>
          <w:sz w:val="20"/>
        </w:rPr>
        <w:t xml:space="preserve">includes provisions, among others, allowing for the carryback of net operating losses generated in fiscal 2018, 2019 and 2020 and technical amendments regarding the expensing of qualified improvement property. We accelerated tax depreciation expense due to the technical amendments made by the CARES Act to qualified improvement property and carried back tax net operating losses from fiscal 2020 and fiscal 2019 to years with a higher federal corporate income tax rate. We expect to file fiscal 2020 carryback claims during fiscal 2021, and we </w:t>
      </w:r>
    </w:p>
    <w:p>
      <w:pPr>
        <w:pStyle w:val="TextBody"/>
        <w:spacing w:before="0" w:after="0"/>
        <w:jc w:val="left"/>
        <w:rPr>
          <w:rFonts w:ascii="Times New Roman" w:hAnsi="Times New Roman"/>
          <w:spacing w:val="0"/>
          <w:sz w:val="20"/>
        </w:rPr>
      </w:pPr>
      <w:r>
        <w:rPr>
          <w:rFonts w:ascii="Times New Roman" w:hAnsi="Times New Roman"/>
          <w:spacing w:val="0"/>
          <w:sz w:val="20"/>
        </w:rPr>
        <w:t>expect</w:t>
      </w:r>
    </w:p>
    <w:p>
      <w:pPr>
        <w:pStyle w:val="TextBody"/>
        <w:spacing w:before="0" w:after="0"/>
        <w:jc w:val="left"/>
        <w:rPr>
          <w:rFonts w:ascii="Times New Roman" w:hAnsi="Times New Roman"/>
          <w:spacing w:val="0"/>
          <w:sz w:val="20"/>
        </w:rPr>
      </w:pPr>
      <w:r>
        <w:rPr>
          <w:rFonts w:ascii="Times New Roman" w:hAnsi="Times New Roman"/>
          <w:spacing w:val="0"/>
          <w:sz w:val="20"/>
        </w:rPr>
        <w:t xml:space="preserve">that these claims will generate cash refunds of approximately $55,400. </w:t>
      </w:r>
    </w:p>
    <w:p>
      <w:pPr>
        <w:pStyle w:val="TextBody"/>
        <w:spacing w:before="0" w:after="0"/>
        <w:jc w:val="left"/>
        <w:rPr>
          <w:rFonts w:ascii="Times New Roman" w:hAnsi="Times New Roman"/>
          <w:spacing w:val="0"/>
          <w:sz w:val="20"/>
        </w:rPr>
      </w:pPr>
      <w:r>
        <w:rPr>
          <w:rFonts w:ascii="Times New Roman" w:hAnsi="Times New Roman"/>
          <w:spacing w:val="0"/>
          <w:sz w:val="20"/>
        </w:rPr>
        <w:t xml:space="preserve">The effects of these claims were included in our provision for income taxes based on the best information available at the time we prepared or consolidated financial statements. Legislative and judicial developments relating to these provisions may evolve and the actual effect of these claims may differ, which, in turn, may result in adjustments to our effective tax rate.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Additionally, the CARES Act, in efforts to enhance business’ liquidity, provides for the deferral of the employer-paid portion of social security taxes. As of January 31, 2021, we have elected to defer employer-paid portion of social security taxes of $4,798. The current portion is included in “Accrued liabilities” and the balance is included in “Other liabilities” in the Consolidated Balance Sheets.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The following table sets forth our income tax provision: </w:t>
      </w:r>
    </w:p>
    <w:p>
      <w:pPr>
        <w:pStyle w:val="TextBody"/>
        <w:spacing w:before="0" w:after="0"/>
        <w:jc w:val="left"/>
        <w:rPr>
          <w:spacing w:val="0"/>
        </w:rPr>
      </w:pPr>
      <w:r>
        <w:rPr>
          <w:spacing w:val="0"/>
        </w:rPr>
        <w:t> </w:t>
      </w:r>
    </w:p>
    <w:tbl>
      <w:tblPr>
        <w:tblW w:w="8840" w:type="dxa"/>
        <w:jc w:val="left"/>
        <w:tblInd w:w="0" w:type="dxa"/>
        <w:tblCellMar>
          <w:top w:w="0" w:type="dxa"/>
          <w:left w:w="0" w:type="dxa"/>
          <w:bottom w:w="0" w:type="dxa"/>
          <w:right w:w="0" w:type="dxa"/>
        </w:tblCellMar>
      </w:tblPr>
      <w:tblGrid>
        <w:gridCol w:w="2735"/>
        <w:gridCol w:w="120"/>
        <w:gridCol w:w="277"/>
        <w:gridCol w:w="1498"/>
        <w:gridCol w:w="95"/>
        <w:gridCol w:w="120"/>
        <w:gridCol w:w="303"/>
        <w:gridCol w:w="1472"/>
        <w:gridCol w:w="155"/>
        <w:gridCol w:w="120"/>
        <w:gridCol w:w="303"/>
        <w:gridCol w:w="1472"/>
        <w:gridCol w:w="170"/>
      </w:tblGrid>
      <w:tr>
        <w:trPr/>
        <w:tc>
          <w:tcPr>
            <w:tcW w:w="273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77" w:type="dxa"/>
            <w:tcBorders/>
            <w:shd w:fill="auto" w:val="clear"/>
            <w:vAlign w:val="center"/>
          </w:tcPr>
          <w:p>
            <w:pPr>
              <w:pStyle w:val="TableContents"/>
              <w:spacing w:before="0" w:after="283"/>
              <w:rPr>
                <w:sz w:val="4"/>
                <w:szCs w:val="4"/>
              </w:rPr>
            </w:pPr>
            <w:r>
              <w:rPr>
                <w:sz w:val="4"/>
                <w:szCs w:val="4"/>
              </w:rPr>
            </w:r>
          </w:p>
        </w:tc>
        <w:tc>
          <w:tcPr>
            <w:tcW w:w="1498"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303" w:type="dxa"/>
            <w:tcBorders/>
            <w:shd w:fill="auto" w:val="clear"/>
            <w:vAlign w:val="center"/>
          </w:tcPr>
          <w:p>
            <w:pPr>
              <w:pStyle w:val="TableContents"/>
              <w:spacing w:before="0" w:after="283"/>
              <w:rPr>
                <w:sz w:val="4"/>
                <w:szCs w:val="4"/>
              </w:rPr>
            </w:pPr>
            <w:r>
              <w:rPr>
                <w:sz w:val="4"/>
                <w:szCs w:val="4"/>
              </w:rPr>
            </w:r>
          </w:p>
        </w:tc>
        <w:tc>
          <w:tcPr>
            <w:tcW w:w="1472"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303" w:type="dxa"/>
            <w:tcBorders/>
            <w:shd w:fill="auto" w:val="clear"/>
            <w:vAlign w:val="center"/>
          </w:tcPr>
          <w:p>
            <w:pPr>
              <w:pStyle w:val="TableContents"/>
              <w:spacing w:before="0" w:after="283"/>
              <w:rPr>
                <w:sz w:val="4"/>
                <w:szCs w:val="4"/>
              </w:rPr>
            </w:pPr>
            <w:r>
              <w:rPr>
                <w:sz w:val="4"/>
                <w:szCs w:val="4"/>
              </w:rPr>
            </w:r>
          </w:p>
        </w:tc>
        <w:tc>
          <w:tcPr>
            <w:tcW w:w="1472"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r>
      <w:tr>
        <w:trPr/>
        <w:tc>
          <w:tcPr>
            <w:tcW w:w="273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775" w:type="dxa"/>
            <w:gridSpan w:val="2"/>
            <w:tcBorders/>
            <w:shd w:fill="auto" w:val="clear"/>
            <w:vAlign w:val="center"/>
          </w:tcPr>
          <w:p>
            <w:pPr>
              <w:pStyle w:val="TableContents"/>
              <w:spacing w:before="0" w:after="0"/>
              <w:jc w:val="center"/>
              <w:rPr>
                <w:b/>
                <w:spacing w:val="0"/>
              </w:rPr>
            </w:pPr>
            <w:r>
              <w:rPr>
                <w:b/>
                <w:spacing w:val="0"/>
              </w:rPr>
              <w:t>January 31, 2021</w:t>
            </w:r>
          </w:p>
        </w:tc>
        <w:tc>
          <w:tcPr>
            <w:tcW w:w="9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775" w:type="dxa"/>
            <w:gridSpan w:val="2"/>
            <w:tcBorders/>
            <w:shd w:fill="auto" w:val="clear"/>
            <w:vAlign w:val="center"/>
          </w:tcPr>
          <w:p>
            <w:pPr>
              <w:pStyle w:val="TableContents"/>
              <w:spacing w:before="0" w:after="0"/>
              <w:jc w:val="center"/>
              <w:rPr>
                <w:b/>
                <w:spacing w:val="0"/>
              </w:rPr>
            </w:pPr>
            <w:r>
              <w:rPr>
                <w:b/>
                <w:spacing w:val="0"/>
              </w:rPr>
              <w:t>February 2, 2020</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775" w:type="dxa"/>
            <w:gridSpan w:val="2"/>
            <w:tcBorders/>
            <w:shd w:fill="auto" w:val="clear"/>
            <w:vAlign w:val="center"/>
          </w:tcPr>
          <w:p>
            <w:pPr>
              <w:pStyle w:val="TableContents"/>
              <w:spacing w:before="0" w:after="0"/>
              <w:jc w:val="center"/>
              <w:rPr>
                <w:b/>
                <w:spacing w:val="0"/>
              </w:rPr>
            </w:pPr>
            <w:r>
              <w:rPr>
                <w:b/>
                <w:spacing w:val="0"/>
              </w:rPr>
              <w:t>February 3, 2019</w:t>
            </w:r>
          </w:p>
        </w:tc>
        <w:tc>
          <w:tcPr>
            <w:tcW w:w="170" w:type="dxa"/>
            <w:tcBorders/>
            <w:shd w:fill="auto" w:val="clear"/>
            <w:vAlign w:val="center"/>
          </w:tcPr>
          <w:p>
            <w:pPr>
              <w:pStyle w:val="TableContents"/>
              <w:spacing w:before="0" w:after="283"/>
              <w:rPr/>
            </w:pPr>
            <w:r>
              <w:rPr/>
              <w:t> </w:t>
            </w:r>
          </w:p>
        </w:tc>
      </w:tr>
      <w:tr>
        <w:trPr/>
        <w:tc>
          <w:tcPr>
            <w:tcW w:w="273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Current provision:</w:t>
            </w:r>
          </w:p>
        </w:tc>
        <w:tc>
          <w:tcPr>
            <w:tcW w:w="120" w:type="dxa"/>
            <w:tcBorders/>
            <w:shd w:fill="CCEEFF" w:val="clear"/>
            <w:vAlign w:val="center"/>
          </w:tcPr>
          <w:p>
            <w:pPr>
              <w:pStyle w:val="TableContents"/>
              <w:spacing w:before="0" w:after="283"/>
              <w:rPr/>
            </w:pPr>
            <w:r>
              <w:rPr/>
              <w:t>  </w:t>
            </w:r>
          </w:p>
        </w:tc>
        <w:tc>
          <w:tcPr>
            <w:tcW w:w="277" w:type="dxa"/>
            <w:tcBorders/>
            <w:shd w:fill="CCEEFF" w:val="clear"/>
            <w:vAlign w:val="center"/>
          </w:tcPr>
          <w:p>
            <w:pPr>
              <w:pStyle w:val="TableContents"/>
              <w:spacing w:before="0" w:after="283"/>
              <w:rPr/>
            </w:pPr>
            <w:r>
              <w:rPr/>
              <w:t> </w:t>
            </w:r>
          </w:p>
        </w:tc>
        <w:tc>
          <w:tcPr>
            <w:tcW w:w="1498" w:type="dxa"/>
            <w:tcBorders/>
            <w:shd w:fill="CCEEFF" w:val="clear"/>
            <w:vAlign w:val="center"/>
          </w:tcPr>
          <w:p>
            <w:pPr>
              <w:pStyle w:val="TableContents"/>
              <w:spacing w:before="0" w:after="283"/>
              <w:rPr/>
            </w:pPr>
            <w:r>
              <w:rPr/>
              <w:t> </w:t>
            </w:r>
          </w:p>
        </w:tc>
        <w:tc>
          <w:tcPr>
            <w:tcW w:w="9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303" w:type="dxa"/>
            <w:tcBorders/>
            <w:shd w:fill="CCEEFF" w:val="clear"/>
            <w:vAlign w:val="center"/>
          </w:tcPr>
          <w:p>
            <w:pPr>
              <w:pStyle w:val="TableContents"/>
              <w:spacing w:before="0" w:after="283"/>
              <w:rPr/>
            </w:pPr>
            <w:r>
              <w:rPr/>
              <w:t> </w:t>
            </w:r>
          </w:p>
        </w:tc>
        <w:tc>
          <w:tcPr>
            <w:tcW w:w="1472" w:type="dxa"/>
            <w:tcBorders/>
            <w:shd w:fill="CCEEFF" w:val="clear"/>
            <w:vAlign w:val="center"/>
          </w:tcPr>
          <w:p>
            <w:pPr>
              <w:pStyle w:val="TableContents"/>
              <w:spacing w:before="0" w:after="283"/>
              <w:rPr/>
            </w:pPr>
            <w:r>
              <w:rPr/>
              <w:t> </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303" w:type="dxa"/>
            <w:tcBorders/>
            <w:shd w:fill="CCEEFF" w:val="clear"/>
            <w:vAlign w:val="center"/>
          </w:tcPr>
          <w:p>
            <w:pPr>
              <w:pStyle w:val="TableContents"/>
              <w:spacing w:before="0" w:after="283"/>
              <w:rPr/>
            </w:pPr>
            <w:r>
              <w:rPr/>
              <w:t> </w:t>
            </w:r>
          </w:p>
        </w:tc>
        <w:tc>
          <w:tcPr>
            <w:tcW w:w="1472" w:type="dxa"/>
            <w:tcBorders/>
            <w:shd w:fill="CCEEFF" w:val="clear"/>
            <w:vAlign w:val="center"/>
          </w:tcPr>
          <w:p>
            <w:pPr>
              <w:pStyle w:val="TableContents"/>
              <w:spacing w:before="0" w:after="283"/>
              <w:rPr/>
            </w:pPr>
            <w:r>
              <w:rPr/>
              <w:t> </w:t>
            </w:r>
          </w:p>
        </w:tc>
        <w:tc>
          <w:tcPr>
            <w:tcW w:w="170" w:type="dxa"/>
            <w:tcBorders/>
            <w:shd w:fill="CCEEFF" w:val="clear"/>
            <w:vAlign w:val="center"/>
          </w:tcPr>
          <w:p>
            <w:pPr>
              <w:pStyle w:val="TableContents"/>
              <w:spacing w:before="0" w:after="283"/>
              <w:rPr/>
            </w:pPr>
            <w:r>
              <w:rPr/>
              <w:t> </w:t>
            </w:r>
          </w:p>
        </w:tc>
      </w:tr>
      <w:tr>
        <w:trPr/>
        <w:tc>
          <w:tcPr>
            <w:tcW w:w="273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Federal</w:t>
            </w:r>
          </w:p>
        </w:tc>
        <w:tc>
          <w:tcPr>
            <w:tcW w:w="120" w:type="dxa"/>
            <w:tcBorders/>
            <w:shd w:fill="auto" w:val="clear"/>
            <w:vAlign w:val="center"/>
          </w:tcPr>
          <w:p>
            <w:pPr>
              <w:pStyle w:val="TableContents"/>
              <w:spacing w:before="0" w:after="283"/>
              <w:rPr/>
            </w:pPr>
            <w:r>
              <w:rPr/>
              <w:t>  </w:t>
            </w:r>
          </w:p>
        </w:tc>
        <w:tc>
          <w:tcPr>
            <w:tcW w:w="277" w:type="dxa"/>
            <w:tcBorders/>
            <w:shd w:fill="auto" w:val="clear"/>
            <w:vAlign w:val="center"/>
          </w:tcPr>
          <w:p>
            <w:pPr>
              <w:pStyle w:val="TableContents"/>
              <w:spacing w:before="0" w:after="283"/>
              <w:rPr/>
            </w:pPr>
            <w:r>
              <w:rPr/>
              <w:t>$</w:t>
            </w:r>
          </w:p>
        </w:tc>
        <w:tc>
          <w:tcPr>
            <w:tcW w:w="1498" w:type="dxa"/>
            <w:tcBorders/>
            <w:shd w:fill="auto" w:val="clear"/>
            <w:vAlign w:val="center"/>
          </w:tcPr>
          <w:p>
            <w:pPr>
              <w:pStyle w:val="TableContents"/>
              <w:spacing w:before="0" w:after="0"/>
              <w:jc w:val="right"/>
              <w:rPr>
                <w:spacing w:val="0"/>
              </w:rPr>
            </w:pPr>
            <w:r>
              <w:rPr>
                <w:spacing w:val="0"/>
              </w:rPr>
              <w:t>(78,629</w:t>
            </w:r>
          </w:p>
        </w:tc>
        <w:tc>
          <w:tcPr>
            <w:tcW w:w="95" w:type="dxa"/>
            <w:tcBorders/>
            <w:shd w:fill="auto" w:val="clear"/>
            <w:vAlign w:val="center"/>
          </w:tcPr>
          <w:p>
            <w:pPr>
              <w:pStyle w:val="TableContents"/>
              <w:spacing w:before="0" w:after="0"/>
              <w:rPr>
                <w:spacing w:val="0"/>
              </w:rPr>
            </w:pPr>
            <w:r>
              <w:rPr>
                <w:spacing w:val="0"/>
              </w:rPr>
              <w:t>)</w:t>
            </w:r>
          </w:p>
        </w:tc>
        <w:tc>
          <w:tcPr>
            <w:tcW w:w="120" w:type="dxa"/>
            <w:tcBorders/>
            <w:shd w:fill="auto" w:val="clear"/>
            <w:vAlign w:val="center"/>
          </w:tcPr>
          <w:p>
            <w:pPr>
              <w:pStyle w:val="TableContents"/>
              <w:spacing w:before="0" w:after="283"/>
              <w:rPr/>
            </w:pPr>
            <w:r>
              <w:rPr/>
              <w:t>  </w:t>
            </w:r>
          </w:p>
        </w:tc>
        <w:tc>
          <w:tcPr>
            <w:tcW w:w="303" w:type="dxa"/>
            <w:tcBorders/>
            <w:shd w:fill="auto" w:val="clear"/>
            <w:vAlign w:val="center"/>
          </w:tcPr>
          <w:p>
            <w:pPr>
              <w:pStyle w:val="TableContents"/>
              <w:spacing w:before="0" w:after="283"/>
              <w:rPr/>
            </w:pPr>
            <w:r>
              <w:rPr/>
              <w:t>$</w:t>
            </w:r>
          </w:p>
        </w:tc>
        <w:tc>
          <w:tcPr>
            <w:tcW w:w="1472" w:type="dxa"/>
            <w:tcBorders/>
            <w:shd w:fill="auto" w:val="clear"/>
            <w:vAlign w:val="center"/>
          </w:tcPr>
          <w:p>
            <w:pPr>
              <w:pStyle w:val="TableContents"/>
              <w:spacing w:before="0" w:after="283"/>
              <w:jc w:val="right"/>
              <w:rPr/>
            </w:pPr>
            <w:r>
              <w:rPr/>
              <w:t>11,744</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303" w:type="dxa"/>
            <w:tcBorders/>
            <w:shd w:fill="auto" w:val="clear"/>
            <w:vAlign w:val="center"/>
          </w:tcPr>
          <w:p>
            <w:pPr>
              <w:pStyle w:val="TableContents"/>
              <w:spacing w:before="0" w:after="283"/>
              <w:rPr/>
            </w:pPr>
            <w:r>
              <w:rPr/>
              <w:t>$</w:t>
            </w:r>
          </w:p>
        </w:tc>
        <w:tc>
          <w:tcPr>
            <w:tcW w:w="1472" w:type="dxa"/>
            <w:tcBorders/>
            <w:shd w:fill="auto" w:val="clear"/>
            <w:vAlign w:val="center"/>
          </w:tcPr>
          <w:p>
            <w:pPr>
              <w:pStyle w:val="TableContents"/>
              <w:spacing w:before="0" w:after="283"/>
              <w:jc w:val="right"/>
              <w:rPr/>
            </w:pPr>
            <w:r>
              <w:rPr/>
              <w:t>13,456</w:t>
            </w:r>
          </w:p>
        </w:tc>
        <w:tc>
          <w:tcPr>
            <w:tcW w:w="170" w:type="dxa"/>
            <w:tcBorders/>
            <w:shd w:fill="auto" w:val="clear"/>
            <w:vAlign w:val="center"/>
          </w:tcPr>
          <w:p>
            <w:pPr>
              <w:pStyle w:val="TableContents"/>
              <w:spacing w:before="0" w:after="283"/>
              <w:rPr/>
            </w:pPr>
            <w:r>
              <w:rPr/>
              <w:t> </w:t>
            </w:r>
          </w:p>
        </w:tc>
      </w:tr>
      <w:tr>
        <w:trPr/>
        <w:tc>
          <w:tcPr>
            <w:tcW w:w="273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State and local</w:t>
            </w:r>
          </w:p>
        </w:tc>
        <w:tc>
          <w:tcPr>
            <w:tcW w:w="120" w:type="dxa"/>
            <w:tcBorders/>
            <w:shd w:fill="CCEEFF" w:val="clear"/>
            <w:vAlign w:val="center"/>
          </w:tcPr>
          <w:p>
            <w:pPr>
              <w:pStyle w:val="TableContents"/>
              <w:spacing w:before="0" w:after="283"/>
              <w:rPr/>
            </w:pPr>
            <w:r>
              <w:rPr/>
              <w:t>  </w:t>
            </w:r>
          </w:p>
        </w:tc>
        <w:tc>
          <w:tcPr>
            <w:tcW w:w="277" w:type="dxa"/>
            <w:tcBorders/>
            <w:shd w:fill="CCEEFF" w:val="clear"/>
            <w:vAlign w:val="center"/>
          </w:tcPr>
          <w:p>
            <w:pPr>
              <w:pStyle w:val="TableContents"/>
              <w:spacing w:before="0" w:after="283"/>
              <w:rPr/>
            </w:pPr>
            <w:r>
              <w:rPr/>
              <w:t> </w:t>
            </w:r>
          </w:p>
        </w:tc>
        <w:tc>
          <w:tcPr>
            <w:tcW w:w="1498" w:type="dxa"/>
            <w:tcBorders/>
            <w:shd w:fill="CCEEFF" w:val="clear"/>
            <w:vAlign w:val="center"/>
          </w:tcPr>
          <w:p>
            <w:pPr>
              <w:pStyle w:val="TableContents"/>
              <w:spacing w:before="0" w:after="0"/>
              <w:jc w:val="right"/>
              <w:rPr>
                <w:rFonts w:ascii="Times New Roman" w:hAnsi="Times New Roman"/>
                <w:spacing w:val="0"/>
              </w:rPr>
            </w:pPr>
            <w:r>
              <w:rPr>
                <w:rFonts w:ascii="Times New Roman" w:hAnsi="Times New Roman"/>
                <w:spacing w:val="0"/>
              </w:rPr>
              <w:t>(1,360</w:t>
            </w:r>
          </w:p>
        </w:tc>
        <w:tc>
          <w:tcPr>
            <w:tcW w:w="95" w:type="dxa"/>
            <w:tcBorders/>
            <w:shd w:fill="CCEEFF" w:val="clear"/>
            <w:vAlign w:val="center"/>
          </w:tcPr>
          <w:p>
            <w:pPr>
              <w:pStyle w:val="TableContents"/>
              <w:spacing w:before="0" w:after="0"/>
              <w:rPr>
                <w:rFonts w:ascii="Times New Roman" w:hAnsi="Times New Roman"/>
                <w:spacing w:val="0"/>
              </w:rPr>
            </w:pPr>
            <w:r>
              <w:rPr>
                <w:rFonts w:ascii="Times New Roman" w:hAnsi="Times New Roman"/>
                <w:spacing w:val="0"/>
              </w:rPr>
              <w:t>)</w:t>
            </w:r>
          </w:p>
        </w:tc>
        <w:tc>
          <w:tcPr>
            <w:tcW w:w="120" w:type="dxa"/>
            <w:tcBorders/>
            <w:shd w:fill="CCEEFF" w:val="clear"/>
            <w:vAlign w:val="center"/>
          </w:tcPr>
          <w:p>
            <w:pPr>
              <w:pStyle w:val="TableContents"/>
              <w:spacing w:before="0" w:after="283"/>
              <w:rPr/>
            </w:pPr>
            <w:r>
              <w:rPr/>
              <w:t>  </w:t>
            </w:r>
          </w:p>
        </w:tc>
        <w:tc>
          <w:tcPr>
            <w:tcW w:w="303" w:type="dxa"/>
            <w:tcBorders/>
            <w:shd w:fill="CCEEFF" w:val="clear"/>
            <w:vAlign w:val="center"/>
          </w:tcPr>
          <w:p>
            <w:pPr>
              <w:pStyle w:val="TableContents"/>
              <w:spacing w:before="0" w:after="283"/>
              <w:rPr/>
            </w:pPr>
            <w:r>
              <w:rPr/>
              <w:t> </w:t>
            </w:r>
          </w:p>
        </w:tc>
        <w:tc>
          <w:tcPr>
            <w:tcW w:w="1472" w:type="dxa"/>
            <w:tcBorders/>
            <w:shd w:fill="CCEEFF" w:val="clear"/>
            <w:vAlign w:val="center"/>
          </w:tcPr>
          <w:p>
            <w:pPr>
              <w:pStyle w:val="TableContents"/>
              <w:spacing w:before="0" w:after="283"/>
              <w:jc w:val="right"/>
              <w:rPr/>
            </w:pPr>
            <w:r>
              <w:rPr/>
              <w:t>8,562</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303" w:type="dxa"/>
            <w:tcBorders/>
            <w:shd w:fill="CCEEFF" w:val="clear"/>
            <w:vAlign w:val="center"/>
          </w:tcPr>
          <w:p>
            <w:pPr>
              <w:pStyle w:val="TableContents"/>
              <w:spacing w:before="0" w:after="283"/>
              <w:rPr/>
            </w:pPr>
            <w:r>
              <w:rPr/>
              <w:t> </w:t>
            </w:r>
          </w:p>
        </w:tc>
        <w:tc>
          <w:tcPr>
            <w:tcW w:w="1472" w:type="dxa"/>
            <w:tcBorders/>
            <w:shd w:fill="CCEEFF" w:val="clear"/>
            <w:vAlign w:val="center"/>
          </w:tcPr>
          <w:p>
            <w:pPr>
              <w:pStyle w:val="TableContents"/>
              <w:spacing w:before="0" w:after="283"/>
              <w:jc w:val="right"/>
              <w:rPr/>
            </w:pPr>
            <w:r>
              <w:rPr/>
              <w:t>10,730</w:t>
            </w:r>
          </w:p>
        </w:tc>
        <w:tc>
          <w:tcPr>
            <w:tcW w:w="170" w:type="dxa"/>
            <w:tcBorders/>
            <w:shd w:fill="CCEEFF" w:val="clear"/>
            <w:vAlign w:val="center"/>
          </w:tcPr>
          <w:p>
            <w:pPr>
              <w:pStyle w:val="TableContents"/>
              <w:spacing w:before="0" w:after="283"/>
              <w:rPr/>
            </w:pPr>
            <w:r>
              <w:rPr/>
              <w:t> </w:t>
            </w:r>
          </w:p>
        </w:tc>
      </w:tr>
      <w:tr>
        <w:trPr/>
        <w:tc>
          <w:tcPr>
            <w:tcW w:w="273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Foreign</w:t>
            </w:r>
          </w:p>
        </w:tc>
        <w:tc>
          <w:tcPr>
            <w:tcW w:w="120" w:type="dxa"/>
            <w:tcBorders/>
            <w:shd w:fill="auto" w:val="clear"/>
            <w:vAlign w:val="center"/>
          </w:tcPr>
          <w:p>
            <w:pPr>
              <w:pStyle w:val="TableContents"/>
              <w:spacing w:before="0" w:after="283"/>
              <w:rPr/>
            </w:pPr>
            <w:r>
              <w:rPr/>
              <w:t>  </w:t>
            </w:r>
          </w:p>
        </w:tc>
        <w:tc>
          <w:tcPr>
            <w:tcW w:w="277" w:type="dxa"/>
            <w:tcBorders/>
            <w:shd w:fill="auto" w:val="clear"/>
            <w:vAlign w:val="center"/>
          </w:tcPr>
          <w:p>
            <w:pPr>
              <w:pStyle w:val="TableContents"/>
              <w:spacing w:before="0" w:after="283"/>
              <w:rPr/>
            </w:pPr>
            <w:r>
              <w:rPr/>
              <w:t> </w:t>
            </w:r>
          </w:p>
        </w:tc>
        <w:tc>
          <w:tcPr>
            <w:tcW w:w="1498" w:type="dxa"/>
            <w:tcBorders/>
            <w:shd w:fill="auto" w:val="clear"/>
            <w:vAlign w:val="center"/>
          </w:tcPr>
          <w:p>
            <w:pPr>
              <w:pStyle w:val="TableContents"/>
              <w:spacing w:before="0" w:after="0"/>
              <w:jc w:val="right"/>
              <w:rPr>
                <w:rFonts w:ascii="Times New Roman" w:hAnsi="Times New Roman"/>
                <w:spacing w:val="0"/>
              </w:rPr>
            </w:pPr>
            <w:r>
              <w:rPr>
                <w:rFonts w:ascii="Times New Roman" w:hAnsi="Times New Roman"/>
                <w:spacing w:val="0"/>
              </w:rPr>
              <w:t>(78</w:t>
            </w:r>
          </w:p>
        </w:tc>
        <w:tc>
          <w:tcPr>
            <w:tcW w:w="95" w:type="dxa"/>
            <w:tcBorders/>
            <w:shd w:fill="auto" w:val="clear"/>
            <w:vAlign w:val="center"/>
          </w:tcPr>
          <w:p>
            <w:pPr>
              <w:pStyle w:val="TableContents"/>
              <w:spacing w:before="0" w:after="0"/>
              <w:rPr>
                <w:rFonts w:ascii="Times New Roman" w:hAnsi="Times New Roman"/>
                <w:spacing w:val="0"/>
              </w:rPr>
            </w:pPr>
            <w:r>
              <w:rPr>
                <w:rFonts w:ascii="Times New Roman" w:hAnsi="Times New Roman"/>
                <w:spacing w:val="0"/>
              </w:rPr>
              <w:t>)</w:t>
            </w:r>
          </w:p>
        </w:tc>
        <w:tc>
          <w:tcPr>
            <w:tcW w:w="120" w:type="dxa"/>
            <w:tcBorders/>
            <w:shd w:fill="auto" w:val="clear"/>
            <w:vAlign w:val="center"/>
          </w:tcPr>
          <w:p>
            <w:pPr>
              <w:pStyle w:val="TableContents"/>
              <w:spacing w:before="0" w:after="283"/>
              <w:rPr/>
            </w:pPr>
            <w:r>
              <w:rPr/>
              <w:t>  </w:t>
            </w:r>
          </w:p>
        </w:tc>
        <w:tc>
          <w:tcPr>
            <w:tcW w:w="303" w:type="dxa"/>
            <w:tcBorders/>
            <w:shd w:fill="auto" w:val="clear"/>
            <w:vAlign w:val="center"/>
          </w:tcPr>
          <w:p>
            <w:pPr>
              <w:pStyle w:val="TableContents"/>
              <w:spacing w:before="0" w:after="283"/>
              <w:rPr/>
            </w:pPr>
            <w:r>
              <w:rPr/>
              <w:t> </w:t>
            </w:r>
          </w:p>
        </w:tc>
        <w:tc>
          <w:tcPr>
            <w:tcW w:w="1472" w:type="dxa"/>
            <w:tcBorders/>
            <w:shd w:fill="auto" w:val="clear"/>
            <w:vAlign w:val="center"/>
          </w:tcPr>
          <w:p>
            <w:pPr>
              <w:pStyle w:val="TableContents"/>
              <w:spacing w:before="0" w:after="283"/>
              <w:jc w:val="right"/>
              <w:rPr/>
            </w:pPr>
            <w:r>
              <w:rPr/>
              <w:t>100</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303" w:type="dxa"/>
            <w:tcBorders/>
            <w:shd w:fill="auto" w:val="clear"/>
            <w:vAlign w:val="center"/>
          </w:tcPr>
          <w:p>
            <w:pPr>
              <w:pStyle w:val="TableContents"/>
              <w:spacing w:before="0" w:after="283"/>
              <w:rPr/>
            </w:pPr>
            <w:r>
              <w:rPr/>
              <w:t> </w:t>
            </w:r>
          </w:p>
        </w:tc>
        <w:tc>
          <w:tcPr>
            <w:tcW w:w="1472" w:type="dxa"/>
            <w:tcBorders/>
            <w:shd w:fill="auto" w:val="clear"/>
            <w:vAlign w:val="center"/>
          </w:tcPr>
          <w:p>
            <w:pPr>
              <w:pStyle w:val="TableContents"/>
              <w:spacing w:before="0" w:after="283"/>
              <w:jc w:val="right"/>
              <w:rPr/>
            </w:pPr>
            <w:r>
              <w:rPr/>
              <w:t>1,006</w:t>
            </w:r>
          </w:p>
        </w:tc>
        <w:tc>
          <w:tcPr>
            <w:tcW w:w="170" w:type="dxa"/>
            <w:tcBorders/>
            <w:shd w:fill="auto" w:val="clear"/>
            <w:vAlign w:val="center"/>
          </w:tcPr>
          <w:p>
            <w:pPr>
              <w:pStyle w:val="TableContents"/>
              <w:spacing w:before="0" w:after="283"/>
              <w:rPr/>
            </w:pPr>
            <w:r>
              <w:rPr/>
              <w:t> </w:t>
            </w:r>
          </w:p>
        </w:tc>
      </w:tr>
      <w:tr>
        <w:trPr/>
        <w:tc>
          <w:tcPr>
            <w:tcW w:w="273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77" w:type="dxa"/>
            <w:tcBorders/>
            <w:shd w:fill="auto" w:val="clear"/>
            <w:vAlign w:val="center"/>
          </w:tcPr>
          <w:p>
            <w:pPr>
              <w:pStyle w:val="TableContents"/>
              <w:spacing w:before="0" w:after="0"/>
              <w:rPr>
                <w:bdr w:val="single" w:sz="2" w:space="1" w:color="000000"/>
              </w:rPr>
            </w:pPr>
            <w:r>
              <w:rPr>
                <w:bdr w:val="single" w:sz="2" w:space="1" w:color="000000"/>
              </w:rPr>
              <w:t> </w:t>
            </w:r>
          </w:p>
        </w:tc>
        <w:tc>
          <w:tcPr>
            <w:tcW w:w="1498" w:type="dxa"/>
            <w:tcBorders/>
            <w:shd w:fill="auto" w:val="clear"/>
            <w:vAlign w:val="center"/>
          </w:tcPr>
          <w:p>
            <w:pPr>
              <w:pStyle w:val="TableContents"/>
              <w:spacing w:before="0" w:after="0"/>
              <w:rPr>
                <w:bdr w:val="single" w:sz="2" w:space="1" w:color="000000"/>
              </w:rPr>
            </w:pPr>
            <w:r>
              <w:rPr>
                <w:bdr w:val="single" w:sz="2" w:space="1" w:color="000000"/>
              </w:rPr>
              <w:t> </w:t>
            </w:r>
          </w:p>
        </w:tc>
        <w:tc>
          <w:tcPr>
            <w:tcW w:w="9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303" w:type="dxa"/>
            <w:tcBorders/>
            <w:shd w:fill="auto" w:val="clear"/>
            <w:vAlign w:val="center"/>
          </w:tcPr>
          <w:p>
            <w:pPr>
              <w:pStyle w:val="TableContents"/>
              <w:spacing w:before="0" w:after="0"/>
              <w:rPr>
                <w:bdr w:val="single" w:sz="2" w:space="1" w:color="000000"/>
              </w:rPr>
            </w:pPr>
            <w:r>
              <w:rPr>
                <w:bdr w:val="single" w:sz="2" w:space="1" w:color="000000"/>
              </w:rPr>
              <w:t> </w:t>
            </w:r>
          </w:p>
        </w:tc>
        <w:tc>
          <w:tcPr>
            <w:tcW w:w="1472"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303" w:type="dxa"/>
            <w:tcBorders/>
            <w:shd w:fill="auto" w:val="clear"/>
            <w:vAlign w:val="center"/>
          </w:tcPr>
          <w:p>
            <w:pPr>
              <w:pStyle w:val="TableContents"/>
              <w:spacing w:before="0" w:after="0"/>
              <w:rPr>
                <w:bdr w:val="single" w:sz="2" w:space="1" w:color="000000"/>
              </w:rPr>
            </w:pPr>
            <w:r>
              <w:rPr>
                <w:bdr w:val="single" w:sz="2" w:space="1" w:color="000000"/>
              </w:rPr>
              <w:t> </w:t>
            </w:r>
          </w:p>
        </w:tc>
        <w:tc>
          <w:tcPr>
            <w:tcW w:w="1472" w:type="dxa"/>
            <w:tcBorders/>
            <w:shd w:fill="auto" w:val="clear"/>
            <w:vAlign w:val="center"/>
          </w:tcPr>
          <w:p>
            <w:pPr>
              <w:pStyle w:val="TableContents"/>
              <w:spacing w:before="0" w:after="0"/>
              <w:rPr>
                <w:bdr w:val="single" w:sz="2" w:space="1" w:color="000000"/>
              </w:rPr>
            </w:pPr>
            <w:r>
              <w:rPr>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273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Total current provision</w:t>
            </w:r>
          </w:p>
        </w:tc>
        <w:tc>
          <w:tcPr>
            <w:tcW w:w="120" w:type="dxa"/>
            <w:tcBorders/>
            <w:shd w:fill="CCEEFF" w:val="clear"/>
            <w:vAlign w:val="center"/>
          </w:tcPr>
          <w:p>
            <w:pPr>
              <w:pStyle w:val="TableContents"/>
              <w:spacing w:before="0" w:after="283"/>
              <w:rPr/>
            </w:pPr>
            <w:r>
              <w:rPr/>
              <w:t>  </w:t>
            </w:r>
          </w:p>
        </w:tc>
        <w:tc>
          <w:tcPr>
            <w:tcW w:w="277" w:type="dxa"/>
            <w:tcBorders/>
            <w:shd w:fill="CCEEFF" w:val="clear"/>
            <w:vAlign w:val="center"/>
          </w:tcPr>
          <w:p>
            <w:pPr>
              <w:pStyle w:val="TableContents"/>
              <w:spacing w:before="0" w:after="283"/>
              <w:rPr/>
            </w:pPr>
            <w:r>
              <w:rPr/>
              <w:t> </w:t>
            </w:r>
          </w:p>
        </w:tc>
        <w:tc>
          <w:tcPr>
            <w:tcW w:w="1498" w:type="dxa"/>
            <w:tcBorders/>
            <w:shd w:fill="CCEEFF" w:val="clear"/>
            <w:vAlign w:val="center"/>
          </w:tcPr>
          <w:p>
            <w:pPr>
              <w:pStyle w:val="TableContents"/>
              <w:spacing w:before="0" w:after="283"/>
              <w:jc w:val="right"/>
              <w:rPr/>
            </w:pPr>
            <w:r>
              <w:rPr/>
              <w:t>(80,067</w:t>
            </w:r>
          </w:p>
        </w:tc>
        <w:tc>
          <w:tcPr>
            <w:tcW w:w="95" w:type="dxa"/>
            <w:tcBorders/>
            <w:shd w:fill="CCEEFF" w:val="clear"/>
            <w:vAlign w:val="center"/>
          </w:tcPr>
          <w:p>
            <w:pPr>
              <w:pStyle w:val="TableContents"/>
              <w:spacing w:before="0" w:after="0"/>
              <w:rPr>
                <w:spacing w:val="0"/>
              </w:rPr>
            </w:pPr>
            <w:r>
              <w:rPr>
                <w:spacing w:val="0"/>
              </w:rPr>
              <w:t>)</w:t>
            </w:r>
          </w:p>
        </w:tc>
        <w:tc>
          <w:tcPr>
            <w:tcW w:w="120" w:type="dxa"/>
            <w:tcBorders/>
            <w:shd w:fill="CCEEFF" w:val="clear"/>
            <w:vAlign w:val="center"/>
          </w:tcPr>
          <w:p>
            <w:pPr>
              <w:pStyle w:val="TableContents"/>
              <w:spacing w:before="0" w:after="283"/>
              <w:rPr/>
            </w:pPr>
            <w:r>
              <w:rPr/>
              <w:t>  </w:t>
            </w:r>
          </w:p>
        </w:tc>
        <w:tc>
          <w:tcPr>
            <w:tcW w:w="303" w:type="dxa"/>
            <w:tcBorders/>
            <w:shd w:fill="CCEEFF" w:val="clear"/>
            <w:vAlign w:val="center"/>
          </w:tcPr>
          <w:p>
            <w:pPr>
              <w:pStyle w:val="TableContents"/>
              <w:spacing w:before="0" w:after="283"/>
              <w:rPr/>
            </w:pPr>
            <w:r>
              <w:rPr/>
              <w:t> </w:t>
            </w:r>
          </w:p>
        </w:tc>
        <w:tc>
          <w:tcPr>
            <w:tcW w:w="1472" w:type="dxa"/>
            <w:tcBorders/>
            <w:shd w:fill="CCEEFF" w:val="clear"/>
            <w:vAlign w:val="center"/>
          </w:tcPr>
          <w:p>
            <w:pPr>
              <w:pStyle w:val="TableContents"/>
              <w:spacing w:before="0" w:after="283"/>
              <w:jc w:val="right"/>
              <w:rPr/>
            </w:pPr>
            <w:r>
              <w:rPr/>
              <w:t>20,406</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303" w:type="dxa"/>
            <w:tcBorders/>
            <w:shd w:fill="CCEEFF" w:val="clear"/>
            <w:vAlign w:val="center"/>
          </w:tcPr>
          <w:p>
            <w:pPr>
              <w:pStyle w:val="TableContents"/>
              <w:spacing w:before="0" w:after="283"/>
              <w:rPr/>
            </w:pPr>
            <w:r>
              <w:rPr/>
              <w:t> </w:t>
            </w:r>
          </w:p>
        </w:tc>
        <w:tc>
          <w:tcPr>
            <w:tcW w:w="1472" w:type="dxa"/>
            <w:tcBorders/>
            <w:shd w:fill="CCEEFF" w:val="clear"/>
            <w:vAlign w:val="center"/>
          </w:tcPr>
          <w:p>
            <w:pPr>
              <w:pStyle w:val="TableContents"/>
              <w:spacing w:before="0" w:after="283"/>
              <w:jc w:val="right"/>
              <w:rPr/>
            </w:pPr>
            <w:r>
              <w:rPr/>
              <w:t>25,192</w:t>
            </w:r>
          </w:p>
        </w:tc>
        <w:tc>
          <w:tcPr>
            <w:tcW w:w="170" w:type="dxa"/>
            <w:tcBorders/>
            <w:shd w:fill="CCEEFF" w:val="clear"/>
            <w:vAlign w:val="center"/>
          </w:tcPr>
          <w:p>
            <w:pPr>
              <w:pStyle w:val="TableContents"/>
              <w:spacing w:before="0" w:after="283"/>
              <w:rPr/>
            </w:pPr>
            <w:r>
              <w:rPr/>
              <w:t> </w:t>
            </w:r>
          </w:p>
        </w:tc>
      </w:tr>
      <w:tr>
        <w:trPr/>
        <w:tc>
          <w:tcPr>
            <w:tcW w:w="273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77" w:type="dxa"/>
            <w:tcBorders/>
            <w:shd w:fill="auto" w:val="clear"/>
            <w:vAlign w:val="center"/>
          </w:tcPr>
          <w:p>
            <w:pPr>
              <w:pStyle w:val="TableContents"/>
              <w:spacing w:before="0" w:after="0"/>
              <w:rPr>
                <w:bdr w:val="single" w:sz="2" w:space="1" w:color="000000"/>
              </w:rPr>
            </w:pPr>
            <w:r>
              <w:rPr>
                <w:bdr w:val="single" w:sz="2" w:space="1" w:color="000000"/>
              </w:rPr>
              <w:t> </w:t>
            </w:r>
          </w:p>
        </w:tc>
        <w:tc>
          <w:tcPr>
            <w:tcW w:w="1498" w:type="dxa"/>
            <w:tcBorders/>
            <w:shd w:fill="auto" w:val="clear"/>
            <w:vAlign w:val="center"/>
          </w:tcPr>
          <w:p>
            <w:pPr>
              <w:pStyle w:val="TableContents"/>
              <w:spacing w:before="0" w:after="0"/>
              <w:rPr>
                <w:bdr w:val="single" w:sz="2" w:space="1" w:color="000000"/>
              </w:rPr>
            </w:pPr>
            <w:r>
              <w:rPr>
                <w:bdr w:val="single" w:sz="2" w:space="1" w:color="000000"/>
              </w:rPr>
              <w:t> </w:t>
            </w:r>
          </w:p>
        </w:tc>
        <w:tc>
          <w:tcPr>
            <w:tcW w:w="9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303" w:type="dxa"/>
            <w:tcBorders/>
            <w:shd w:fill="auto" w:val="clear"/>
            <w:vAlign w:val="center"/>
          </w:tcPr>
          <w:p>
            <w:pPr>
              <w:pStyle w:val="TableContents"/>
              <w:spacing w:before="0" w:after="0"/>
              <w:rPr>
                <w:bdr w:val="single" w:sz="2" w:space="1" w:color="000000"/>
              </w:rPr>
            </w:pPr>
            <w:r>
              <w:rPr>
                <w:bdr w:val="single" w:sz="2" w:space="1" w:color="000000"/>
              </w:rPr>
              <w:t> </w:t>
            </w:r>
          </w:p>
        </w:tc>
        <w:tc>
          <w:tcPr>
            <w:tcW w:w="1472"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303" w:type="dxa"/>
            <w:tcBorders/>
            <w:shd w:fill="auto" w:val="clear"/>
            <w:vAlign w:val="center"/>
          </w:tcPr>
          <w:p>
            <w:pPr>
              <w:pStyle w:val="TableContents"/>
              <w:spacing w:before="0" w:after="0"/>
              <w:rPr>
                <w:bdr w:val="single" w:sz="2" w:space="1" w:color="000000"/>
              </w:rPr>
            </w:pPr>
            <w:r>
              <w:rPr>
                <w:bdr w:val="single" w:sz="2" w:space="1" w:color="000000"/>
              </w:rPr>
              <w:t> </w:t>
            </w:r>
          </w:p>
        </w:tc>
        <w:tc>
          <w:tcPr>
            <w:tcW w:w="1472" w:type="dxa"/>
            <w:tcBorders/>
            <w:shd w:fill="auto" w:val="clear"/>
            <w:vAlign w:val="center"/>
          </w:tcPr>
          <w:p>
            <w:pPr>
              <w:pStyle w:val="TableContents"/>
              <w:spacing w:before="0" w:after="0"/>
              <w:rPr>
                <w:bdr w:val="single" w:sz="2" w:space="1" w:color="000000"/>
              </w:rPr>
            </w:pPr>
            <w:r>
              <w:rPr>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273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Deferred provision (benefit):</w:t>
            </w:r>
          </w:p>
        </w:tc>
        <w:tc>
          <w:tcPr>
            <w:tcW w:w="120" w:type="dxa"/>
            <w:tcBorders/>
            <w:shd w:fill="auto" w:val="clear"/>
            <w:vAlign w:val="center"/>
          </w:tcPr>
          <w:p>
            <w:pPr>
              <w:pStyle w:val="TableContents"/>
              <w:spacing w:before="0" w:after="283"/>
              <w:rPr/>
            </w:pPr>
            <w:r>
              <w:rPr/>
              <w:t>  </w:t>
            </w:r>
          </w:p>
        </w:tc>
        <w:tc>
          <w:tcPr>
            <w:tcW w:w="277" w:type="dxa"/>
            <w:tcBorders/>
            <w:shd w:fill="auto" w:val="clear"/>
            <w:vAlign w:val="center"/>
          </w:tcPr>
          <w:p>
            <w:pPr>
              <w:pStyle w:val="TableContents"/>
              <w:spacing w:before="0" w:after="283"/>
              <w:rPr/>
            </w:pPr>
            <w:r>
              <w:rPr/>
              <w:t> </w:t>
            </w:r>
          </w:p>
        </w:tc>
        <w:tc>
          <w:tcPr>
            <w:tcW w:w="1498" w:type="dxa"/>
            <w:tcBorders/>
            <w:shd w:fill="auto" w:val="clear"/>
            <w:vAlign w:val="center"/>
          </w:tcPr>
          <w:p>
            <w:pPr>
              <w:pStyle w:val="TableContents"/>
              <w:spacing w:before="0" w:after="283"/>
              <w:rPr/>
            </w:pPr>
            <w:r>
              <w:rPr/>
              <w:t> </w:t>
            </w:r>
          </w:p>
        </w:tc>
        <w:tc>
          <w:tcPr>
            <w:tcW w:w="9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303" w:type="dxa"/>
            <w:tcBorders/>
            <w:shd w:fill="auto" w:val="clear"/>
            <w:vAlign w:val="center"/>
          </w:tcPr>
          <w:p>
            <w:pPr>
              <w:pStyle w:val="TableContents"/>
              <w:spacing w:before="0" w:after="283"/>
              <w:rPr/>
            </w:pPr>
            <w:r>
              <w:rPr/>
              <w:t> </w:t>
            </w:r>
          </w:p>
        </w:tc>
        <w:tc>
          <w:tcPr>
            <w:tcW w:w="1472" w:type="dxa"/>
            <w:tcBorders/>
            <w:shd w:fill="auto" w:val="clear"/>
            <w:vAlign w:val="center"/>
          </w:tcPr>
          <w:p>
            <w:pPr>
              <w:pStyle w:val="TableContents"/>
              <w:spacing w:before="0" w:after="283"/>
              <w:rPr/>
            </w:pPr>
            <w:r>
              <w:rPr/>
              <w:t> </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303" w:type="dxa"/>
            <w:tcBorders/>
            <w:shd w:fill="auto" w:val="clear"/>
            <w:vAlign w:val="center"/>
          </w:tcPr>
          <w:p>
            <w:pPr>
              <w:pStyle w:val="TableContents"/>
              <w:spacing w:before="0" w:after="283"/>
              <w:rPr/>
            </w:pPr>
            <w:r>
              <w:rPr/>
              <w:t> </w:t>
            </w:r>
          </w:p>
        </w:tc>
        <w:tc>
          <w:tcPr>
            <w:tcW w:w="1472"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 </w:t>
            </w:r>
          </w:p>
        </w:tc>
      </w:tr>
      <w:tr>
        <w:trPr/>
        <w:tc>
          <w:tcPr>
            <w:tcW w:w="273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Federal</w:t>
            </w:r>
          </w:p>
        </w:tc>
        <w:tc>
          <w:tcPr>
            <w:tcW w:w="120" w:type="dxa"/>
            <w:tcBorders/>
            <w:shd w:fill="CCEEFF" w:val="clear"/>
            <w:vAlign w:val="center"/>
          </w:tcPr>
          <w:p>
            <w:pPr>
              <w:pStyle w:val="TableContents"/>
              <w:spacing w:before="0" w:after="283"/>
              <w:rPr/>
            </w:pPr>
            <w:r>
              <w:rPr/>
              <w:t>  </w:t>
            </w:r>
          </w:p>
        </w:tc>
        <w:tc>
          <w:tcPr>
            <w:tcW w:w="277" w:type="dxa"/>
            <w:tcBorders/>
            <w:shd w:fill="CCEEFF" w:val="clear"/>
            <w:vAlign w:val="center"/>
          </w:tcPr>
          <w:p>
            <w:pPr>
              <w:pStyle w:val="TableContents"/>
              <w:spacing w:before="0" w:after="283"/>
              <w:rPr/>
            </w:pPr>
            <w:r>
              <w:rPr/>
              <w:t> </w:t>
            </w:r>
          </w:p>
        </w:tc>
        <w:tc>
          <w:tcPr>
            <w:tcW w:w="1498" w:type="dxa"/>
            <w:tcBorders/>
            <w:shd w:fill="CCEEFF" w:val="clear"/>
            <w:vAlign w:val="center"/>
          </w:tcPr>
          <w:p>
            <w:pPr>
              <w:pStyle w:val="TableContents"/>
              <w:spacing w:before="0" w:after="0"/>
              <w:jc w:val="right"/>
              <w:rPr/>
            </w:pPr>
            <w:r>
              <w:rPr/>
              <w:t> </w:t>
            </w:r>
          </w:p>
          <w:p>
            <w:pPr>
              <w:pStyle w:val="TableContents"/>
              <w:spacing w:before="0" w:after="0"/>
              <w:jc w:val="right"/>
              <w:rPr>
                <w:rFonts w:ascii="Times New Roman" w:hAnsi="Times New Roman"/>
                <w:spacing w:val="0"/>
              </w:rPr>
            </w:pPr>
            <w:r>
              <w:rPr>
                <w:rFonts w:ascii="Times New Roman" w:hAnsi="Times New Roman"/>
                <w:spacing w:val="0"/>
              </w:rPr>
              <w:t>(5,415</w:t>
            </w:r>
          </w:p>
        </w:tc>
        <w:tc>
          <w:tcPr>
            <w:tcW w:w="95" w:type="dxa"/>
            <w:tcBorders/>
            <w:shd w:fill="CCEEFF" w:val="clear"/>
            <w:vAlign w:val="center"/>
          </w:tcPr>
          <w:p>
            <w:pPr>
              <w:pStyle w:val="TableContents"/>
              <w:spacing w:before="0" w:after="0"/>
              <w:rPr>
                <w:rFonts w:ascii="Times New Roman" w:hAnsi="Times New Roman"/>
                <w:spacing w:val="0"/>
              </w:rPr>
            </w:pPr>
            <w:r>
              <w:rPr>
                <w:rFonts w:ascii="Times New Roman" w:hAnsi="Times New Roman"/>
                <w:spacing w:val="0"/>
              </w:rPr>
              <w:t>)</w:t>
            </w:r>
          </w:p>
        </w:tc>
        <w:tc>
          <w:tcPr>
            <w:tcW w:w="120" w:type="dxa"/>
            <w:tcBorders/>
            <w:shd w:fill="CCEEFF" w:val="clear"/>
            <w:vAlign w:val="center"/>
          </w:tcPr>
          <w:p>
            <w:pPr>
              <w:pStyle w:val="TableContents"/>
              <w:spacing w:before="0" w:after="283"/>
              <w:rPr/>
            </w:pPr>
            <w:r>
              <w:rPr/>
              <w:t>  </w:t>
            </w:r>
          </w:p>
        </w:tc>
        <w:tc>
          <w:tcPr>
            <w:tcW w:w="303" w:type="dxa"/>
            <w:tcBorders/>
            <w:shd w:fill="CCEEFF" w:val="clear"/>
            <w:vAlign w:val="center"/>
          </w:tcPr>
          <w:p>
            <w:pPr>
              <w:pStyle w:val="TableContents"/>
              <w:spacing w:before="0" w:after="283"/>
              <w:rPr/>
            </w:pPr>
            <w:r>
              <w:rPr/>
              <w:t> </w:t>
            </w:r>
          </w:p>
        </w:tc>
        <w:tc>
          <w:tcPr>
            <w:tcW w:w="1472" w:type="dxa"/>
            <w:tcBorders/>
            <w:shd w:fill="CCEEFF" w:val="clear"/>
            <w:vAlign w:val="center"/>
          </w:tcPr>
          <w:p>
            <w:pPr>
              <w:pStyle w:val="TableContents"/>
              <w:spacing w:before="0" w:after="283"/>
              <w:jc w:val="right"/>
              <w:rPr/>
            </w:pPr>
            <w:r>
              <w:rPr/>
              <w:t>7,109</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303" w:type="dxa"/>
            <w:tcBorders/>
            <w:shd w:fill="CCEEFF" w:val="clear"/>
            <w:vAlign w:val="center"/>
          </w:tcPr>
          <w:p>
            <w:pPr>
              <w:pStyle w:val="TableContents"/>
              <w:spacing w:before="0" w:after="283"/>
              <w:rPr/>
            </w:pPr>
            <w:r>
              <w:rPr/>
              <w:t> </w:t>
            </w:r>
          </w:p>
        </w:tc>
        <w:tc>
          <w:tcPr>
            <w:tcW w:w="1472" w:type="dxa"/>
            <w:tcBorders/>
            <w:shd w:fill="CCEEFF" w:val="clear"/>
            <w:vAlign w:val="center"/>
          </w:tcPr>
          <w:p>
            <w:pPr>
              <w:pStyle w:val="TableContents"/>
              <w:spacing w:before="0" w:after="283"/>
              <w:jc w:val="right"/>
              <w:rPr/>
            </w:pPr>
            <w:r>
              <w:rPr/>
              <w:t>5,029</w:t>
            </w:r>
          </w:p>
        </w:tc>
        <w:tc>
          <w:tcPr>
            <w:tcW w:w="170" w:type="dxa"/>
            <w:tcBorders/>
            <w:shd w:fill="CCEEFF" w:val="clear"/>
            <w:vAlign w:val="center"/>
          </w:tcPr>
          <w:p>
            <w:pPr>
              <w:pStyle w:val="TableContents"/>
              <w:spacing w:before="0" w:after="283"/>
              <w:rPr/>
            </w:pPr>
            <w:r>
              <w:rPr/>
              <w:t> </w:t>
            </w:r>
          </w:p>
        </w:tc>
      </w:tr>
      <w:tr>
        <w:trPr/>
        <w:tc>
          <w:tcPr>
            <w:tcW w:w="273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State and local</w:t>
            </w:r>
          </w:p>
        </w:tc>
        <w:tc>
          <w:tcPr>
            <w:tcW w:w="120" w:type="dxa"/>
            <w:tcBorders/>
            <w:shd w:fill="auto" w:val="clear"/>
            <w:vAlign w:val="center"/>
          </w:tcPr>
          <w:p>
            <w:pPr>
              <w:pStyle w:val="TableContents"/>
              <w:spacing w:before="0" w:after="283"/>
              <w:rPr/>
            </w:pPr>
            <w:r>
              <w:rPr/>
              <w:t>  </w:t>
            </w:r>
          </w:p>
        </w:tc>
        <w:tc>
          <w:tcPr>
            <w:tcW w:w="277" w:type="dxa"/>
            <w:tcBorders/>
            <w:shd w:fill="auto" w:val="clear"/>
            <w:vAlign w:val="center"/>
          </w:tcPr>
          <w:p>
            <w:pPr>
              <w:pStyle w:val="TableContents"/>
              <w:spacing w:before="0" w:after="283"/>
              <w:rPr/>
            </w:pPr>
            <w:r>
              <w:rPr/>
              <w:t> </w:t>
            </w:r>
          </w:p>
        </w:tc>
        <w:tc>
          <w:tcPr>
            <w:tcW w:w="1498" w:type="dxa"/>
            <w:tcBorders/>
            <w:shd w:fill="auto" w:val="clear"/>
            <w:vAlign w:val="center"/>
          </w:tcPr>
          <w:p>
            <w:pPr>
              <w:pStyle w:val="TableContents"/>
              <w:spacing w:before="0" w:after="283"/>
              <w:jc w:val="right"/>
              <w:rPr/>
            </w:pPr>
            <w:r>
              <w:rPr/>
              <w:t>1,951</w:t>
            </w:r>
          </w:p>
        </w:tc>
        <w:tc>
          <w:tcPr>
            <w:tcW w:w="9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303" w:type="dxa"/>
            <w:tcBorders/>
            <w:shd w:fill="auto" w:val="clear"/>
            <w:vAlign w:val="center"/>
          </w:tcPr>
          <w:p>
            <w:pPr>
              <w:pStyle w:val="TableContents"/>
              <w:spacing w:before="0" w:after="283"/>
              <w:rPr/>
            </w:pPr>
            <w:r>
              <w:rPr/>
              <w:t> </w:t>
            </w:r>
          </w:p>
        </w:tc>
        <w:tc>
          <w:tcPr>
            <w:tcW w:w="1472" w:type="dxa"/>
            <w:tcBorders/>
            <w:shd w:fill="auto" w:val="clear"/>
            <w:vAlign w:val="center"/>
          </w:tcPr>
          <w:p>
            <w:pPr>
              <w:pStyle w:val="TableContents"/>
              <w:spacing w:before="0" w:after="283"/>
              <w:jc w:val="right"/>
              <w:rPr/>
            </w:pPr>
            <w:r>
              <w:rPr/>
              <w:t>(365</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303" w:type="dxa"/>
            <w:tcBorders/>
            <w:shd w:fill="auto" w:val="clear"/>
            <w:vAlign w:val="center"/>
          </w:tcPr>
          <w:p>
            <w:pPr>
              <w:pStyle w:val="TableContents"/>
              <w:spacing w:before="0" w:after="283"/>
              <w:rPr/>
            </w:pPr>
            <w:r>
              <w:rPr/>
              <w:t> </w:t>
            </w:r>
          </w:p>
        </w:tc>
        <w:tc>
          <w:tcPr>
            <w:tcW w:w="1472" w:type="dxa"/>
            <w:tcBorders/>
            <w:shd w:fill="auto" w:val="clear"/>
            <w:vAlign w:val="center"/>
          </w:tcPr>
          <w:p>
            <w:pPr>
              <w:pStyle w:val="TableContents"/>
              <w:spacing w:before="0" w:after="283"/>
              <w:jc w:val="right"/>
              <w:rPr/>
            </w:pPr>
            <w:r>
              <w:rPr/>
              <w:t>(228</w:t>
            </w:r>
          </w:p>
        </w:tc>
        <w:tc>
          <w:tcPr>
            <w:tcW w:w="170" w:type="dxa"/>
            <w:tcBorders/>
            <w:shd w:fill="auto" w:val="clear"/>
            <w:vAlign w:val="center"/>
          </w:tcPr>
          <w:p>
            <w:pPr>
              <w:pStyle w:val="TableContents"/>
              <w:spacing w:before="0" w:after="283"/>
              <w:rPr/>
            </w:pPr>
            <w:r>
              <w:rPr/>
              <w:t>) </w:t>
            </w:r>
          </w:p>
        </w:tc>
      </w:tr>
      <w:tr>
        <w:trPr/>
        <w:tc>
          <w:tcPr>
            <w:tcW w:w="273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Foreign</w:t>
            </w:r>
          </w:p>
        </w:tc>
        <w:tc>
          <w:tcPr>
            <w:tcW w:w="120" w:type="dxa"/>
            <w:tcBorders/>
            <w:shd w:fill="CCEEFF" w:val="clear"/>
            <w:vAlign w:val="center"/>
          </w:tcPr>
          <w:p>
            <w:pPr>
              <w:pStyle w:val="TableContents"/>
              <w:spacing w:before="0" w:after="283"/>
              <w:rPr/>
            </w:pPr>
            <w:r>
              <w:rPr/>
              <w:t>  </w:t>
            </w:r>
          </w:p>
        </w:tc>
        <w:tc>
          <w:tcPr>
            <w:tcW w:w="277" w:type="dxa"/>
            <w:tcBorders/>
            <w:shd w:fill="CCEEFF" w:val="clear"/>
            <w:vAlign w:val="center"/>
          </w:tcPr>
          <w:p>
            <w:pPr>
              <w:pStyle w:val="TableContents"/>
              <w:spacing w:before="0" w:after="283"/>
              <w:rPr/>
            </w:pPr>
            <w:r>
              <w:rPr/>
              <w:t> </w:t>
            </w:r>
          </w:p>
        </w:tc>
        <w:tc>
          <w:tcPr>
            <w:tcW w:w="1498" w:type="dxa"/>
            <w:tcBorders/>
            <w:shd w:fill="CCEEFF" w:val="clear"/>
            <w:vAlign w:val="center"/>
          </w:tcPr>
          <w:p>
            <w:pPr>
              <w:pStyle w:val="TableContents"/>
              <w:spacing w:before="0" w:after="0"/>
              <w:jc w:val="right"/>
              <w:rPr/>
            </w:pPr>
            <w:r>
              <w:rPr/>
              <w:t> </w:t>
            </w:r>
          </w:p>
          <w:p>
            <w:pPr>
              <w:pStyle w:val="TableContents"/>
              <w:spacing w:before="0" w:after="0"/>
              <w:jc w:val="right"/>
              <w:rPr>
                <w:rFonts w:ascii="Times New Roman" w:hAnsi="Times New Roman"/>
                <w:spacing w:val="0"/>
              </w:rPr>
            </w:pPr>
            <w:r>
              <w:rPr>
                <w:rFonts w:ascii="Times New Roman" w:hAnsi="Times New Roman"/>
                <w:spacing w:val="0"/>
              </w:rPr>
              <w:t>99</w:t>
            </w:r>
          </w:p>
        </w:tc>
        <w:tc>
          <w:tcPr>
            <w:tcW w:w="9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303" w:type="dxa"/>
            <w:tcBorders/>
            <w:shd w:fill="CCEEFF" w:val="clear"/>
            <w:vAlign w:val="center"/>
          </w:tcPr>
          <w:p>
            <w:pPr>
              <w:pStyle w:val="TableContents"/>
              <w:spacing w:before="0" w:after="283"/>
              <w:rPr/>
            </w:pPr>
            <w:r>
              <w:rPr/>
              <w:t> </w:t>
            </w:r>
          </w:p>
        </w:tc>
        <w:tc>
          <w:tcPr>
            <w:tcW w:w="1472" w:type="dxa"/>
            <w:tcBorders/>
            <w:shd w:fill="CCEEFF" w:val="clear"/>
            <w:vAlign w:val="center"/>
          </w:tcPr>
          <w:p>
            <w:pPr>
              <w:pStyle w:val="TableContents"/>
              <w:spacing w:before="0" w:after="283"/>
              <w:jc w:val="right"/>
              <w:rPr/>
            </w:pPr>
            <w:r>
              <w:rPr/>
              <w:t>(271</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303" w:type="dxa"/>
            <w:tcBorders/>
            <w:shd w:fill="CCEEFF" w:val="clear"/>
            <w:vAlign w:val="center"/>
          </w:tcPr>
          <w:p>
            <w:pPr>
              <w:pStyle w:val="TableContents"/>
              <w:spacing w:before="0" w:after="283"/>
              <w:rPr/>
            </w:pPr>
            <w:r>
              <w:rPr/>
              <w:t> </w:t>
            </w:r>
          </w:p>
        </w:tc>
        <w:tc>
          <w:tcPr>
            <w:tcW w:w="1472" w:type="dxa"/>
            <w:tcBorders/>
            <w:shd w:fill="CCEEFF" w:val="clear"/>
            <w:vAlign w:val="center"/>
          </w:tcPr>
          <w:p>
            <w:pPr>
              <w:pStyle w:val="TableContents"/>
              <w:spacing w:before="0" w:after="283"/>
              <w:jc w:val="right"/>
              <w:rPr/>
            </w:pPr>
            <w:r>
              <w:rPr/>
              <w:t>673</w:t>
            </w:r>
          </w:p>
        </w:tc>
        <w:tc>
          <w:tcPr>
            <w:tcW w:w="170" w:type="dxa"/>
            <w:tcBorders/>
            <w:shd w:fill="CCEEFF" w:val="clear"/>
            <w:vAlign w:val="center"/>
          </w:tcPr>
          <w:p>
            <w:pPr>
              <w:pStyle w:val="TableContents"/>
              <w:spacing w:before="0" w:after="283"/>
              <w:rPr/>
            </w:pPr>
            <w:r>
              <w:rPr/>
              <w:t> </w:t>
            </w:r>
          </w:p>
        </w:tc>
      </w:tr>
      <w:tr>
        <w:trPr/>
        <w:tc>
          <w:tcPr>
            <w:tcW w:w="273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77" w:type="dxa"/>
            <w:tcBorders/>
            <w:shd w:fill="auto" w:val="clear"/>
            <w:vAlign w:val="center"/>
          </w:tcPr>
          <w:p>
            <w:pPr>
              <w:pStyle w:val="TableContents"/>
              <w:spacing w:before="0" w:after="0"/>
              <w:rPr>
                <w:bdr w:val="single" w:sz="2" w:space="1" w:color="000000"/>
              </w:rPr>
            </w:pPr>
            <w:r>
              <w:rPr>
                <w:bdr w:val="single" w:sz="2" w:space="1" w:color="000000"/>
              </w:rPr>
              <w:t> </w:t>
            </w:r>
          </w:p>
        </w:tc>
        <w:tc>
          <w:tcPr>
            <w:tcW w:w="1498" w:type="dxa"/>
            <w:tcBorders/>
            <w:shd w:fill="auto" w:val="clear"/>
            <w:vAlign w:val="center"/>
          </w:tcPr>
          <w:p>
            <w:pPr>
              <w:pStyle w:val="TableContents"/>
              <w:spacing w:before="0" w:after="0"/>
              <w:rPr>
                <w:bdr w:val="single" w:sz="2" w:space="1" w:color="000000"/>
              </w:rPr>
            </w:pPr>
            <w:r>
              <w:rPr>
                <w:bdr w:val="single" w:sz="2" w:space="1" w:color="000000"/>
              </w:rPr>
              <w:t> </w:t>
            </w:r>
          </w:p>
        </w:tc>
        <w:tc>
          <w:tcPr>
            <w:tcW w:w="9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303" w:type="dxa"/>
            <w:tcBorders/>
            <w:shd w:fill="auto" w:val="clear"/>
            <w:vAlign w:val="center"/>
          </w:tcPr>
          <w:p>
            <w:pPr>
              <w:pStyle w:val="TableContents"/>
              <w:spacing w:before="0" w:after="0"/>
              <w:rPr>
                <w:bdr w:val="single" w:sz="2" w:space="1" w:color="000000"/>
              </w:rPr>
            </w:pPr>
            <w:r>
              <w:rPr>
                <w:bdr w:val="single" w:sz="2" w:space="1" w:color="000000"/>
              </w:rPr>
              <w:t> </w:t>
            </w:r>
          </w:p>
        </w:tc>
        <w:tc>
          <w:tcPr>
            <w:tcW w:w="1472"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303" w:type="dxa"/>
            <w:tcBorders/>
            <w:shd w:fill="auto" w:val="clear"/>
            <w:vAlign w:val="center"/>
          </w:tcPr>
          <w:p>
            <w:pPr>
              <w:pStyle w:val="TableContents"/>
              <w:spacing w:before="0" w:after="0"/>
              <w:rPr>
                <w:bdr w:val="single" w:sz="2" w:space="1" w:color="000000"/>
              </w:rPr>
            </w:pPr>
            <w:r>
              <w:rPr>
                <w:bdr w:val="single" w:sz="2" w:space="1" w:color="000000"/>
              </w:rPr>
              <w:t> </w:t>
            </w:r>
          </w:p>
        </w:tc>
        <w:tc>
          <w:tcPr>
            <w:tcW w:w="1472" w:type="dxa"/>
            <w:tcBorders/>
            <w:shd w:fill="auto" w:val="clear"/>
            <w:vAlign w:val="center"/>
          </w:tcPr>
          <w:p>
            <w:pPr>
              <w:pStyle w:val="TableContents"/>
              <w:spacing w:before="0" w:after="0"/>
              <w:rPr>
                <w:bdr w:val="single" w:sz="2" w:space="1" w:color="000000"/>
              </w:rPr>
            </w:pPr>
            <w:r>
              <w:rPr>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273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Total deferred provision (benefit)</w:t>
            </w:r>
          </w:p>
        </w:tc>
        <w:tc>
          <w:tcPr>
            <w:tcW w:w="120" w:type="dxa"/>
            <w:tcBorders/>
            <w:shd w:fill="auto" w:val="clear"/>
            <w:vAlign w:val="center"/>
          </w:tcPr>
          <w:p>
            <w:pPr>
              <w:pStyle w:val="TableContents"/>
              <w:spacing w:before="0" w:after="283"/>
              <w:rPr/>
            </w:pPr>
            <w:r>
              <w:rPr/>
              <w:t>  </w:t>
            </w:r>
          </w:p>
        </w:tc>
        <w:tc>
          <w:tcPr>
            <w:tcW w:w="277" w:type="dxa"/>
            <w:tcBorders/>
            <w:shd w:fill="auto" w:val="clear"/>
            <w:vAlign w:val="center"/>
          </w:tcPr>
          <w:p>
            <w:pPr>
              <w:pStyle w:val="TableContents"/>
              <w:spacing w:before="0" w:after="283"/>
              <w:rPr/>
            </w:pPr>
            <w:r>
              <w:rPr/>
              <w:t> </w:t>
            </w:r>
          </w:p>
        </w:tc>
        <w:tc>
          <w:tcPr>
            <w:tcW w:w="1498" w:type="dxa"/>
            <w:tcBorders/>
            <w:shd w:fill="auto" w:val="clear"/>
            <w:vAlign w:val="center"/>
          </w:tcPr>
          <w:p>
            <w:pPr>
              <w:pStyle w:val="TableContents"/>
              <w:spacing w:before="0" w:after="0"/>
              <w:jc w:val="right"/>
              <w:rPr>
                <w:spacing w:val="0"/>
              </w:rPr>
            </w:pPr>
            <w:r>
              <w:rPr>
                <w:spacing w:val="0"/>
              </w:rPr>
              <w:t>(3,365</w:t>
            </w:r>
          </w:p>
        </w:tc>
        <w:tc>
          <w:tcPr>
            <w:tcW w:w="95" w:type="dxa"/>
            <w:tcBorders/>
            <w:shd w:fill="auto" w:val="clear"/>
            <w:vAlign w:val="center"/>
          </w:tcPr>
          <w:p>
            <w:pPr>
              <w:pStyle w:val="TableContents"/>
              <w:spacing w:before="0" w:after="0"/>
              <w:rPr>
                <w:spacing w:val="0"/>
              </w:rPr>
            </w:pPr>
            <w:r>
              <w:rPr>
                <w:spacing w:val="0"/>
              </w:rPr>
              <w:t>)</w:t>
            </w:r>
          </w:p>
        </w:tc>
        <w:tc>
          <w:tcPr>
            <w:tcW w:w="120" w:type="dxa"/>
            <w:tcBorders/>
            <w:shd w:fill="auto" w:val="clear"/>
            <w:vAlign w:val="center"/>
          </w:tcPr>
          <w:p>
            <w:pPr>
              <w:pStyle w:val="TableContents"/>
              <w:spacing w:before="0" w:after="283"/>
              <w:rPr/>
            </w:pPr>
            <w:r>
              <w:rPr/>
              <w:t>  </w:t>
            </w:r>
          </w:p>
        </w:tc>
        <w:tc>
          <w:tcPr>
            <w:tcW w:w="303" w:type="dxa"/>
            <w:tcBorders/>
            <w:shd w:fill="auto" w:val="clear"/>
            <w:vAlign w:val="center"/>
          </w:tcPr>
          <w:p>
            <w:pPr>
              <w:pStyle w:val="TableContents"/>
              <w:spacing w:before="0" w:after="283"/>
              <w:rPr/>
            </w:pPr>
            <w:r>
              <w:rPr/>
              <w:t> </w:t>
            </w:r>
          </w:p>
        </w:tc>
        <w:tc>
          <w:tcPr>
            <w:tcW w:w="1472" w:type="dxa"/>
            <w:tcBorders/>
            <w:shd w:fill="auto" w:val="clear"/>
            <w:vAlign w:val="center"/>
          </w:tcPr>
          <w:p>
            <w:pPr>
              <w:pStyle w:val="TableContents"/>
              <w:spacing w:before="0" w:after="283"/>
              <w:jc w:val="right"/>
              <w:rPr/>
            </w:pPr>
            <w:r>
              <w:rPr/>
              <w:t>6,473</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303" w:type="dxa"/>
            <w:tcBorders/>
            <w:shd w:fill="auto" w:val="clear"/>
            <w:vAlign w:val="center"/>
          </w:tcPr>
          <w:p>
            <w:pPr>
              <w:pStyle w:val="TableContents"/>
              <w:spacing w:before="0" w:after="283"/>
              <w:rPr/>
            </w:pPr>
            <w:r>
              <w:rPr/>
              <w:t> </w:t>
            </w:r>
          </w:p>
        </w:tc>
        <w:tc>
          <w:tcPr>
            <w:tcW w:w="1472" w:type="dxa"/>
            <w:tcBorders/>
            <w:shd w:fill="auto" w:val="clear"/>
            <w:vAlign w:val="center"/>
          </w:tcPr>
          <w:p>
            <w:pPr>
              <w:pStyle w:val="TableContents"/>
              <w:spacing w:before="0" w:after="283"/>
              <w:jc w:val="right"/>
              <w:rPr/>
            </w:pPr>
            <w:r>
              <w:rPr/>
              <w:t>5,474</w:t>
            </w:r>
          </w:p>
        </w:tc>
        <w:tc>
          <w:tcPr>
            <w:tcW w:w="170" w:type="dxa"/>
            <w:tcBorders/>
            <w:shd w:fill="auto" w:val="clear"/>
            <w:vAlign w:val="center"/>
          </w:tcPr>
          <w:p>
            <w:pPr>
              <w:pStyle w:val="TableContents"/>
              <w:spacing w:before="0" w:after="283"/>
              <w:rPr/>
            </w:pPr>
            <w:r>
              <w:rPr/>
              <w:t> </w:t>
            </w:r>
          </w:p>
        </w:tc>
      </w:tr>
      <w:tr>
        <w:trPr/>
        <w:tc>
          <w:tcPr>
            <w:tcW w:w="273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77" w:type="dxa"/>
            <w:tcBorders/>
            <w:shd w:fill="auto" w:val="clear"/>
            <w:vAlign w:val="center"/>
          </w:tcPr>
          <w:p>
            <w:pPr>
              <w:pStyle w:val="TableContents"/>
              <w:spacing w:before="0" w:after="0"/>
              <w:rPr>
                <w:bdr w:val="single" w:sz="2" w:space="1" w:color="000000"/>
              </w:rPr>
            </w:pPr>
            <w:r>
              <w:rPr>
                <w:bdr w:val="single" w:sz="2" w:space="1" w:color="000000"/>
              </w:rPr>
              <w:t> </w:t>
            </w:r>
          </w:p>
        </w:tc>
        <w:tc>
          <w:tcPr>
            <w:tcW w:w="1498" w:type="dxa"/>
            <w:tcBorders/>
            <w:shd w:fill="auto" w:val="clear"/>
            <w:vAlign w:val="center"/>
          </w:tcPr>
          <w:p>
            <w:pPr>
              <w:pStyle w:val="TableContents"/>
              <w:spacing w:before="0" w:after="0"/>
              <w:rPr>
                <w:bdr w:val="single" w:sz="2" w:space="1" w:color="000000"/>
              </w:rPr>
            </w:pPr>
            <w:r>
              <w:rPr>
                <w:bdr w:val="single" w:sz="2" w:space="1" w:color="000000"/>
              </w:rPr>
              <w:t> </w:t>
            </w:r>
          </w:p>
        </w:tc>
        <w:tc>
          <w:tcPr>
            <w:tcW w:w="9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303" w:type="dxa"/>
            <w:tcBorders/>
            <w:shd w:fill="auto" w:val="clear"/>
            <w:vAlign w:val="center"/>
          </w:tcPr>
          <w:p>
            <w:pPr>
              <w:pStyle w:val="TableContents"/>
              <w:spacing w:before="0" w:after="0"/>
              <w:rPr>
                <w:bdr w:val="single" w:sz="2" w:space="1" w:color="000000"/>
              </w:rPr>
            </w:pPr>
            <w:r>
              <w:rPr>
                <w:bdr w:val="single" w:sz="2" w:space="1" w:color="000000"/>
              </w:rPr>
              <w:t> </w:t>
            </w:r>
          </w:p>
        </w:tc>
        <w:tc>
          <w:tcPr>
            <w:tcW w:w="1472"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303" w:type="dxa"/>
            <w:tcBorders/>
            <w:shd w:fill="auto" w:val="clear"/>
            <w:vAlign w:val="center"/>
          </w:tcPr>
          <w:p>
            <w:pPr>
              <w:pStyle w:val="TableContents"/>
              <w:spacing w:before="0" w:after="0"/>
              <w:rPr>
                <w:bdr w:val="single" w:sz="2" w:space="1" w:color="000000"/>
              </w:rPr>
            </w:pPr>
            <w:r>
              <w:rPr>
                <w:bdr w:val="single" w:sz="2" w:space="1" w:color="000000"/>
              </w:rPr>
              <w:t> </w:t>
            </w:r>
          </w:p>
        </w:tc>
        <w:tc>
          <w:tcPr>
            <w:tcW w:w="1472" w:type="dxa"/>
            <w:tcBorders/>
            <w:shd w:fill="auto" w:val="clear"/>
            <w:vAlign w:val="center"/>
          </w:tcPr>
          <w:p>
            <w:pPr>
              <w:pStyle w:val="TableContents"/>
              <w:spacing w:before="0" w:after="0"/>
              <w:rPr>
                <w:bdr w:val="single" w:sz="2" w:space="1" w:color="000000"/>
              </w:rPr>
            </w:pPr>
            <w:r>
              <w:rPr>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273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Provision for income taxes</w:t>
            </w:r>
          </w:p>
        </w:tc>
        <w:tc>
          <w:tcPr>
            <w:tcW w:w="120" w:type="dxa"/>
            <w:tcBorders/>
            <w:shd w:fill="CCEEFF" w:val="clear"/>
            <w:vAlign w:val="center"/>
          </w:tcPr>
          <w:p>
            <w:pPr>
              <w:pStyle w:val="TableContents"/>
              <w:spacing w:before="0" w:after="283"/>
              <w:rPr/>
            </w:pPr>
            <w:r>
              <w:rPr/>
              <w:t>  </w:t>
            </w:r>
          </w:p>
        </w:tc>
        <w:tc>
          <w:tcPr>
            <w:tcW w:w="277" w:type="dxa"/>
            <w:tcBorders/>
            <w:shd w:fill="CCEEFF" w:val="clear"/>
            <w:vAlign w:val="center"/>
          </w:tcPr>
          <w:p>
            <w:pPr>
              <w:pStyle w:val="TableContents"/>
              <w:spacing w:before="0" w:after="283"/>
              <w:rPr/>
            </w:pPr>
            <w:r>
              <w:rPr/>
              <w:t>$</w:t>
            </w:r>
          </w:p>
        </w:tc>
        <w:tc>
          <w:tcPr>
            <w:tcW w:w="1498" w:type="dxa"/>
            <w:tcBorders/>
            <w:shd w:fill="CCEEFF" w:val="clear"/>
            <w:vAlign w:val="center"/>
          </w:tcPr>
          <w:p>
            <w:pPr>
              <w:pStyle w:val="TableContents"/>
              <w:spacing w:before="0" w:after="0"/>
              <w:jc w:val="right"/>
              <w:rPr>
                <w:spacing w:val="0"/>
              </w:rPr>
            </w:pPr>
            <w:r>
              <w:rPr>
                <w:spacing w:val="0"/>
              </w:rPr>
              <w:t>(83,432</w:t>
            </w:r>
          </w:p>
        </w:tc>
        <w:tc>
          <w:tcPr>
            <w:tcW w:w="95" w:type="dxa"/>
            <w:tcBorders/>
            <w:shd w:fill="CCEEFF" w:val="clear"/>
            <w:vAlign w:val="center"/>
          </w:tcPr>
          <w:p>
            <w:pPr>
              <w:pStyle w:val="TableContents"/>
              <w:spacing w:before="0" w:after="0"/>
              <w:rPr>
                <w:spacing w:val="0"/>
              </w:rPr>
            </w:pPr>
            <w:r>
              <w:rPr>
                <w:spacing w:val="0"/>
              </w:rPr>
              <w:t>)</w:t>
            </w:r>
          </w:p>
        </w:tc>
        <w:tc>
          <w:tcPr>
            <w:tcW w:w="120" w:type="dxa"/>
            <w:tcBorders/>
            <w:shd w:fill="CCEEFF" w:val="clear"/>
            <w:vAlign w:val="center"/>
          </w:tcPr>
          <w:p>
            <w:pPr>
              <w:pStyle w:val="TableContents"/>
              <w:spacing w:before="0" w:after="283"/>
              <w:rPr/>
            </w:pPr>
            <w:r>
              <w:rPr/>
              <w:t>  </w:t>
            </w:r>
          </w:p>
        </w:tc>
        <w:tc>
          <w:tcPr>
            <w:tcW w:w="303" w:type="dxa"/>
            <w:tcBorders/>
            <w:shd w:fill="CCEEFF" w:val="clear"/>
            <w:vAlign w:val="center"/>
          </w:tcPr>
          <w:p>
            <w:pPr>
              <w:pStyle w:val="TableContents"/>
              <w:spacing w:before="0" w:after="283"/>
              <w:rPr/>
            </w:pPr>
            <w:r>
              <w:rPr/>
              <w:t>$</w:t>
            </w:r>
          </w:p>
        </w:tc>
        <w:tc>
          <w:tcPr>
            <w:tcW w:w="1472" w:type="dxa"/>
            <w:tcBorders/>
            <w:shd w:fill="CCEEFF" w:val="clear"/>
            <w:vAlign w:val="center"/>
          </w:tcPr>
          <w:p>
            <w:pPr>
              <w:pStyle w:val="TableContents"/>
              <w:spacing w:before="0" w:after="283"/>
              <w:jc w:val="right"/>
              <w:rPr/>
            </w:pPr>
            <w:r>
              <w:rPr/>
              <w:t>26,879</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303" w:type="dxa"/>
            <w:tcBorders/>
            <w:shd w:fill="CCEEFF" w:val="clear"/>
            <w:vAlign w:val="center"/>
          </w:tcPr>
          <w:p>
            <w:pPr>
              <w:pStyle w:val="TableContents"/>
              <w:spacing w:before="0" w:after="283"/>
              <w:rPr/>
            </w:pPr>
            <w:r>
              <w:rPr/>
              <w:t>$</w:t>
            </w:r>
          </w:p>
        </w:tc>
        <w:tc>
          <w:tcPr>
            <w:tcW w:w="1472" w:type="dxa"/>
            <w:tcBorders/>
            <w:shd w:fill="CCEEFF" w:val="clear"/>
            <w:vAlign w:val="center"/>
          </w:tcPr>
          <w:p>
            <w:pPr>
              <w:pStyle w:val="TableContents"/>
              <w:spacing w:before="0" w:after="283"/>
              <w:jc w:val="right"/>
              <w:rPr/>
            </w:pPr>
            <w:r>
              <w:rPr/>
              <w:t>30,666</w:t>
            </w:r>
          </w:p>
        </w:tc>
        <w:tc>
          <w:tcPr>
            <w:tcW w:w="170" w:type="dxa"/>
            <w:tcBorders/>
            <w:shd w:fill="CCEEFF" w:val="clear"/>
            <w:vAlign w:val="center"/>
          </w:tcPr>
          <w:p>
            <w:pPr>
              <w:pStyle w:val="TableContents"/>
              <w:spacing w:before="0" w:after="283"/>
              <w:rPr/>
            </w:pPr>
            <w:r>
              <w:rPr/>
              <w:t> </w:t>
            </w:r>
          </w:p>
        </w:tc>
      </w:tr>
      <w:tr>
        <w:trPr/>
        <w:tc>
          <w:tcPr>
            <w:tcW w:w="273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77" w:type="dxa"/>
            <w:tcBorders/>
            <w:shd w:fill="auto" w:val="clear"/>
            <w:vAlign w:val="center"/>
          </w:tcPr>
          <w:p>
            <w:pPr>
              <w:pStyle w:val="TableContents"/>
              <w:spacing w:before="0" w:after="0"/>
              <w:rPr>
                <w:bdr w:val="double" w:sz="6" w:space="1" w:color="000000"/>
              </w:rPr>
            </w:pPr>
            <w:r>
              <w:rPr>
                <w:bdr w:val="double" w:sz="6" w:space="1" w:color="000000"/>
              </w:rPr>
              <w:t> </w:t>
            </w:r>
          </w:p>
        </w:tc>
        <w:tc>
          <w:tcPr>
            <w:tcW w:w="1498" w:type="dxa"/>
            <w:tcBorders/>
            <w:shd w:fill="auto" w:val="clear"/>
            <w:vAlign w:val="center"/>
          </w:tcPr>
          <w:p>
            <w:pPr>
              <w:pStyle w:val="TableContents"/>
              <w:spacing w:before="0" w:after="0"/>
              <w:rPr>
                <w:bdr w:val="double" w:sz="6" w:space="1" w:color="000000"/>
              </w:rPr>
            </w:pPr>
            <w:r>
              <w:rPr>
                <w:bdr w:val="double" w:sz="6" w:space="1" w:color="000000"/>
              </w:rPr>
              <w:t> </w:t>
            </w:r>
          </w:p>
        </w:tc>
        <w:tc>
          <w:tcPr>
            <w:tcW w:w="9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303" w:type="dxa"/>
            <w:tcBorders/>
            <w:shd w:fill="auto" w:val="clear"/>
            <w:vAlign w:val="center"/>
          </w:tcPr>
          <w:p>
            <w:pPr>
              <w:pStyle w:val="TableContents"/>
              <w:spacing w:before="0" w:after="0"/>
              <w:rPr>
                <w:bdr w:val="double" w:sz="6" w:space="1" w:color="000000"/>
              </w:rPr>
            </w:pPr>
            <w:r>
              <w:rPr>
                <w:bdr w:val="double" w:sz="6" w:space="1" w:color="000000"/>
              </w:rPr>
              <w:t> </w:t>
            </w:r>
          </w:p>
        </w:tc>
        <w:tc>
          <w:tcPr>
            <w:tcW w:w="1472" w:type="dxa"/>
            <w:tcBorders/>
            <w:shd w:fill="auto" w:val="clear"/>
            <w:vAlign w:val="center"/>
          </w:tcPr>
          <w:p>
            <w:pPr>
              <w:pStyle w:val="TableContents"/>
              <w:spacing w:before="0" w:after="0"/>
              <w:rPr>
                <w:bdr w:val="double" w:sz="6" w:space="1" w:color="000000"/>
              </w:rPr>
            </w:pPr>
            <w:r>
              <w:rPr>
                <w:bdr w:val="double" w:sz="6" w:space="1" w:color="000000"/>
              </w:rPr>
              <w:t> </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303" w:type="dxa"/>
            <w:tcBorders/>
            <w:shd w:fill="auto" w:val="clear"/>
            <w:vAlign w:val="center"/>
          </w:tcPr>
          <w:p>
            <w:pPr>
              <w:pStyle w:val="TableContents"/>
              <w:spacing w:before="0" w:after="0"/>
              <w:rPr>
                <w:bdr w:val="double" w:sz="6" w:space="1" w:color="000000"/>
              </w:rPr>
            </w:pPr>
            <w:r>
              <w:rPr>
                <w:bdr w:val="double" w:sz="6" w:space="1" w:color="000000"/>
              </w:rPr>
              <w:t> </w:t>
            </w:r>
          </w:p>
        </w:tc>
        <w:tc>
          <w:tcPr>
            <w:tcW w:w="1472" w:type="dxa"/>
            <w:tcBorders/>
            <w:shd w:fill="auto" w:val="clear"/>
            <w:vAlign w:val="center"/>
          </w:tcPr>
          <w:p>
            <w:pPr>
              <w:pStyle w:val="TableContents"/>
              <w:spacing w:before="0" w:after="0"/>
              <w:rPr>
                <w:bdr w:val="double" w:sz="6" w:space="1" w:color="000000"/>
              </w:rPr>
            </w:pPr>
            <w:r>
              <w:rPr>
                <w:bdr w:val="double" w:sz="6" w:space="1" w:color="000000"/>
              </w:rPr>
              <w:t> </w:t>
            </w:r>
          </w:p>
        </w:tc>
        <w:tc>
          <w:tcPr>
            <w:tcW w:w="170" w:type="dxa"/>
            <w:tcBorders/>
            <w:shd w:fill="auto" w:val="clear"/>
            <w:vAlign w:val="center"/>
          </w:tcPr>
          <w:p>
            <w:pPr>
              <w:pStyle w:val="TableContents"/>
              <w:spacing w:before="0" w:after="283"/>
              <w:rPr/>
            </w:pPr>
            <w:r>
              <w:rPr/>
              <w:t> </w:t>
            </w:r>
          </w:p>
        </w:tc>
      </w:tr>
    </w:tbl>
    <w:p>
      <w:pPr>
        <w:pStyle w:val="TextBody"/>
        <w:spacing w:before="240" w:after="0"/>
        <w:jc w:val="left"/>
        <w:rPr>
          <w:rFonts w:ascii="Times New Roman" w:hAnsi="Times New Roman"/>
          <w:spacing w:val="0"/>
          <w:sz w:val="20"/>
        </w:rPr>
      </w:pPr>
      <w:r>
        <w:rPr>
          <w:rFonts w:ascii="Times New Roman" w:hAnsi="Times New Roman"/>
          <w:spacing w:val="0"/>
          <w:sz w:val="20"/>
        </w:rPr>
        <w:t xml:space="preserve">The following table reconciles the effective tax rate to the federal income tax rate: </w:t>
      </w:r>
    </w:p>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3672"/>
        <w:gridCol w:w="120"/>
        <w:gridCol w:w="213"/>
        <w:gridCol w:w="1562"/>
        <w:gridCol w:w="275"/>
        <w:gridCol w:w="60"/>
        <w:gridCol w:w="213"/>
        <w:gridCol w:w="1562"/>
        <w:gridCol w:w="338"/>
        <w:gridCol w:w="60"/>
        <w:gridCol w:w="213"/>
        <w:gridCol w:w="1562"/>
        <w:gridCol w:w="355"/>
      </w:tblGrid>
      <w:tr>
        <w:trPr/>
        <w:tc>
          <w:tcPr>
            <w:tcW w:w="3672"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c>
          <w:tcPr>
            <w:tcW w:w="1562"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c>
          <w:tcPr>
            <w:tcW w:w="1562" w:type="dxa"/>
            <w:tcBorders/>
            <w:shd w:fill="auto" w:val="clear"/>
            <w:vAlign w:val="center"/>
          </w:tcPr>
          <w:p>
            <w:pPr>
              <w:pStyle w:val="TableContents"/>
              <w:spacing w:before="0" w:after="283"/>
              <w:rPr>
                <w:sz w:val="4"/>
                <w:szCs w:val="4"/>
              </w:rPr>
            </w:pPr>
            <w:r>
              <w:rPr>
                <w:sz w:val="4"/>
                <w:szCs w:val="4"/>
              </w:rPr>
            </w:r>
          </w:p>
        </w:tc>
        <w:tc>
          <w:tcPr>
            <w:tcW w:w="33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c>
          <w:tcPr>
            <w:tcW w:w="1562" w:type="dxa"/>
            <w:tcBorders/>
            <w:shd w:fill="auto" w:val="clear"/>
            <w:vAlign w:val="center"/>
          </w:tcPr>
          <w:p>
            <w:pPr>
              <w:pStyle w:val="TableContents"/>
              <w:spacing w:before="0" w:after="283"/>
              <w:rPr>
                <w:sz w:val="4"/>
                <w:szCs w:val="4"/>
              </w:rPr>
            </w:pPr>
            <w:r>
              <w:rPr>
                <w:sz w:val="4"/>
                <w:szCs w:val="4"/>
              </w:rPr>
            </w:r>
          </w:p>
        </w:tc>
        <w:tc>
          <w:tcPr>
            <w:tcW w:w="355" w:type="dxa"/>
            <w:tcBorders/>
            <w:shd w:fill="auto" w:val="clear"/>
            <w:vAlign w:val="center"/>
          </w:tcPr>
          <w:p>
            <w:pPr>
              <w:pStyle w:val="TableContents"/>
              <w:spacing w:before="0" w:after="283"/>
              <w:rPr>
                <w:sz w:val="4"/>
                <w:szCs w:val="4"/>
              </w:rPr>
            </w:pPr>
            <w:r>
              <w:rPr>
                <w:sz w:val="4"/>
                <w:szCs w:val="4"/>
              </w:rPr>
            </w:r>
          </w:p>
        </w:tc>
      </w:tr>
      <w:tr>
        <w:trPr/>
        <w:tc>
          <w:tcPr>
            <w:tcW w:w="3672"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775" w:type="dxa"/>
            <w:gridSpan w:val="2"/>
            <w:tcBorders/>
            <w:shd w:fill="auto" w:val="clear"/>
            <w:vAlign w:val="center"/>
          </w:tcPr>
          <w:p>
            <w:pPr>
              <w:pStyle w:val="TableContents"/>
              <w:spacing w:before="0" w:after="0"/>
              <w:jc w:val="center"/>
              <w:rPr>
                <w:b/>
                <w:spacing w:val="0"/>
              </w:rPr>
            </w:pPr>
            <w:r>
              <w:rPr>
                <w:b/>
                <w:spacing w:val="0"/>
              </w:rPr>
              <w:t>January 31, 2021</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775" w:type="dxa"/>
            <w:gridSpan w:val="2"/>
            <w:tcBorders/>
            <w:shd w:fill="auto" w:val="clear"/>
            <w:vAlign w:val="center"/>
          </w:tcPr>
          <w:p>
            <w:pPr>
              <w:pStyle w:val="TableContents"/>
              <w:spacing w:before="0" w:after="0"/>
              <w:jc w:val="center"/>
              <w:rPr>
                <w:b/>
                <w:spacing w:val="0"/>
              </w:rPr>
            </w:pPr>
            <w:r>
              <w:rPr>
                <w:b/>
                <w:spacing w:val="0"/>
              </w:rPr>
              <w:t>February 2, 2020</w:t>
            </w:r>
          </w:p>
        </w:tc>
        <w:tc>
          <w:tcPr>
            <w:tcW w:w="338"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775" w:type="dxa"/>
            <w:gridSpan w:val="2"/>
            <w:tcBorders/>
            <w:shd w:fill="auto" w:val="clear"/>
            <w:vAlign w:val="center"/>
          </w:tcPr>
          <w:p>
            <w:pPr>
              <w:pStyle w:val="TableContents"/>
              <w:spacing w:before="0" w:after="0"/>
              <w:jc w:val="center"/>
              <w:rPr>
                <w:b/>
                <w:spacing w:val="0"/>
              </w:rPr>
            </w:pPr>
            <w:r>
              <w:rPr>
                <w:b/>
                <w:spacing w:val="0"/>
              </w:rPr>
              <w:t>February 3, 2019</w:t>
            </w:r>
          </w:p>
        </w:tc>
        <w:tc>
          <w:tcPr>
            <w:tcW w:w="355" w:type="dxa"/>
            <w:tcBorders/>
            <w:shd w:fill="auto" w:val="clear"/>
            <w:vAlign w:val="center"/>
          </w:tcPr>
          <w:p>
            <w:pPr>
              <w:pStyle w:val="TableContents"/>
              <w:spacing w:before="0" w:after="283"/>
              <w:rPr/>
            </w:pPr>
            <w:r>
              <w:rPr/>
              <w:t> </w:t>
            </w:r>
          </w:p>
        </w:tc>
      </w:tr>
      <w:tr>
        <w:trPr/>
        <w:tc>
          <w:tcPr>
            <w:tcW w:w="3672"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Federal income tax rate</w:t>
            </w:r>
          </w:p>
        </w:tc>
        <w:tc>
          <w:tcPr>
            <w:tcW w:w="120" w:type="dxa"/>
            <w:tcBorders/>
            <w:shd w:fill="CCEEFF" w:val="clear"/>
            <w:vAlign w:val="center"/>
          </w:tcPr>
          <w:p>
            <w:pPr>
              <w:pStyle w:val="TableContents"/>
              <w:spacing w:before="0" w:after="283"/>
              <w:rPr/>
            </w:pPr>
            <w:r>
              <w:rPr/>
              <w:t>  </w:t>
            </w:r>
          </w:p>
        </w:tc>
        <w:tc>
          <w:tcPr>
            <w:tcW w:w="213" w:type="dxa"/>
            <w:tcBorders/>
            <w:shd w:fill="CCEEFF" w:val="clear"/>
            <w:vAlign w:val="center"/>
          </w:tcPr>
          <w:p>
            <w:pPr>
              <w:pStyle w:val="TableContents"/>
              <w:spacing w:before="0" w:after="283"/>
              <w:rPr/>
            </w:pPr>
            <w:r>
              <w:rPr/>
              <w:t> </w:t>
            </w:r>
          </w:p>
        </w:tc>
        <w:tc>
          <w:tcPr>
            <w:tcW w:w="1562" w:type="dxa"/>
            <w:tcBorders/>
            <w:shd w:fill="CCEEFF" w:val="clear"/>
            <w:vAlign w:val="center"/>
          </w:tcPr>
          <w:p>
            <w:pPr>
              <w:pStyle w:val="TableContents"/>
              <w:spacing w:before="0" w:after="0"/>
              <w:jc w:val="right"/>
              <w:rPr>
                <w:spacing w:val="0"/>
              </w:rPr>
            </w:pPr>
            <w:r>
              <w:rPr>
                <w:spacing w:val="0"/>
              </w:rPr>
              <w:t>21.0</w:t>
            </w:r>
          </w:p>
        </w:tc>
        <w:tc>
          <w:tcPr>
            <w:tcW w:w="27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13" w:type="dxa"/>
            <w:tcBorders/>
            <w:shd w:fill="CCEEFF" w:val="clear"/>
            <w:vAlign w:val="center"/>
          </w:tcPr>
          <w:p>
            <w:pPr>
              <w:pStyle w:val="TableContents"/>
              <w:spacing w:before="0" w:after="283"/>
              <w:rPr/>
            </w:pPr>
            <w:r>
              <w:rPr/>
              <w:t> </w:t>
            </w:r>
          </w:p>
        </w:tc>
        <w:tc>
          <w:tcPr>
            <w:tcW w:w="1562" w:type="dxa"/>
            <w:tcBorders/>
            <w:shd w:fill="CCEEFF" w:val="clear"/>
            <w:vAlign w:val="center"/>
          </w:tcPr>
          <w:p>
            <w:pPr>
              <w:pStyle w:val="TableContents"/>
              <w:spacing w:before="0" w:after="283"/>
              <w:jc w:val="right"/>
              <w:rPr/>
            </w:pPr>
            <w:r>
              <w:rPr/>
              <w:t>21.0</w:t>
            </w:r>
          </w:p>
        </w:tc>
        <w:tc>
          <w:tcPr>
            <w:tcW w:w="338" w:type="dxa"/>
            <w:tcBorders/>
            <w:shd w:fill="CCEEFF" w:val="clear"/>
            <w:vAlign w:val="center"/>
          </w:tcPr>
          <w:p>
            <w:pPr>
              <w:pStyle w:val="TableContents"/>
              <w:spacing w:before="0" w:after="283"/>
              <w:rPr/>
            </w:pPr>
            <w:r>
              <w:rPr/>
              <w:t>%</w:t>
            </w:r>
          </w:p>
        </w:tc>
        <w:tc>
          <w:tcPr>
            <w:tcW w:w="60" w:type="dxa"/>
            <w:tcBorders/>
            <w:shd w:fill="CCEEFF" w:val="clear"/>
            <w:vAlign w:val="center"/>
          </w:tcPr>
          <w:p>
            <w:pPr>
              <w:pStyle w:val="TableContents"/>
              <w:spacing w:before="0" w:after="283"/>
              <w:rPr/>
            </w:pPr>
            <w:r>
              <w:rPr/>
              <w:t> </w:t>
            </w:r>
          </w:p>
        </w:tc>
        <w:tc>
          <w:tcPr>
            <w:tcW w:w="213" w:type="dxa"/>
            <w:tcBorders/>
            <w:shd w:fill="CCEEFF" w:val="clear"/>
            <w:vAlign w:val="center"/>
          </w:tcPr>
          <w:p>
            <w:pPr>
              <w:pStyle w:val="TableContents"/>
              <w:spacing w:before="0" w:after="283"/>
              <w:rPr/>
            </w:pPr>
            <w:r>
              <w:rPr/>
              <w:t> </w:t>
            </w:r>
          </w:p>
        </w:tc>
        <w:tc>
          <w:tcPr>
            <w:tcW w:w="1562" w:type="dxa"/>
            <w:tcBorders/>
            <w:shd w:fill="CCEEFF" w:val="clear"/>
            <w:vAlign w:val="center"/>
          </w:tcPr>
          <w:p>
            <w:pPr>
              <w:pStyle w:val="TableContents"/>
              <w:spacing w:before="0" w:after="283"/>
              <w:jc w:val="right"/>
              <w:rPr/>
            </w:pPr>
            <w:r>
              <w:rPr/>
              <w:t>21.0</w:t>
            </w:r>
          </w:p>
        </w:tc>
        <w:tc>
          <w:tcPr>
            <w:tcW w:w="355" w:type="dxa"/>
            <w:tcBorders/>
            <w:shd w:fill="CCEEFF" w:val="clear"/>
            <w:vAlign w:val="center"/>
          </w:tcPr>
          <w:p>
            <w:pPr>
              <w:pStyle w:val="TableContents"/>
              <w:spacing w:before="0" w:after="283"/>
              <w:rPr/>
            </w:pPr>
            <w:r>
              <w:rPr/>
              <w:t>%</w:t>
            </w:r>
          </w:p>
        </w:tc>
      </w:tr>
      <w:tr>
        <w:trPr/>
        <w:tc>
          <w:tcPr>
            <w:tcW w:w="3672"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State and local income taxes, net of federal benefit</w:t>
            </w:r>
          </w:p>
        </w:tc>
        <w:tc>
          <w:tcPr>
            <w:tcW w:w="120" w:type="dxa"/>
            <w:tcBorders/>
            <w:shd w:fill="auto" w:val="clear"/>
            <w:vAlign w:val="center"/>
          </w:tcPr>
          <w:p>
            <w:pPr>
              <w:pStyle w:val="TableContents"/>
              <w:spacing w:before="0" w:after="283"/>
              <w:rPr/>
            </w:pPr>
            <w:r>
              <w:rPr/>
              <w:t>  </w:t>
            </w:r>
          </w:p>
        </w:tc>
        <w:tc>
          <w:tcPr>
            <w:tcW w:w="213" w:type="dxa"/>
            <w:tcBorders/>
            <w:shd w:fill="auto" w:val="clear"/>
            <w:vAlign w:val="center"/>
          </w:tcPr>
          <w:p>
            <w:pPr>
              <w:pStyle w:val="TableContents"/>
              <w:spacing w:before="0" w:after="283"/>
              <w:rPr/>
            </w:pPr>
            <w:r>
              <w:rPr/>
              <w:t> </w:t>
            </w:r>
          </w:p>
        </w:tc>
        <w:tc>
          <w:tcPr>
            <w:tcW w:w="1562" w:type="dxa"/>
            <w:tcBorders/>
            <w:shd w:fill="auto" w:val="clear"/>
            <w:vAlign w:val="center"/>
          </w:tcPr>
          <w:p>
            <w:pPr>
              <w:pStyle w:val="TableContents"/>
              <w:spacing w:before="0" w:after="0"/>
              <w:jc w:val="right"/>
              <w:rPr/>
            </w:pPr>
            <w:r>
              <w:rPr/>
              <w:t>    </w:t>
            </w:r>
          </w:p>
          <w:p>
            <w:pPr>
              <w:pStyle w:val="TableContents"/>
              <w:spacing w:before="0" w:after="0"/>
              <w:jc w:val="right"/>
              <w:rPr>
                <w:spacing w:val="0"/>
              </w:rPr>
            </w:pPr>
            <w:r>
              <w:rPr>
                <w:spacing w:val="0"/>
              </w:rPr>
              <w:t>2.7</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13" w:type="dxa"/>
            <w:tcBorders/>
            <w:shd w:fill="auto" w:val="clear"/>
            <w:vAlign w:val="center"/>
          </w:tcPr>
          <w:p>
            <w:pPr>
              <w:pStyle w:val="TableContents"/>
              <w:spacing w:before="0" w:after="283"/>
              <w:rPr/>
            </w:pPr>
            <w:r>
              <w:rPr/>
              <w:t> </w:t>
            </w:r>
          </w:p>
        </w:tc>
        <w:tc>
          <w:tcPr>
            <w:tcW w:w="1562" w:type="dxa"/>
            <w:tcBorders/>
            <w:shd w:fill="auto" w:val="clear"/>
            <w:vAlign w:val="center"/>
          </w:tcPr>
          <w:p>
            <w:pPr>
              <w:pStyle w:val="TableContents"/>
              <w:spacing w:before="0" w:after="283"/>
              <w:jc w:val="right"/>
              <w:rPr/>
            </w:pPr>
            <w:r>
              <w:rPr/>
              <w:t>5.4</w:t>
            </w:r>
          </w:p>
        </w:tc>
        <w:tc>
          <w:tcPr>
            <w:tcW w:w="338" w:type="dxa"/>
            <w:tcBorders/>
            <w:shd w:fill="auto" w:val="clear"/>
            <w:vAlign w:val="center"/>
          </w:tcPr>
          <w:p>
            <w:pPr>
              <w:pStyle w:val="TableContents"/>
              <w:spacing w:before="0" w:after="283"/>
              <w:rPr/>
            </w:pPr>
            <w:r>
              <w:rPr/>
              <w:t>%</w:t>
            </w:r>
          </w:p>
        </w:tc>
        <w:tc>
          <w:tcPr>
            <w:tcW w:w="60" w:type="dxa"/>
            <w:tcBorders/>
            <w:shd w:fill="auto" w:val="clear"/>
            <w:vAlign w:val="center"/>
          </w:tcPr>
          <w:p>
            <w:pPr>
              <w:pStyle w:val="TableContents"/>
              <w:spacing w:before="0" w:after="283"/>
              <w:rPr/>
            </w:pPr>
            <w:r>
              <w:rPr/>
              <w:t> </w:t>
            </w:r>
          </w:p>
        </w:tc>
        <w:tc>
          <w:tcPr>
            <w:tcW w:w="213" w:type="dxa"/>
            <w:tcBorders/>
            <w:shd w:fill="auto" w:val="clear"/>
            <w:vAlign w:val="center"/>
          </w:tcPr>
          <w:p>
            <w:pPr>
              <w:pStyle w:val="TableContents"/>
              <w:spacing w:before="0" w:after="283"/>
              <w:rPr/>
            </w:pPr>
            <w:r>
              <w:rPr/>
              <w:t> </w:t>
            </w:r>
          </w:p>
        </w:tc>
        <w:tc>
          <w:tcPr>
            <w:tcW w:w="1562" w:type="dxa"/>
            <w:tcBorders/>
            <w:shd w:fill="auto" w:val="clear"/>
            <w:vAlign w:val="center"/>
          </w:tcPr>
          <w:p>
            <w:pPr>
              <w:pStyle w:val="TableContents"/>
              <w:spacing w:before="0" w:after="283"/>
              <w:jc w:val="right"/>
              <w:rPr/>
            </w:pPr>
            <w:r>
              <w:rPr/>
              <w:t>5.3</w:t>
            </w:r>
          </w:p>
        </w:tc>
        <w:tc>
          <w:tcPr>
            <w:tcW w:w="355" w:type="dxa"/>
            <w:tcBorders/>
            <w:shd w:fill="auto" w:val="clear"/>
            <w:vAlign w:val="center"/>
          </w:tcPr>
          <w:p>
            <w:pPr>
              <w:pStyle w:val="TableContents"/>
              <w:spacing w:before="0" w:after="283"/>
              <w:rPr/>
            </w:pPr>
            <w:r>
              <w:rPr/>
              <w:t>%</w:t>
            </w:r>
          </w:p>
        </w:tc>
      </w:tr>
      <w:tr>
        <w:trPr/>
        <w:tc>
          <w:tcPr>
            <w:tcW w:w="3672"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Permanent differences</w:t>
            </w:r>
          </w:p>
        </w:tc>
        <w:tc>
          <w:tcPr>
            <w:tcW w:w="120" w:type="dxa"/>
            <w:tcBorders/>
            <w:shd w:fill="CCEEFF" w:val="clear"/>
            <w:vAlign w:val="center"/>
          </w:tcPr>
          <w:p>
            <w:pPr>
              <w:pStyle w:val="TableContents"/>
              <w:spacing w:before="0" w:after="283"/>
              <w:rPr/>
            </w:pPr>
            <w:r>
              <w:rPr/>
              <w:t>  </w:t>
            </w:r>
          </w:p>
        </w:tc>
        <w:tc>
          <w:tcPr>
            <w:tcW w:w="213" w:type="dxa"/>
            <w:tcBorders/>
            <w:shd w:fill="CCEEFF" w:val="clear"/>
            <w:vAlign w:val="center"/>
          </w:tcPr>
          <w:p>
            <w:pPr>
              <w:pStyle w:val="TableContents"/>
              <w:spacing w:before="0" w:after="283"/>
              <w:rPr/>
            </w:pPr>
            <w:r>
              <w:rPr/>
              <w:t> </w:t>
            </w:r>
          </w:p>
        </w:tc>
        <w:tc>
          <w:tcPr>
            <w:tcW w:w="1562" w:type="dxa"/>
            <w:tcBorders/>
            <w:shd w:fill="CCEEFF" w:val="clear"/>
            <w:vAlign w:val="center"/>
          </w:tcPr>
          <w:p>
            <w:pPr>
              <w:pStyle w:val="TableContents"/>
              <w:spacing w:before="0" w:after="0"/>
              <w:jc w:val="right"/>
              <w:rPr/>
            </w:pPr>
            <w:r>
              <w:rPr/>
              <w:t>    </w:t>
            </w:r>
          </w:p>
          <w:p>
            <w:pPr>
              <w:pStyle w:val="TableContents"/>
              <w:spacing w:before="0" w:after="0"/>
              <w:jc w:val="right"/>
              <w:rPr>
                <w:spacing w:val="0"/>
              </w:rPr>
            </w:pPr>
            <w:r>
              <w:rPr>
                <w:spacing w:val="0"/>
              </w:rPr>
              <w:t>(0.2</w:t>
            </w:r>
          </w:p>
        </w:tc>
        <w:tc>
          <w:tcPr>
            <w:tcW w:w="275" w:type="dxa"/>
            <w:tcBorders/>
            <w:shd w:fill="CCEEFF" w:val="clear"/>
            <w:vAlign w:val="center"/>
          </w:tcPr>
          <w:p>
            <w:pPr>
              <w:pStyle w:val="TableContents"/>
              <w:spacing w:before="0" w:after="0"/>
              <w:rPr>
                <w:spacing w:val="0"/>
              </w:rPr>
            </w:pPr>
            <w:r>
              <w:rPr>
                <w:spacing w:val="0"/>
              </w:rPr>
              <w:t>)</w:t>
            </w:r>
          </w:p>
          <w:p>
            <w:pPr>
              <w:pStyle w:val="TableContents"/>
              <w:spacing w:before="0" w:after="0"/>
              <w:rPr/>
            </w:pPr>
            <w:r>
              <w:rPr/>
              <w:t>% </w:t>
            </w:r>
          </w:p>
        </w:tc>
        <w:tc>
          <w:tcPr>
            <w:tcW w:w="60" w:type="dxa"/>
            <w:tcBorders/>
            <w:shd w:fill="CCEEFF" w:val="clear"/>
            <w:vAlign w:val="center"/>
          </w:tcPr>
          <w:p>
            <w:pPr>
              <w:pStyle w:val="TableContents"/>
              <w:spacing w:before="0" w:after="283"/>
              <w:rPr/>
            </w:pPr>
            <w:r>
              <w:rPr/>
              <w:t> </w:t>
            </w:r>
          </w:p>
        </w:tc>
        <w:tc>
          <w:tcPr>
            <w:tcW w:w="213" w:type="dxa"/>
            <w:tcBorders/>
            <w:shd w:fill="CCEEFF" w:val="clear"/>
            <w:vAlign w:val="center"/>
          </w:tcPr>
          <w:p>
            <w:pPr>
              <w:pStyle w:val="TableContents"/>
              <w:spacing w:before="0" w:after="283"/>
              <w:rPr/>
            </w:pPr>
            <w:r>
              <w:rPr/>
              <w:t> </w:t>
            </w:r>
          </w:p>
        </w:tc>
        <w:tc>
          <w:tcPr>
            <w:tcW w:w="1562" w:type="dxa"/>
            <w:tcBorders/>
            <w:shd w:fill="CCEEFF" w:val="clear"/>
            <w:vAlign w:val="center"/>
          </w:tcPr>
          <w:p>
            <w:pPr>
              <w:pStyle w:val="TableContents"/>
              <w:spacing w:before="0" w:after="283"/>
              <w:jc w:val="right"/>
              <w:rPr/>
            </w:pPr>
            <w:r>
              <w:rPr/>
              <w:t>1.5</w:t>
            </w:r>
          </w:p>
        </w:tc>
        <w:tc>
          <w:tcPr>
            <w:tcW w:w="338" w:type="dxa"/>
            <w:tcBorders/>
            <w:shd w:fill="CCEEFF" w:val="clear"/>
            <w:vAlign w:val="center"/>
          </w:tcPr>
          <w:p>
            <w:pPr>
              <w:pStyle w:val="TableContents"/>
              <w:spacing w:before="0" w:after="283"/>
              <w:rPr/>
            </w:pPr>
            <w:r>
              <w:rPr/>
              <w:t>%</w:t>
            </w:r>
          </w:p>
        </w:tc>
        <w:tc>
          <w:tcPr>
            <w:tcW w:w="60" w:type="dxa"/>
            <w:tcBorders/>
            <w:shd w:fill="CCEEFF" w:val="clear"/>
            <w:vAlign w:val="center"/>
          </w:tcPr>
          <w:p>
            <w:pPr>
              <w:pStyle w:val="TableContents"/>
              <w:spacing w:before="0" w:after="283"/>
              <w:rPr/>
            </w:pPr>
            <w:r>
              <w:rPr/>
              <w:t> </w:t>
            </w:r>
          </w:p>
        </w:tc>
        <w:tc>
          <w:tcPr>
            <w:tcW w:w="213" w:type="dxa"/>
            <w:tcBorders/>
            <w:shd w:fill="CCEEFF" w:val="clear"/>
            <w:vAlign w:val="center"/>
          </w:tcPr>
          <w:p>
            <w:pPr>
              <w:pStyle w:val="TableContents"/>
              <w:spacing w:before="0" w:after="283"/>
              <w:rPr/>
            </w:pPr>
            <w:r>
              <w:rPr/>
              <w:t> </w:t>
            </w:r>
          </w:p>
        </w:tc>
        <w:tc>
          <w:tcPr>
            <w:tcW w:w="1562" w:type="dxa"/>
            <w:tcBorders/>
            <w:shd w:fill="CCEEFF" w:val="clear"/>
            <w:vAlign w:val="center"/>
          </w:tcPr>
          <w:p>
            <w:pPr>
              <w:pStyle w:val="TableContents"/>
              <w:spacing w:before="0" w:after="283"/>
              <w:jc w:val="right"/>
              <w:rPr/>
            </w:pPr>
            <w:r>
              <w:rPr/>
              <w:t>1.2</w:t>
            </w:r>
          </w:p>
        </w:tc>
        <w:tc>
          <w:tcPr>
            <w:tcW w:w="355" w:type="dxa"/>
            <w:tcBorders/>
            <w:shd w:fill="CCEEFF" w:val="clear"/>
            <w:vAlign w:val="center"/>
          </w:tcPr>
          <w:p>
            <w:pPr>
              <w:pStyle w:val="TableContents"/>
              <w:spacing w:before="0" w:after="283"/>
              <w:rPr/>
            </w:pPr>
            <w:r>
              <w:rPr/>
              <w:t>%</w:t>
            </w:r>
          </w:p>
        </w:tc>
      </w:tr>
      <w:tr>
        <w:trPr/>
        <w:tc>
          <w:tcPr>
            <w:tcW w:w="3672"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Tax credits</w:t>
            </w:r>
          </w:p>
        </w:tc>
        <w:tc>
          <w:tcPr>
            <w:tcW w:w="120" w:type="dxa"/>
            <w:tcBorders/>
            <w:shd w:fill="auto" w:val="clear"/>
            <w:vAlign w:val="center"/>
          </w:tcPr>
          <w:p>
            <w:pPr>
              <w:pStyle w:val="TableContents"/>
              <w:spacing w:before="0" w:after="283"/>
              <w:rPr/>
            </w:pPr>
            <w:r>
              <w:rPr/>
              <w:t>  </w:t>
            </w:r>
          </w:p>
        </w:tc>
        <w:tc>
          <w:tcPr>
            <w:tcW w:w="213" w:type="dxa"/>
            <w:tcBorders/>
            <w:shd w:fill="auto" w:val="clear"/>
            <w:vAlign w:val="center"/>
          </w:tcPr>
          <w:p>
            <w:pPr>
              <w:pStyle w:val="TableContents"/>
              <w:spacing w:before="0" w:after="283"/>
              <w:rPr/>
            </w:pPr>
            <w:r>
              <w:rPr/>
              <w:t> </w:t>
            </w:r>
          </w:p>
        </w:tc>
        <w:tc>
          <w:tcPr>
            <w:tcW w:w="1562" w:type="dxa"/>
            <w:tcBorders/>
            <w:shd w:fill="auto" w:val="clear"/>
            <w:vAlign w:val="center"/>
          </w:tcPr>
          <w:p>
            <w:pPr>
              <w:pStyle w:val="TableContents"/>
              <w:spacing w:before="0" w:after="0"/>
              <w:jc w:val="right"/>
              <w:rPr/>
            </w:pPr>
            <w:r>
              <w:rPr/>
              <w:t>    </w:t>
            </w:r>
          </w:p>
          <w:p>
            <w:pPr>
              <w:pStyle w:val="TableContents"/>
              <w:spacing w:before="0" w:after="0"/>
              <w:jc w:val="right"/>
              <w:rPr>
                <w:spacing w:val="0"/>
              </w:rPr>
            </w:pPr>
            <w:r>
              <w:rPr>
                <w:spacing w:val="0"/>
              </w:rPr>
              <w:t>0.7</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13" w:type="dxa"/>
            <w:tcBorders/>
            <w:shd w:fill="auto" w:val="clear"/>
            <w:vAlign w:val="center"/>
          </w:tcPr>
          <w:p>
            <w:pPr>
              <w:pStyle w:val="TableContents"/>
              <w:spacing w:before="0" w:after="283"/>
              <w:rPr/>
            </w:pPr>
            <w:r>
              <w:rPr/>
              <w:t> </w:t>
            </w:r>
          </w:p>
        </w:tc>
        <w:tc>
          <w:tcPr>
            <w:tcW w:w="1562" w:type="dxa"/>
            <w:tcBorders/>
            <w:shd w:fill="auto" w:val="clear"/>
            <w:vAlign w:val="center"/>
          </w:tcPr>
          <w:p>
            <w:pPr>
              <w:pStyle w:val="TableContents"/>
              <w:spacing w:before="0" w:after="283"/>
              <w:jc w:val="right"/>
              <w:rPr/>
            </w:pPr>
            <w:r>
              <w:rPr/>
              <w:t>(6.4</w:t>
            </w:r>
          </w:p>
        </w:tc>
        <w:tc>
          <w:tcPr>
            <w:tcW w:w="338"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13" w:type="dxa"/>
            <w:tcBorders/>
            <w:shd w:fill="auto" w:val="clear"/>
            <w:vAlign w:val="center"/>
          </w:tcPr>
          <w:p>
            <w:pPr>
              <w:pStyle w:val="TableContents"/>
              <w:spacing w:before="0" w:after="283"/>
              <w:rPr/>
            </w:pPr>
            <w:r>
              <w:rPr/>
              <w:t> </w:t>
            </w:r>
          </w:p>
        </w:tc>
        <w:tc>
          <w:tcPr>
            <w:tcW w:w="1562" w:type="dxa"/>
            <w:tcBorders/>
            <w:shd w:fill="auto" w:val="clear"/>
            <w:vAlign w:val="center"/>
          </w:tcPr>
          <w:p>
            <w:pPr>
              <w:pStyle w:val="TableContents"/>
              <w:spacing w:before="0" w:after="283"/>
              <w:jc w:val="right"/>
              <w:rPr/>
            </w:pPr>
            <w:r>
              <w:rPr/>
              <w:t>(5.0</w:t>
            </w:r>
          </w:p>
        </w:tc>
        <w:tc>
          <w:tcPr>
            <w:tcW w:w="355" w:type="dxa"/>
            <w:tcBorders/>
            <w:shd w:fill="auto" w:val="clear"/>
            <w:vAlign w:val="center"/>
          </w:tcPr>
          <w:p>
            <w:pPr>
              <w:pStyle w:val="TableContents"/>
              <w:spacing w:before="0" w:after="283"/>
              <w:rPr/>
            </w:pPr>
            <w:r>
              <w:rPr/>
              <w:t>)% </w:t>
            </w:r>
          </w:p>
        </w:tc>
      </w:tr>
      <w:tr>
        <w:trPr/>
        <w:tc>
          <w:tcPr>
            <w:tcW w:w="3672"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Share-based compensation</w:t>
            </w:r>
          </w:p>
        </w:tc>
        <w:tc>
          <w:tcPr>
            <w:tcW w:w="120" w:type="dxa"/>
            <w:tcBorders/>
            <w:shd w:fill="CCEEFF" w:val="clear"/>
            <w:vAlign w:val="center"/>
          </w:tcPr>
          <w:p>
            <w:pPr>
              <w:pStyle w:val="TableContents"/>
              <w:spacing w:before="0" w:after="283"/>
              <w:rPr/>
            </w:pPr>
            <w:r>
              <w:rPr/>
              <w:t>  </w:t>
            </w:r>
          </w:p>
        </w:tc>
        <w:tc>
          <w:tcPr>
            <w:tcW w:w="213" w:type="dxa"/>
            <w:tcBorders/>
            <w:shd w:fill="CCEEFF" w:val="clear"/>
            <w:vAlign w:val="center"/>
          </w:tcPr>
          <w:p>
            <w:pPr>
              <w:pStyle w:val="TableContents"/>
              <w:spacing w:before="0" w:after="283"/>
              <w:rPr/>
            </w:pPr>
            <w:r>
              <w:rPr/>
              <w:t> </w:t>
            </w:r>
          </w:p>
        </w:tc>
        <w:tc>
          <w:tcPr>
            <w:tcW w:w="1562" w:type="dxa"/>
            <w:tcBorders/>
            <w:shd w:fill="CCEEFF" w:val="clear"/>
            <w:vAlign w:val="center"/>
          </w:tcPr>
          <w:p>
            <w:pPr>
              <w:pStyle w:val="TableContents"/>
              <w:spacing w:before="0" w:after="0"/>
              <w:jc w:val="right"/>
              <w:rPr/>
            </w:pPr>
            <w:r>
              <w:rPr/>
              <w:t>    </w:t>
            </w:r>
          </w:p>
          <w:p>
            <w:pPr>
              <w:pStyle w:val="TableContents"/>
              <w:spacing w:before="0" w:after="0"/>
              <w:jc w:val="right"/>
              <w:rPr>
                <w:spacing w:val="0"/>
              </w:rPr>
            </w:pPr>
            <w:r>
              <w:rPr>
                <w:spacing w:val="0"/>
              </w:rPr>
              <w:t>(0.2</w:t>
            </w:r>
          </w:p>
        </w:tc>
        <w:tc>
          <w:tcPr>
            <w:tcW w:w="275" w:type="dxa"/>
            <w:tcBorders/>
            <w:shd w:fill="CCEEFF" w:val="clear"/>
            <w:vAlign w:val="center"/>
          </w:tcPr>
          <w:p>
            <w:pPr>
              <w:pStyle w:val="TableContents"/>
              <w:spacing w:before="0" w:after="0"/>
              <w:rPr>
                <w:spacing w:val="0"/>
              </w:rPr>
            </w:pPr>
            <w:r>
              <w:rPr>
                <w:spacing w:val="0"/>
              </w:rPr>
              <w:t>)</w:t>
            </w:r>
          </w:p>
          <w:p>
            <w:pPr>
              <w:pStyle w:val="TableContents"/>
              <w:spacing w:before="0" w:after="0"/>
              <w:rPr/>
            </w:pPr>
            <w:r>
              <w:rPr/>
              <w:t>% </w:t>
            </w:r>
          </w:p>
        </w:tc>
        <w:tc>
          <w:tcPr>
            <w:tcW w:w="60" w:type="dxa"/>
            <w:tcBorders/>
            <w:shd w:fill="CCEEFF" w:val="clear"/>
            <w:vAlign w:val="center"/>
          </w:tcPr>
          <w:p>
            <w:pPr>
              <w:pStyle w:val="TableContents"/>
              <w:spacing w:before="0" w:after="283"/>
              <w:rPr/>
            </w:pPr>
            <w:r>
              <w:rPr/>
              <w:t> </w:t>
            </w:r>
          </w:p>
        </w:tc>
        <w:tc>
          <w:tcPr>
            <w:tcW w:w="213" w:type="dxa"/>
            <w:tcBorders/>
            <w:shd w:fill="CCEEFF" w:val="clear"/>
            <w:vAlign w:val="center"/>
          </w:tcPr>
          <w:p>
            <w:pPr>
              <w:pStyle w:val="TableContents"/>
              <w:spacing w:before="0" w:after="283"/>
              <w:rPr/>
            </w:pPr>
            <w:r>
              <w:rPr/>
              <w:t> </w:t>
            </w:r>
          </w:p>
        </w:tc>
        <w:tc>
          <w:tcPr>
            <w:tcW w:w="1562" w:type="dxa"/>
            <w:tcBorders/>
            <w:shd w:fill="CCEEFF" w:val="clear"/>
            <w:vAlign w:val="center"/>
          </w:tcPr>
          <w:p>
            <w:pPr>
              <w:pStyle w:val="TableContents"/>
              <w:spacing w:before="0" w:after="283"/>
              <w:jc w:val="right"/>
              <w:rPr/>
            </w:pPr>
            <w:r>
              <w:rPr/>
              <w:t>(0.9</w:t>
            </w:r>
          </w:p>
        </w:tc>
        <w:tc>
          <w:tcPr>
            <w:tcW w:w="338"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13" w:type="dxa"/>
            <w:tcBorders/>
            <w:shd w:fill="CCEEFF" w:val="clear"/>
            <w:vAlign w:val="center"/>
          </w:tcPr>
          <w:p>
            <w:pPr>
              <w:pStyle w:val="TableContents"/>
              <w:spacing w:before="0" w:after="283"/>
              <w:rPr/>
            </w:pPr>
            <w:r>
              <w:rPr/>
              <w:t> </w:t>
            </w:r>
          </w:p>
        </w:tc>
        <w:tc>
          <w:tcPr>
            <w:tcW w:w="1562" w:type="dxa"/>
            <w:tcBorders/>
            <w:shd w:fill="CCEEFF" w:val="clear"/>
            <w:vAlign w:val="center"/>
          </w:tcPr>
          <w:p>
            <w:pPr>
              <w:pStyle w:val="TableContents"/>
              <w:spacing w:before="0" w:after="283"/>
              <w:jc w:val="right"/>
              <w:rPr/>
            </w:pPr>
            <w:r>
              <w:rPr/>
              <w:t>(3.4</w:t>
            </w:r>
          </w:p>
        </w:tc>
        <w:tc>
          <w:tcPr>
            <w:tcW w:w="355" w:type="dxa"/>
            <w:tcBorders/>
            <w:shd w:fill="CCEEFF" w:val="clear"/>
            <w:vAlign w:val="center"/>
          </w:tcPr>
          <w:p>
            <w:pPr>
              <w:pStyle w:val="TableContents"/>
              <w:spacing w:before="0" w:after="283"/>
              <w:rPr/>
            </w:pPr>
            <w:r>
              <w:rPr/>
              <w:t>)% </w:t>
            </w:r>
          </w:p>
        </w:tc>
      </w:tr>
      <w:tr>
        <w:trPr/>
        <w:tc>
          <w:tcPr>
            <w:tcW w:w="3672"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Impact of net operating loss carryback</w:t>
            </w:r>
          </w:p>
        </w:tc>
        <w:tc>
          <w:tcPr>
            <w:tcW w:w="120" w:type="dxa"/>
            <w:tcBorders/>
            <w:shd w:fill="auto" w:val="clear"/>
            <w:vAlign w:val="center"/>
          </w:tcPr>
          <w:p>
            <w:pPr>
              <w:pStyle w:val="TableContents"/>
              <w:spacing w:before="0" w:after="283"/>
              <w:rPr/>
            </w:pPr>
            <w:r>
              <w:rPr/>
              <w:t>  </w:t>
            </w:r>
          </w:p>
        </w:tc>
        <w:tc>
          <w:tcPr>
            <w:tcW w:w="213" w:type="dxa"/>
            <w:tcBorders/>
            <w:shd w:fill="auto" w:val="clear"/>
            <w:vAlign w:val="center"/>
          </w:tcPr>
          <w:p>
            <w:pPr>
              <w:pStyle w:val="TableContents"/>
              <w:spacing w:before="0" w:after="283"/>
              <w:rPr/>
            </w:pPr>
            <w:r>
              <w:rPr/>
              <w:t> </w:t>
            </w:r>
          </w:p>
        </w:tc>
        <w:tc>
          <w:tcPr>
            <w:tcW w:w="1562" w:type="dxa"/>
            <w:tcBorders/>
            <w:shd w:fill="auto" w:val="clear"/>
            <w:vAlign w:val="center"/>
          </w:tcPr>
          <w:p>
            <w:pPr>
              <w:pStyle w:val="TableContents"/>
              <w:spacing w:before="0" w:after="0"/>
              <w:jc w:val="right"/>
              <w:rPr/>
            </w:pPr>
            <w:r>
              <w:rPr/>
              <w:t>    </w:t>
            </w:r>
          </w:p>
          <w:p>
            <w:pPr>
              <w:pStyle w:val="TableContents"/>
              <w:spacing w:before="0" w:after="0"/>
              <w:jc w:val="right"/>
              <w:rPr>
                <w:spacing w:val="0"/>
              </w:rPr>
            </w:pPr>
            <w:r>
              <w:rPr>
                <w:spacing w:val="0"/>
              </w:rPr>
              <w:t>7.5</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13" w:type="dxa"/>
            <w:tcBorders/>
            <w:shd w:fill="auto" w:val="clear"/>
            <w:vAlign w:val="center"/>
          </w:tcPr>
          <w:p>
            <w:pPr>
              <w:pStyle w:val="TableContents"/>
              <w:spacing w:before="0" w:after="283"/>
              <w:rPr/>
            </w:pPr>
            <w:r>
              <w:rPr/>
              <w:t> </w:t>
            </w:r>
          </w:p>
        </w:tc>
        <w:tc>
          <w:tcPr>
            <w:tcW w:w="1562" w:type="dxa"/>
            <w:tcBorders/>
            <w:shd w:fill="auto" w:val="clear"/>
            <w:vAlign w:val="center"/>
          </w:tcPr>
          <w:p>
            <w:pPr>
              <w:pStyle w:val="TableContents"/>
              <w:spacing w:before="0" w:after="283"/>
              <w:jc w:val="right"/>
              <w:rPr/>
            </w:pPr>
            <w:r>
              <w:rPr/>
              <w:t>—  </w:t>
            </w:r>
          </w:p>
        </w:tc>
        <w:tc>
          <w:tcPr>
            <w:tcW w:w="338" w:type="dxa"/>
            <w:tcBorders/>
            <w:shd w:fill="auto" w:val="clear"/>
            <w:vAlign w:val="center"/>
          </w:tcPr>
          <w:p>
            <w:pPr>
              <w:pStyle w:val="TableContents"/>
              <w:spacing w:before="0" w:after="283"/>
              <w:rPr/>
            </w:pPr>
            <w:r>
              <w:rPr/>
              <w:t>%</w:t>
            </w:r>
          </w:p>
        </w:tc>
        <w:tc>
          <w:tcPr>
            <w:tcW w:w="60" w:type="dxa"/>
            <w:tcBorders/>
            <w:shd w:fill="auto" w:val="clear"/>
            <w:vAlign w:val="center"/>
          </w:tcPr>
          <w:p>
            <w:pPr>
              <w:pStyle w:val="TableContents"/>
              <w:spacing w:before="0" w:after="283"/>
              <w:rPr/>
            </w:pPr>
            <w:r>
              <w:rPr/>
              <w:t> </w:t>
            </w:r>
          </w:p>
        </w:tc>
        <w:tc>
          <w:tcPr>
            <w:tcW w:w="213" w:type="dxa"/>
            <w:tcBorders/>
            <w:shd w:fill="auto" w:val="clear"/>
            <w:vAlign w:val="center"/>
          </w:tcPr>
          <w:p>
            <w:pPr>
              <w:pStyle w:val="TableContents"/>
              <w:spacing w:before="0" w:after="283"/>
              <w:rPr/>
            </w:pPr>
            <w:r>
              <w:rPr/>
              <w:t> </w:t>
            </w:r>
          </w:p>
        </w:tc>
        <w:tc>
          <w:tcPr>
            <w:tcW w:w="1562" w:type="dxa"/>
            <w:tcBorders/>
            <w:shd w:fill="auto" w:val="clear"/>
            <w:vAlign w:val="center"/>
          </w:tcPr>
          <w:p>
            <w:pPr>
              <w:pStyle w:val="TableContents"/>
              <w:spacing w:before="0" w:after="283"/>
              <w:jc w:val="right"/>
              <w:rPr/>
            </w:pPr>
            <w:r>
              <w:rPr/>
              <w:t>—  </w:t>
            </w:r>
          </w:p>
        </w:tc>
        <w:tc>
          <w:tcPr>
            <w:tcW w:w="355" w:type="dxa"/>
            <w:tcBorders/>
            <w:shd w:fill="auto" w:val="clear"/>
            <w:vAlign w:val="center"/>
          </w:tcPr>
          <w:p>
            <w:pPr>
              <w:pStyle w:val="TableContents"/>
              <w:spacing w:before="0" w:after="283"/>
              <w:rPr/>
            </w:pPr>
            <w:r>
              <w:rPr/>
              <w:t>%</w:t>
            </w:r>
          </w:p>
        </w:tc>
      </w:tr>
      <w:tr>
        <w:trPr/>
        <w:tc>
          <w:tcPr>
            <w:tcW w:w="3672"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Other</w:t>
            </w:r>
          </w:p>
        </w:tc>
        <w:tc>
          <w:tcPr>
            <w:tcW w:w="120" w:type="dxa"/>
            <w:tcBorders/>
            <w:shd w:fill="CCEEFF" w:val="clear"/>
            <w:vAlign w:val="center"/>
          </w:tcPr>
          <w:p>
            <w:pPr>
              <w:pStyle w:val="TableContents"/>
              <w:spacing w:before="0" w:after="283"/>
              <w:rPr/>
            </w:pPr>
            <w:r>
              <w:rPr/>
              <w:t>  </w:t>
            </w:r>
          </w:p>
        </w:tc>
        <w:tc>
          <w:tcPr>
            <w:tcW w:w="213" w:type="dxa"/>
            <w:tcBorders/>
            <w:shd w:fill="CCEEFF" w:val="clear"/>
            <w:vAlign w:val="center"/>
          </w:tcPr>
          <w:p>
            <w:pPr>
              <w:pStyle w:val="TableContents"/>
              <w:spacing w:before="0" w:after="283"/>
              <w:rPr/>
            </w:pPr>
            <w:r>
              <w:rPr/>
              <w:t> </w:t>
            </w:r>
          </w:p>
        </w:tc>
        <w:tc>
          <w:tcPr>
            <w:tcW w:w="1562" w:type="dxa"/>
            <w:tcBorders/>
            <w:shd w:fill="CCEEFF" w:val="clear"/>
            <w:vAlign w:val="center"/>
          </w:tcPr>
          <w:p>
            <w:pPr>
              <w:pStyle w:val="TableContents"/>
              <w:spacing w:before="0" w:after="0"/>
              <w:jc w:val="right"/>
              <w:rPr/>
            </w:pPr>
            <w:r>
              <w:rPr/>
              <w:t>    </w:t>
            </w:r>
          </w:p>
          <w:p>
            <w:pPr>
              <w:pStyle w:val="TableContents"/>
              <w:spacing w:before="0" w:after="0"/>
              <w:jc w:val="right"/>
              <w:rPr>
                <w:spacing w:val="0"/>
              </w:rPr>
            </w:pPr>
            <w:r>
              <w:rPr>
                <w:spacing w:val="0"/>
              </w:rPr>
              <w:t>(2.8</w:t>
            </w:r>
          </w:p>
        </w:tc>
        <w:tc>
          <w:tcPr>
            <w:tcW w:w="275" w:type="dxa"/>
            <w:tcBorders/>
            <w:shd w:fill="CCEEFF" w:val="clear"/>
            <w:vAlign w:val="center"/>
          </w:tcPr>
          <w:p>
            <w:pPr>
              <w:pStyle w:val="TableContents"/>
              <w:spacing w:before="0" w:after="0"/>
              <w:rPr>
                <w:spacing w:val="0"/>
              </w:rPr>
            </w:pPr>
            <w:r>
              <w:rPr>
                <w:spacing w:val="0"/>
              </w:rPr>
              <w:t>)</w:t>
            </w:r>
          </w:p>
          <w:p>
            <w:pPr>
              <w:pStyle w:val="TableContents"/>
              <w:spacing w:before="0" w:after="0"/>
              <w:rPr/>
            </w:pPr>
            <w:r>
              <w:rPr/>
              <w:t>% </w:t>
            </w:r>
          </w:p>
        </w:tc>
        <w:tc>
          <w:tcPr>
            <w:tcW w:w="60" w:type="dxa"/>
            <w:tcBorders/>
            <w:shd w:fill="CCEEFF" w:val="clear"/>
            <w:vAlign w:val="center"/>
          </w:tcPr>
          <w:p>
            <w:pPr>
              <w:pStyle w:val="TableContents"/>
              <w:spacing w:before="0" w:after="283"/>
              <w:rPr/>
            </w:pPr>
            <w:r>
              <w:rPr/>
              <w:t> </w:t>
            </w:r>
          </w:p>
        </w:tc>
        <w:tc>
          <w:tcPr>
            <w:tcW w:w="213" w:type="dxa"/>
            <w:tcBorders/>
            <w:shd w:fill="CCEEFF" w:val="clear"/>
            <w:vAlign w:val="center"/>
          </w:tcPr>
          <w:p>
            <w:pPr>
              <w:pStyle w:val="TableContents"/>
              <w:spacing w:before="0" w:after="283"/>
              <w:rPr/>
            </w:pPr>
            <w:r>
              <w:rPr/>
              <w:t> </w:t>
            </w:r>
          </w:p>
        </w:tc>
        <w:tc>
          <w:tcPr>
            <w:tcW w:w="1562" w:type="dxa"/>
            <w:tcBorders/>
            <w:shd w:fill="CCEEFF" w:val="clear"/>
            <w:vAlign w:val="center"/>
          </w:tcPr>
          <w:p>
            <w:pPr>
              <w:pStyle w:val="TableContents"/>
              <w:spacing w:before="0" w:after="283"/>
              <w:jc w:val="right"/>
              <w:rPr/>
            </w:pPr>
            <w:r>
              <w:rPr/>
              <w:t>0.5</w:t>
            </w:r>
          </w:p>
        </w:tc>
        <w:tc>
          <w:tcPr>
            <w:tcW w:w="338" w:type="dxa"/>
            <w:tcBorders/>
            <w:shd w:fill="CCEEFF" w:val="clear"/>
            <w:vAlign w:val="center"/>
          </w:tcPr>
          <w:p>
            <w:pPr>
              <w:pStyle w:val="TableContents"/>
              <w:spacing w:before="0" w:after="283"/>
              <w:rPr/>
            </w:pPr>
            <w:r>
              <w:rPr/>
              <w:t>%</w:t>
            </w:r>
          </w:p>
        </w:tc>
        <w:tc>
          <w:tcPr>
            <w:tcW w:w="60" w:type="dxa"/>
            <w:tcBorders/>
            <w:shd w:fill="CCEEFF" w:val="clear"/>
            <w:vAlign w:val="center"/>
          </w:tcPr>
          <w:p>
            <w:pPr>
              <w:pStyle w:val="TableContents"/>
              <w:spacing w:before="0" w:after="283"/>
              <w:rPr/>
            </w:pPr>
            <w:r>
              <w:rPr/>
              <w:t> </w:t>
            </w:r>
          </w:p>
        </w:tc>
        <w:tc>
          <w:tcPr>
            <w:tcW w:w="213" w:type="dxa"/>
            <w:tcBorders/>
            <w:shd w:fill="CCEEFF" w:val="clear"/>
            <w:vAlign w:val="center"/>
          </w:tcPr>
          <w:p>
            <w:pPr>
              <w:pStyle w:val="TableContents"/>
              <w:spacing w:before="0" w:after="283"/>
              <w:rPr/>
            </w:pPr>
            <w:r>
              <w:rPr/>
              <w:t> </w:t>
            </w:r>
          </w:p>
        </w:tc>
        <w:tc>
          <w:tcPr>
            <w:tcW w:w="1562" w:type="dxa"/>
            <w:tcBorders/>
            <w:shd w:fill="CCEEFF" w:val="clear"/>
            <w:vAlign w:val="center"/>
          </w:tcPr>
          <w:p>
            <w:pPr>
              <w:pStyle w:val="TableContents"/>
              <w:spacing w:before="0" w:after="283"/>
              <w:jc w:val="right"/>
              <w:rPr/>
            </w:pPr>
            <w:r>
              <w:rPr/>
              <w:t>1.6</w:t>
            </w:r>
          </w:p>
        </w:tc>
        <w:tc>
          <w:tcPr>
            <w:tcW w:w="355" w:type="dxa"/>
            <w:tcBorders/>
            <w:shd w:fill="CCEEFF" w:val="clear"/>
            <w:vAlign w:val="center"/>
          </w:tcPr>
          <w:p>
            <w:pPr>
              <w:pStyle w:val="TableContents"/>
              <w:spacing w:before="0" w:after="283"/>
              <w:rPr/>
            </w:pPr>
            <w:r>
              <w:rPr/>
              <w:t>%</w:t>
            </w:r>
          </w:p>
        </w:tc>
      </w:tr>
      <w:tr>
        <w:trPr/>
        <w:tc>
          <w:tcPr>
            <w:tcW w:w="3672"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13" w:type="dxa"/>
            <w:tcBorders/>
            <w:shd w:fill="auto" w:val="clear"/>
            <w:vAlign w:val="center"/>
          </w:tcPr>
          <w:p>
            <w:pPr>
              <w:pStyle w:val="TableContents"/>
              <w:spacing w:before="0" w:after="0"/>
              <w:rPr>
                <w:bdr w:val="single" w:sz="2" w:space="1" w:color="000000"/>
              </w:rPr>
            </w:pPr>
            <w:r>
              <w:rPr>
                <w:bdr w:val="single" w:sz="2" w:space="1" w:color="000000"/>
              </w:rPr>
              <w:t> </w:t>
            </w:r>
          </w:p>
        </w:tc>
        <w:tc>
          <w:tcPr>
            <w:tcW w:w="1562" w:type="dxa"/>
            <w:tcBorders/>
            <w:shd w:fill="auto" w:val="clear"/>
            <w:vAlign w:val="center"/>
          </w:tcPr>
          <w:p>
            <w:pPr>
              <w:pStyle w:val="TableContents"/>
              <w:spacing w:before="0" w:after="0"/>
              <w:rPr>
                <w:bdr w:val="single" w:sz="2" w:space="1" w:color="000000"/>
              </w:rPr>
            </w:pPr>
            <w:r>
              <w:rPr>
                <w:bdr w:val="single" w:sz="2" w:space="1" w:color="000000"/>
              </w:rPr>
              <w:t> </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13" w:type="dxa"/>
            <w:tcBorders/>
            <w:shd w:fill="auto" w:val="clear"/>
            <w:vAlign w:val="center"/>
          </w:tcPr>
          <w:p>
            <w:pPr>
              <w:pStyle w:val="TableContents"/>
              <w:spacing w:before="0" w:after="0"/>
              <w:rPr>
                <w:bdr w:val="single" w:sz="2" w:space="1" w:color="000000"/>
              </w:rPr>
            </w:pPr>
            <w:r>
              <w:rPr>
                <w:bdr w:val="single" w:sz="2" w:space="1" w:color="000000"/>
              </w:rPr>
              <w:t> </w:t>
            </w:r>
          </w:p>
        </w:tc>
        <w:tc>
          <w:tcPr>
            <w:tcW w:w="1562" w:type="dxa"/>
            <w:tcBorders/>
            <w:shd w:fill="auto" w:val="clear"/>
            <w:vAlign w:val="center"/>
          </w:tcPr>
          <w:p>
            <w:pPr>
              <w:pStyle w:val="TableContents"/>
              <w:spacing w:before="0" w:after="0"/>
              <w:rPr>
                <w:bdr w:val="single" w:sz="2" w:space="1" w:color="000000"/>
              </w:rPr>
            </w:pPr>
            <w:r>
              <w:rPr>
                <w:bdr w:val="single" w:sz="2" w:space="1" w:color="000000"/>
              </w:rPr>
              <w:t> </w:t>
            </w:r>
          </w:p>
        </w:tc>
        <w:tc>
          <w:tcPr>
            <w:tcW w:w="338"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13" w:type="dxa"/>
            <w:tcBorders/>
            <w:shd w:fill="auto" w:val="clear"/>
            <w:vAlign w:val="center"/>
          </w:tcPr>
          <w:p>
            <w:pPr>
              <w:pStyle w:val="TableContents"/>
              <w:spacing w:before="0" w:after="0"/>
              <w:rPr>
                <w:bdr w:val="single" w:sz="2" w:space="1" w:color="000000"/>
              </w:rPr>
            </w:pPr>
            <w:r>
              <w:rPr>
                <w:bdr w:val="single" w:sz="2" w:space="1" w:color="000000"/>
              </w:rPr>
              <w:t> </w:t>
            </w:r>
          </w:p>
        </w:tc>
        <w:tc>
          <w:tcPr>
            <w:tcW w:w="1562" w:type="dxa"/>
            <w:tcBorders/>
            <w:shd w:fill="auto" w:val="clear"/>
            <w:vAlign w:val="center"/>
          </w:tcPr>
          <w:p>
            <w:pPr>
              <w:pStyle w:val="TableContents"/>
              <w:spacing w:before="0" w:after="0"/>
              <w:rPr>
                <w:bdr w:val="single" w:sz="2" w:space="1" w:color="000000"/>
              </w:rPr>
            </w:pPr>
            <w:r>
              <w:rPr>
                <w:bdr w:val="single" w:sz="2" w:space="1" w:color="000000"/>
              </w:rPr>
              <w:t> </w:t>
            </w:r>
          </w:p>
        </w:tc>
        <w:tc>
          <w:tcPr>
            <w:tcW w:w="355" w:type="dxa"/>
            <w:tcBorders/>
            <w:shd w:fill="auto" w:val="clear"/>
            <w:vAlign w:val="center"/>
          </w:tcPr>
          <w:p>
            <w:pPr>
              <w:pStyle w:val="TableContents"/>
              <w:spacing w:before="0" w:after="283"/>
              <w:rPr/>
            </w:pPr>
            <w:r>
              <w:rPr/>
              <w:t> </w:t>
            </w:r>
          </w:p>
        </w:tc>
      </w:tr>
      <w:tr>
        <w:trPr/>
        <w:tc>
          <w:tcPr>
            <w:tcW w:w="3672"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Effective tax rate</w:t>
            </w:r>
          </w:p>
        </w:tc>
        <w:tc>
          <w:tcPr>
            <w:tcW w:w="120" w:type="dxa"/>
            <w:tcBorders/>
            <w:shd w:fill="auto" w:val="clear"/>
            <w:vAlign w:val="center"/>
          </w:tcPr>
          <w:p>
            <w:pPr>
              <w:pStyle w:val="TableContents"/>
              <w:spacing w:before="0" w:after="283"/>
              <w:rPr/>
            </w:pPr>
            <w:r>
              <w:rPr/>
              <w:t>  </w:t>
            </w:r>
          </w:p>
        </w:tc>
        <w:tc>
          <w:tcPr>
            <w:tcW w:w="213" w:type="dxa"/>
            <w:tcBorders/>
            <w:shd w:fill="auto" w:val="clear"/>
            <w:vAlign w:val="center"/>
          </w:tcPr>
          <w:p>
            <w:pPr>
              <w:pStyle w:val="TableContents"/>
              <w:spacing w:before="0" w:after="283"/>
              <w:rPr/>
            </w:pPr>
            <w:r>
              <w:rPr/>
              <w:t> </w:t>
            </w:r>
          </w:p>
        </w:tc>
        <w:tc>
          <w:tcPr>
            <w:tcW w:w="1562" w:type="dxa"/>
            <w:tcBorders/>
            <w:shd w:fill="auto" w:val="clear"/>
            <w:vAlign w:val="center"/>
          </w:tcPr>
          <w:p>
            <w:pPr>
              <w:pStyle w:val="TableContents"/>
              <w:spacing w:before="0" w:after="283"/>
              <w:jc w:val="right"/>
              <w:rPr/>
            </w:pPr>
            <w:r>
              <w:rPr/>
              <w:t>28.7</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13" w:type="dxa"/>
            <w:tcBorders/>
            <w:shd w:fill="auto" w:val="clear"/>
            <w:vAlign w:val="center"/>
          </w:tcPr>
          <w:p>
            <w:pPr>
              <w:pStyle w:val="TableContents"/>
              <w:spacing w:before="0" w:after="283"/>
              <w:rPr/>
            </w:pPr>
            <w:r>
              <w:rPr/>
              <w:t> </w:t>
            </w:r>
          </w:p>
        </w:tc>
        <w:tc>
          <w:tcPr>
            <w:tcW w:w="1562" w:type="dxa"/>
            <w:tcBorders/>
            <w:shd w:fill="auto" w:val="clear"/>
            <w:vAlign w:val="center"/>
          </w:tcPr>
          <w:p>
            <w:pPr>
              <w:pStyle w:val="TableContents"/>
              <w:spacing w:before="0" w:after="283"/>
              <w:jc w:val="right"/>
              <w:rPr/>
            </w:pPr>
            <w:r>
              <w:rPr/>
              <w:t>21.1</w:t>
            </w:r>
          </w:p>
        </w:tc>
        <w:tc>
          <w:tcPr>
            <w:tcW w:w="338"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13" w:type="dxa"/>
            <w:tcBorders/>
            <w:shd w:fill="auto" w:val="clear"/>
            <w:vAlign w:val="center"/>
          </w:tcPr>
          <w:p>
            <w:pPr>
              <w:pStyle w:val="TableContents"/>
              <w:spacing w:before="0" w:after="283"/>
              <w:rPr/>
            </w:pPr>
            <w:r>
              <w:rPr/>
              <w:t> </w:t>
            </w:r>
          </w:p>
        </w:tc>
        <w:tc>
          <w:tcPr>
            <w:tcW w:w="1562" w:type="dxa"/>
            <w:tcBorders/>
            <w:shd w:fill="auto" w:val="clear"/>
            <w:vAlign w:val="center"/>
          </w:tcPr>
          <w:p>
            <w:pPr>
              <w:pStyle w:val="TableContents"/>
              <w:spacing w:before="0" w:after="283"/>
              <w:jc w:val="right"/>
              <w:rPr/>
            </w:pPr>
            <w:r>
              <w:rPr/>
              <w:t>20.7</w:t>
            </w:r>
          </w:p>
        </w:tc>
        <w:tc>
          <w:tcPr>
            <w:tcW w:w="355" w:type="dxa"/>
            <w:tcBorders/>
            <w:shd w:fill="auto" w:val="clear"/>
            <w:vAlign w:val="center"/>
          </w:tcPr>
          <w:p>
            <w:pPr>
              <w:pStyle w:val="TableContents"/>
              <w:spacing w:before="0" w:after="283"/>
              <w:rPr/>
            </w:pPr>
            <w:r>
              <w:rPr/>
              <w:t>% </w:t>
            </w:r>
          </w:p>
        </w:tc>
      </w:tr>
      <w:tr>
        <w:trPr/>
        <w:tc>
          <w:tcPr>
            <w:tcW w:w="3672"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13" w:type="dxa"/>
            <w:tcBorders/>
            <w:shd w:fill="auto" w:val="clear"/>
            <w:vAlign w:val="center"/>
          </w:tcPr>
          <w:p>
            <w:pPr>
              <w:pStyle w:val="TableContents"/>
              <w:spacing w:before="0" w:after="0"/>
              <w:rPr>
                <w:bdr w:val="double" w:sz="6" w:space="1" w:color="000000"/>
              </w:rPr>
            </w:pPr>
            <w:r>
              <w:rPr>
                <w:bdr w:val="double" w:sz="6" w:space="1" w:color="000000"/>
              </w:rPr>
              <w:t> </w:t>
            </w:r>
          </w:p>
        </w:tc>
        <w:tc>
          <w:tcPr>
            <w:tcW w:w="1562" w:type="dxa"/>
            <w:tcBorders/>
            <w:shd w:fill="auto" w:val="clear"/>
            <w:vAlign w:val="center"/>
          </w:tcPr>
          <w:p>
            <w:pPr>
              <w:pStyle w:val="TableContents"/>
              <w:spacing w:before="0" w:after="0"/>
              <w:rPr>
                <w:bdr w:val="double" w:sz="6" w:space="1" w:color="000000"/>
              </w:rPr>
            </w:pPr>
            <w:r>
              <w:rPr>
                <w:bdr w:val="double" w:sz="6" w:space="1" w:color="000000"/>
              </w:rPr>
              <w:t> </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13" w:type="dxa"/>
            <w:tcBorders/>
            <w:shd w:fill="auto" w:val="clear"/>
            <w:vAlign w:val="center"/>
          </w:tcPr>
          <w:p>
            <w:pPr>
              <w:pStyle w:val="TableContents"/>
              <w:spacing w:before="0" w:after="0"/>
              <w:rPr>
                <w:bdr w:val="double" w:sz="6" w:space="1" w:color="000000"/>
              </w:rPr>
            </w:pPr>
            <w:r>
              <w:rPr>
                <w:bdr w:val="double" w:sz="6" w:space="1" w:color="000000"/>
              </w:rPr>
              <w:t> </w:t>
            </w:r>
          </w:p>
        </w:tc>
        <w:tc>
          <w:tcPr>
            <w:tcW w:w="1562" w:type="dxa"/>
            <w:tcBorders/>
            <w:shd w:fill="auto" w:val="clear"/>
            <w:vAlign w:val="center"/>
          </w:tcPr>
          <w:p>
            <w:pPr>
              <w:pStyle w:val="TableContents"/>
              <w:spacing w:before="0" w:after="0"/>
              <w:rPr>
                <w:bdr w:val="double" w:sz="6" w:space="1" w:color="000000"/>
              </w:rPr>
            </w:pPr>
            <w:r>
              <w:rPr>
                <w:bdr w:val="double" w:sz="6" w:space="1" w:color="000000"/>
              </w:rPr>
              <w:t> </w:t>
            </w:r>
          </w:p>
        </w:tc>
        <w:tc>
          <w:tcPr>
            <w:tcW w:w="338"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13" w:type="dxa"/>
            <w:tcBorders/>
            <w:shd w:fill="auto" w:val="clear"/>
            <w:vAlign w:val="center"/>
          </w:tcPr>
          <w:p>
            <w:pPr>
              <w:pStyle w:val="TableContents"/>
              <w:spacing w:before="0" w:after="0"/>
              <w:rPr>
                <w:bdr w:val="double" w:sz="6" w:space="1" w:color="000000"/>
              </w:rPr>
            </w:pPr>
            <w:r>
              <w:rPr>
                <w:bdr w:val="double" w:sz="6" w:space="1" w:color="000000"/>
              </w:rPr>
              <w:t> </w:t>
            </w:r>
          </w:p>
        </w:tc>
        <w:tc>
          <w:tcPr>
            <w:tcW w:w="1562" w:type="dxa"/>
            <w:tcBorders/>
            <w:shd w:fill="auto" w:val="clear"/>
            <w:vAlign w:val="center"/>
          </w:tcPr>
          <w:p>
            <w:pPr>
              <w:pStyle w:val="TableContents"/>
              <w:spacing w:before="0" w:after="0"/>
              <w:rPr>
                <w:bdr w:val="double" w:sz="6" w:space="1" w:color="000000"/>
              </w:rPr>
            </w:pPr>
            <w:r>
              <w:rPr>
                <w:bdr w:val="double" w:sz="6" w:space="1" w:color="000000"/>
              </w:rPr>
              <w:t> </w:t>
            </w:r>
          </w:p>
        </w:tc>
        <w:tc>
          <w:tcPr>
            <w:tcW w:w="355" w:type="dxa"/>
            <w:tcBorders/>
            <w:shd w:fill="auto" w:val="clear"/>
            <w:vAlign w:val="center"/>
          </w:tcPr>
          <w:p>
            <w:pPr>
              <w:pStyle w:val="TableContents"/>
              <w:spacing w:before="0" w:after="283"/>
              <w:rPr/>
            </w:pPr>
            <w:r>
              <w:rPr/>
              <w:t> </w:t>
            </w:r>
          </w:p>
        </w:tc>
      </w:tr>
    </w:tbl>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F-20 </w:t>
      </w:r>
    </w:p>
    <w:p>
      <w:pPr>
        <w:pStyle w:val="HorizontalLine"/>
        <w:jc w:val="center"/>
        <w:rPr/>
      </w:pPr>
      <w:r>
        <w:rPr/>
      </w:r>
    </w:p>
    <w:p>
      <w:pPr>
        <w:pStyle w:val="TextBody"/>
        <w:spacing w:before="0" w:after="0"/>
        <w:rPr/>
      </w:pPr>
      <w:hyperlink w:anchor="toc">
        <w:r>
          <w:rPr>
            <w:rStyle w:val="InternetLink"/>
            <w:b/>
            <w:sz w:val="20"/>
          </w:rPr>
          <w:t>Table of Contents</w:t>
        </w:r>
      </w:hyperlink>
    </w:p>
    <w:p>
      <w:pPr>
        <w:pStyle w:val="TextBody"/>
        <w:spacing w:before="0" w:after="0"/>
        <w:jc w:val="left"/>
        <w:rPr>
          <w:rFonts w:ascii="Times New Roman" w:hAnsi="Times New Roman"/>
          <w:spacing w:val="0"/>
          <w:sz w:val="20"/>
        </w:rPr>
      </w:pPr>
      <w:r>
        <w:rPr>
          <w:rFonts w:ascii="Times New Roman" w:hAnsi="Times New Roman"/>
          <w:spacing w:val="0"/>
          <w:sz w:val="20"/>
        </w:rPr>
        <w:t>Components of the deferred income tax asset (liability) consist of the following: </w:t>
      </w:r>
    </w:p>
    <w:p>
      <w:pPr>
        <w:pStyle w:val="TextBody"/>
        <w:spacing w:before="0" w:after="0"/>
        <w:jc w:val="left"/>
        <w:rPr>
          <w:spacing w:val="0"/>
        </w:rPr>
      </w:pPr>
      <w:r>
        <w:rPr>
          <w:spacing w:val="0"/>
        </w:rPr>
        <w:t> </w:t>
      </w:r>
    </w:p>
    <w:tbl>
      <w:tblPr>
        <w:tblW w:w="8065" w:type="dxa"/>
        <w:jc w:val="left"/>
        <w:tblInd w:w="0" w:type="dxa"/>
        <w:tblCellMar>
          <w:top w:w="0" w:type="dxa"/>
          <w:left w:w="0" w:type="dxa"/>
          <w:bottom w:w="0" w:type="dxa"/>
          <w:right w:w="0" w:type="dxa"/>
        </w:tblCellMar>
      </w:tblPr>
      <w:tblGrid>
        <w:gridCol w:w="5030"/>
        <w:gridCol w:w="120"/>
        <w:gridCol w:w="268"/>
        <w:gridCol w:w="967"/>
        <w:gridCol w:w="95"/>
        <w:gridCol w:w="120"/>
        <w:gridCol w:w="282"/>
        <w:gridCol w:w="953"/>
        <w:gridCol w:w="230"/>
      </w:tblGrid>
      <w:tr>
        <w:trPr/>
        <w:tc>
          <w:tcPr>
            <w:tcW w:w="503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967"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82" w:type="dxa"/>
            <w:tcBorders/>
            <w:shd w:fill="auto" w:val="clear"/>
            <w:vAlign w:val="center"/>
          </w:tcPr>
          <w:p>
            <w:pPr>
              <w:pStyle w:val="TableContents"/>
              <w:spacing w:before="0" w:after="283"/>
              <w:rPr>
                <w:sz w:val="4"/>
                <w:szCs w:val="4"/>
              </w:rPr>
            </w:pPr>
            <w:r>
              <w:rPr>
                <w:sz w:val="4"/>
                <w:szCs w:val="4"/>
              </w:rPr>
            </w:r>
          </w:p>
        </w:tc>
        <w:tc>
          <w:tcPr>
            <w:tcW w:w="953"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r>
      <w:tr>
        <w:trPr/>
        <w:tc>
          <w:tcPr>
            <w:tcW w:w="503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235"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January 31,</w:t>
              <w:br/>
              <w:t>2021</w:t>
            </w:r>
          </w:p>
        </w:tc>
        <w:tc>
          <w:tcPr>
            <w:tcW w:w="9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235"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February 2,</w:t>
              <w:br/>
              <w:t>2020</w:t>
            </w:r>
          </w:p>
        </w:tc>
        <w:tc>
          <w:tcPr>
            <w:tcW w:w="230" w:type="dxa"/>
            <w:tcBorders/>
            <w:shd w:fill="auto" w:val="clear"/>
            <w:vAlign w:val="center"/>
          </w:tcPr>
          <w:p>
            <w:pPr>
              <w:pStyle w:val="TableContents"/>
              <w:spacing w:before="0" w:after="283"/>
              <w:rPr/>
            </w:pPr>
            <w:r>
              <w:rPr/>
              <w:t> </w:t>
            </w:r>
          </w:p>
        </w:tc>
      </w:tr>
      <w:tr>
        <w:trPr/>
        <w:tc>
          <w:tcPr>
            <w:tcW w:w="503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Deferred revenue</w:t>
            </w:r>
          </w:p>
        </w:tc>
        <w:tc>
          <w:tcPr>
            <w:tcW w:w="120" w:type="dxa"/>
            <w:tcBorders/>
            <w:shd w:fill="CCEEFF" w:val="clear"/>
            <w:vAlign w:val="center"/>
          </w:tcPr>
          <w:p>
            <w:pPr>
              <w:pStyle w:val="TableContents"/>
              <w:spacing w:before="0" w:after="283"/>
              <w:rPr/>
            </w:pPr>
            <w:r>
              <w:rPr/>
              <w:t>  </w:t>
            </w:r>
          </w:p>
        </w:tc>
        <w:tc>
          <w:tcPr>
            <w:tcW w:w="268" w:type="dxa"/>
            <w:tcBorders/>
            <w:shd w:fill="CCEEFF" w:val="clear"/>
            <w:vAlign w:val="center"/>
          </w:tcPr>
          <w:p>
            <w:pPr>
              <w:pStyle w:val="TableContents"/>
              <w:spacing w:before="0" w:after="0"/>
              <w:rPr>
                <w:spacing w:val="0"/>
              </w:rPr>
            </w:pPr>
            <w:r>
              <w:rPr>
                <w:spacing w:val="0"/>
              </w:rPr>
              <w:t> </w:t>
            </w:r>
            <w:r>
              <w:rPr>
                <w:rFonts w:ascii="Times New Roman" w:hAnsi="Times New Roman"/>
                <w:spacing w:val="0"/>
              </w:rPr>
              <w:t>$ </w:t>
            </w:r>
          </w:p>
        </w:tc>
        <w:tc>
          <w:tcPr>
            <w:tcW w:w="967" w:type="dxa"/>
            <w:tcBorders/>
            <w:shd w:fill="CCEEFF" w:val="clear"/>
            <w:vAlign w:val="center"/>
          </w:tcPr>
          <w:p>
            <w:pPr>
              <w:pStyle w:val="TableContents"/>
              <w:spacing w:before="0" w:after="0"/>
              <w:jc w:val="right"/>
              <w:rPr>
                <w:rFonts w:ascii="Times New Roman" w:hAnsi="Times New Roman"/>
                <w:spacing w:val="0"/>
              </w:rPr>
            </w:pPr>
            <w:r>
              <w:rPr>
                <w:rFonts w:ascii="Times New Roman" w:hAnsi="Times New Roman"/>
                <w:spacing w:val="0"/>
              </w:rPr>
              <w:t>24,136</w:t>
            </w:r>
          </w:p>
        </w:tc>
        <w:tc>
          <w:tcPr>
            <w:tcW w:w="9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282" w:type="dxa"/>
            <w:tcBorders/>
            <w:shd w:fill="CCEEFF" w:val="clear"/>
            <w:vAlign w:val="center"/>
          </w:tcPr>
          <w:p>
            <w:pPr>
              <w:pStyle w:val="TableContents"/>
              <w:spacing w:before="0" w:after="0"/>
              <w:rPr>
                <w:spacing w:val="0"/>
              </w:rPr>
            </w:pPr>
            <w:r>
              <w:rPr>
                <w:spacing w:val="0"/>
              </w:rPr>
              <w:t> </w:t>
            </w:r>
            <w:r>
              <w:rPr>
                <w:spacing w:val="0"/>
              </w:rPr>
              <w:t>$ </w:t>
            </w:r>
          </w:p>
        </w:tc>
        <w:tc>
          <w:tcPr>
            <w:tcW w:w="953" w:type="dxa"/>
            <w:tcBorders/>
            <w:shd w:fill="CCEEFF" w:val="clear"/>
            <w:vAlign w:val="center"/>
          </w:tcPr>
          <w:p>
            <w:pPr>
              <w:pStyle w:val="TableContents"/>
              <w:spacing w:before="0" w:after="283"/>
              <w:jc w:val="right"/>
              <w:rPr/>
            </w:pPr>
            <w:r>
              <w:rPr/>
              <w:t>21,961</w:t>
            </w:r>
          </w:p>
        </w:tc>
        <w:tc>
          <w:tcPr>
            <w:tcW w:w="230" w:type="dxa"/>
            <w:tcBorders/>
            <w:shd w:fill="CCEEFF" w:val="clear"/>
            <w:vAlign w:val="center"/>
          </w:tcPr>
          <w:p>
            <w:pPr>
              <w:pStyle w:val="TableContents"/>
              <w:spacing w:before="0" w:after="283"/>
              <w:rPr/>
            </w:pPr>
            <w:r>
              <w:rPr/>
              <w:t> </w:t>
            </w:r>
          </w:p>
        </w:tc>
      </w:tr>
      <w:tr>
        <w:trPr/>
        <w:tc>
          <w:tcPr>
            <w:tcW w:w="503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Operating lease liability</w:t>
            </w:r>
          </w:p>
        </w:tc>
        <w:tc>
          <w:tcPr>
            <w:tcW w:w="120" w:type="dxa"/>
            <w:tcBorders/>
            <w:shd w:fill="auto" w:val="clear"/>
            <w:vAlign w:val="center"/>
          </w:tcPr>
          <w:p>
            <w:pPr>
              <w:pStyle w:val="TableContents"/>
              <w:spacing w:before="0" w:after="283"/>
              <w:rPr/>
            </w:pPr>
            <w:r>
              <w:rPr/>
              <w:t>  </w:t>
            </w:r>
          </w:p>
        </w:tc>
        <w:tc>
          <w:tcPr>
            <w:tcW w:w="268" w:type="dxa"/>
            <w:tcBorders/>
            <w:shd w:fill="auto" w:val="clear"/>
            <w:vAlign w:val="center"/>
          </w:tcPr>
          <w:p>
            <w:pPr>
              <w:pStyle w:val="TableContents"/>
              <w:spacing w:before="0" w:after="283"/>
              <w:rPr/>
            </w:pPr>
            <w:r>
              <w:rPr/>
              <w:t> </w:t>
            </w:r>
          </w:p>
        </w:tc>
        <w:tc>
          <w:tcPr>
            <w:tcW w:w="967" w:type="dxa"/>
            <w:tcBorders/>
            <w:shd w:fill="auto" w:val="clear"/>
            <w:vAlign w:val="center"/>
          </w:tcPr>
          <w:p>
            <w:pPr>
              <w:pStyle w:val="TableContents"/>
              <w:spacing w:before="0" w:after="0"/>
              <w:jc w:val="right"/>
              <w:rPr>
                <w:rFonts w:ascii="Times New Roman" w:hAnsi="Times New Roman"/>
                <w:spacing w:val="0"/>
              </w:rPr>
            </w:pPr>
            <w:r>
              <w:rPr>
                <w:rFonts w:ascii="Times New Roman" w:hAnsi="Times New Roman"/>
                <w:spacing w:val="0"/>
              </w:rPr>
              <w:t>383,378</w:t>
            </w:r>
          </w:p>
        </w:tc>
        <w:tc>
          <w:tcPr>
            <w:tcW w:w="9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82" w:type="dxa"/>
            <w:tcBorders/>
            <w:shd w:fill="auto" w:val="clear"/>
            <w:vAlign w:val="center"/>
          </w:tcPr>
          <w:p>
            <w:pPr>
              <w:pStyle w:val="TableContents"/>
              <w:spacing w:before="0" w:after="283"/>
              <w:rPr/>
            </w:pPr>
            <w:r>
              <w:rPr/>
              <w:t> </w:t>
            </w:r>
          </w:p>
        </w:tc>
        <w:tc>
          <w:tcPr>
            <w:tcW w:w="953" w:type="dxa"/>
            <w:tcBorders/>
            <w:shd w:fill="auto" w:val="clear"/>
            <w:vAlign w:val="center"/>
          </w:tcPr>
          <w:p>
            <w:pPr>
              <w:pStyle w:val="TableContents"/>
              <w:spacing w:before="0" w:after="283"/>
              <w:jc w:val="right"/>
              <w:rPr/>
            </w:pPr>
            <w:r>
              <w:rPr/>
              <w:t>355,566</w:t>
            </w:r>
          </w:p>
        </w:tc>
        <w:tc>
          <w:tcPr>
            <w:tcW w:w="230" w:type="dxa"/>
            <w:tcBorders/>
            <w:shd w:fill="auto" w:val="clear"/>
            <w:vAlign w:val="center"/>
          </w:tcPr>
          <w:p>
            <w:pPr>
              <w:pStyle w:val="TableContents"/>
              <w:spacing w:before="0" w:after="283"/>
              <w:rPr/>
            </w:pPr>
            <w:r>
              <w:rPr/>
              <w:t> </w:t>
            </w:r>
          </w:p>
        </w:tc>
      </w:tr>
      <w:tr>
        <w:trPr/>
        <w:tc>
          <w:tcPr>
            <w:tcW w:w="503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Accrued liabilities</w:t>
            </w:r>
          </w:p>
        </w:tc>
        <w:tc>
          <w:tcPr>
            <w:tcW w:w="120" w:type="dxa"/>
            <w:tcBorders/>
            <w:shd w:fill="CCEEFF" w:val="clear"/>
            <w:vAlign w:val="center"/>
          </w:tcPr>
          <w:p>
            <w:pPr>
              <w:pStyle w:val="TableContents"/>
              <w:spacing w:before="0" w:after="283"/>
              <w:rPr/>
            </w:pPr>
            <w:r>
              <w:rPr/>
              <w:t>  </w:t>
            </w:r>
          </w:p>
        </w:tc>
        <w:tc>
          <w:tcPr>
            <w:tcW w:w="268" w:type="dxa"/>
            <w:tcBorders/>
            <w:shd w:fill="CCEEFF" w:val="clear"/>
            <w:vAlign w:val="center"/>
          </w:tcPr>
          <w:p>
            <w:pPr>
              <w:pStyle w:val="TableContents"/>
              <w:spacing w:before="0" w:after="283"/>
              <w:rPr/>
            </w:pPr>
            <w:r>
              <w:rPr/>
              <w:t> </w:t>
            </w:r>
          </w:p>
        </w:tc>
        <w:tc>
          <w:tcPr>
            <w:tcW w:w="967" w:type="dxa"/>
            <w:tcBorders/>
            <w:shd w:fill="CCEEFF" w:val="clear"/>
            <w:vAlign w:val="center"/>
          </w:tcPr>
          <w:p>
            <w:pPr>
              <w:pStyle w:val="TableContents"/>
              <w:spacing w:before="0" w:after="0"/>
              <w:jc w:val="right"/>
              <w:rPr>
                <w:rFonts w:ascii="Times New Roman" w:hAnsi="Times New Roman"/>
                <w:spacing w:val="0"/>
              </w:rPr>
            </w:pPr>
            <w:r>
              <w:rPr>
                <w:rFonts w:ascii="Times New Roman" w:hAnsi="Times New Roman"/>
                <w:spacing w:val="0"/>
              </w:rPr>
              <w:t>1,332</w:t>
            </w:r>
          </w:p>
        </w:tc>
        <w:tc>
          <w:tcPr>
            <w:tcW w:w="9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282" w:type="dxa"/>
            <w:tcBorders/>
            <w:shd w:fill="CCEEFF" w:val="clear"/>
            <w:vAlign w:val="center"/>
          </w:tcPr>
          <w:p>
            <w:pPr>
              <w:pStyle w:val="TableContents"/>
              <w:spacing w:before="0" w:after="283"/>
              <w:rPr/>
            </w:pPr>
            <w:r>
              <w:rPr/>
              <w:t> </w:t>
            </w:r>
          </w:p>
        </w:tc>
        <w:tc>
          <w:tcPr>
            <w:tcW w:w="953" w:type="dxa"/>
            <w:tcBorders/>
            <w:shd w:fill="CCEEFF" w:val="clear"/>
            <w:vAlign w:val="center"/>
          </w:tcPr>
          <w:p>
            <w:pPr>
              <w:pStyle w:val="TableContents"/>
              <w:spacing w:before="0" w:after="283"/>
              <w:jc w:val="right"/>
              <w:rPr/>
            </w:pPr>
            <w:r>
              <w:rPr/>
              <w:t>3,744</w:t>
            </w:r>
          </w:p>
        </w:tc>
        <w:tc>
          <w:tcPr>
            <w:tcW w:w="230" w:type="dxa"/>
            <w:tcBorders/>
            <w:shd w:fill="CCEEFF" w:val="clear"/>
            <w:vAlign w:val="center"/>
          </w:tcPr>
          <w:p>
            <w:pPr>
              <w:pStyle w:val="TableContents"/>
              <w:spacing w:before="0" w:after="283"/>
              <w:rPr/>
            </w:pPr>
            <w:r>
              <w:rPr/>
              <w:t> </w:t>
            </w:r>
          </w:p>
        </w:tc>
      </w:tr>
      <w:tr>
        <w:trPr/>
        <w:tc>
          <w:tcPr>
            <w:tcW w:w="503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Workers compensation and general liability insurance</w:t>
            </w:r>
          </w:p>
        </w:tc>
        <w:tc>
          <w:tcPr>
            <w:tcW w:w="120" w:type="dxa"/>
            <w:tcBorders/>
            <w:shd w:fill="auto" w:val="clear"/>
            <w:vAlign w:val="center"/>
          </w:tcPr>
          <w:p>
            <w:pPr>
              <w:pStyle w:val="TableContents"/>
              <w:spacing w:before="0" w:after="283"/>
              <w:rPr/>
            </w:pPr>
            <w:r>
              <w:rPr/>
              <w:t>  </w:t>
            </w:r>
          </w:p>
        </w:tc>
        <w:tc>
          <w:tcPr>
            <w:tcW w:w="268" w:type="dxa"/>
            <w:tcBorders/>
            <w:shd w:fill="auto" w:val="clear"/>
            <w:vAlign w:val="center"/>
          </w:tcPr>
          <w:p>
            <w:pPr>
              <w:pStyle w:val="TableContents"/>
              <w:spacing w:before="0" w:after="283"/>
              <w:rPr/>
            </w:pPr>
            <w:r>
              <w:rPr/>
              <w:t> </w:t>
            </w:r>
          </w:p>
        </w:tc>
        <w:tc>
          <w:tcPr>
            <w:tcW w:w="967" w:type="dxa"/>
            <w:tcBorders/>
            <w:shd w:fill="auto" w:val="clear"/>
            <w:vAlign w:val="center"/>
          </w:tcPr>
          <w:p>
            <w:pPr>
              <w:pStyle w:val="TableContents"/>
              <w:spacing w:before="0" w:after="0"/>
              <w:jc w:val="right"/>
              <w:rPr>
                <w:rFonts w:ascii="Times New Roman" w:hAnsi="Times New Roman"/>
                <w:spacing w:val="0"/>
              </w:rPr>
            </w:pPr>
            <w:r>
              <w:rPr>
                <w:rFonts w:ascii="Times New Roman" w:hAnsi="Times New Roman"/>
                <w:spacing w:val="0"/>
              </w:rPr>
              <w:t>3,923</w:t>
            </w:r>
          </w:p>
        </w:tc>
        <w:tc>
          <w:tcPr>
            <w:tcW w:w="9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82" w:type="dxa"/>
            <w:tcBorders/>
            <w:shd w:fill="auto" w:val="clear"/>
            <w:vAlign w:val="center"/>
          </w:tcPr>
          <w:p>
            <w:pPr>
              <w:pStyle w:val="TableContents"/>
              <w:spacing w:before="0" w:after="283"/>
              <w:rPr/>
            </w:pPr>
            <w:r>
              <w:rPr/>
              <w:t> </w:t>
            </w:r>
          </w:p>
        </w:tc>
        <w:tc>
          <w:tcPr>
            <w:tcW w:w="953" w:type="dxa"/>
            <w:tcBorders/>
            <w:shd w:fill="auto" w:val="clear"/>
            <w:vAlign w:val="center"/>
          </w:tcPr>
          <w:p>
            <w:pPr>
              <w:pStyle w:val="TableContents"/>
              <w:spacing w:before="0" w:after="283"/>
              <w:jc w:val="right"/>
              <w:rPr/>
            </w:pPr>
            <w:r>
              <w:rPr/>
              <w:t>4,397</w:t>
            </w:r>
          </w:p>
        </w:tc>
        <w:tc>
          <w:tcPr>
            <w:tcW w:w="230" w:type="dxa"/>
            <w:tcBorders/>
            <w:shd w:fill="auto" w:val="clear"/>
            <w:vAlign w:val="center"/>
          </w:tcPr>
          <w:p>
            <w:pPr>
              <w:pStyle w:val="TableContents"/>
              <w:spacing w:before="0" w:after="283"/>
              <w:rPr/>
            </w:pPr>
            <w:r>
              <w:rPr/>
              <w:t> </w:t>
            </w:r>
          </w:p>
        </w:tc>
      </w:tr>
      <w:tr>
        <w:trPr/>
        <w:tc>
          <w:tcPr>
            <w:tcW w:w="503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Share-based compensation</w:t>
            </w:r>
          </w:p>
        </w:tc>
        <w:tc>
          <w:tcPr>
            <w:tcW w:w="120" w:type="dxa"/>
            <w:tcBorders/>
            <w:shd w:fill="CCEEFF" w:val="clear"/>
            <w:vAlign w:val="center"/>
          </w:tcPr>
          <w:p>
            <w:pPr>
              <w:pStyle w:val="TableContents"/>
              <w:spacing w:before="0" w:after="283"/>
              <w:rPr/>
            </w:pPr>
            <w:r>
              <w:rPr/>
              <w:t>  </w:t>
            </w:r>
          </w:p>
        </w:tc>
        <w:tc>
          <w:tcPr>
            <w:tcW w:w="268" w:type="dxa"/>
            <w:tcBorders/>
            <w:shd w:fill="CCEEFF" w:val="clear"/>
            <w:vAlign w:val="center"/>
          </w:tcPr>
          <w:p>
            <w:pPr>
              <w:pStyle w:val="TableContents"/>
              <w:spacing w:before="0" w:after="283"/>
              <w:rPr/>
            </w:pPr>
            <w:r>
              <w:rPr/>
              <w:t> </w:t>
            </w:r>
          </w:p>
        </w:tc>
        <w:tc>
          <w:tcPr>
            <w:tcW w:w="967" w:type="dxa"/>
            <w:tcBorders/>
            <w:shd w:fill="CCEEFF" w:val="clear"/>
            <w:vAlign w:val="center"/>
          </w:tcPr>
          <w:p>
            <w:pPr>
              <w:pStyle w:val="TableContents"/>
              <w:spacing w:before="0" w:after="0"/>
              <w:jc w:val="right"/>
              <w:rPr>
                <w:rFonts w:ascii="Times New Roman" w:hAnsi="Times New Roman"/>
                <w:spacing w:val="0"/>
              </w:rPr>
            </w:pPr>
            <w:r>
              <w:rPr>
                <w:rFonts w:ascii="Times New Roman" w:hAnsi="Times New Roman"/>
                <w:spacing w:val="0"/>
              </w:rPr>
              <w:t>7,236</w:t>
            </w:r>
          </w:p>
        </w:tc>
        <w:tc>
          <w:tcPr>
            <w:tcW w:w="9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282" w:type="dxa"/>
            <w:tcBorders/>
            <w:shd w:fill="CCEEFF" w:val="clear"/>
            <w:vAlign w:val="center"/>
          </w:tcPr>
          <w:p>
            <w:pPr>
              <w:pStyle w:val="TableContents"/>
              <w:spacing w:before="0" w:after="283"/>
              <w:rPr/>
            </w:pPr>
            <w:r>
              <w:rPr/>
              <w:t> </w:t>
            </w:r>
          </w:p>
        </w:tc>
        <w:tc>
          <w:tcPr>
            <w:tcW w:w="953" w:type="dxa"/>
            <w:tcBorders/>
            <w:shd w:fill="CCEEFF" w:val="clear"/>
            <w:vAlign w:val="center"/>
          </w:tcPr>
          <w:p>
            <w:pPr>
              <w:pStyle w:val="TableContents"/>
              <w:spacing w:before="0" w:after="283"/>
              <w:jc w:val="right"/>
              <w:rPr/>
            </w:pPr>
            <w:r>
              <w:rPr/>
              <w:t xml:space="preserve">6,740 </w:t>
            </w:r>
          </w:p>
        </w:tc>
        <w:tc>
          <w:tcPr>
            <w:tcW w:w="230" w:type="dxa"/>
            <w:tcBorders/>
            <w:shd w:fill="CCEEFF" w:val="clear"/>
            <w:vAlign w:val="center"/>
          </w:tcPr>
          <w:p>
            <w:pPr>
              <w:pStyle w:val="TableContents"/>
              <w:spacing w:before="0" w:after="283"/>
              <w:rPr/>
            </w:pPr>
            <w:r>
              <w:rPr/>
              <w:t> </w:t>
            </w:r>
          </w:p>
        </w:tc>
      </w:tr>
      <w:tr>
        <w:trPr/>
        <w:tc>
          <w:tcPr>
            <w:tcW w:w="503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Hedging transactions</w:t>
            </w:r>
          </w:p>
        </w:tc>
        <w:tc>
          <w:tcPr>
            <w:tcW w:w="120" w:type="dxa"/>
            <w:tcBorders/>
            <w:shd w:fill="auto" w:val="clear"/>
            <w:vAlign w:val="center"/>
          </w:tcPr>
          <w:p>
            <w:pPr>
              <w:pStyle w:val="TableContents"/>
              <w:spacing w:before="0" w:after="283"/>
              <w:rPr/>
            </w:pPr>
            <w:r>
              <w:rPr/>
              <w:t>  </w:t>
            </w:r>
          </w:p>
        </w:tc>
        <w:tc>
          <w:tcPr>
            <w:tcW w:w="268" w:type="dxa"/>
            <w:tcBorders/>
            <w:shd w:fill="auto" w:val="clear"/>
            <w:vAlign w:val="center"/>
          </w:tcPr>
          <w:p>
            <w:pPr>
              <w:pStyle w:val="TableContents"/>
              <w:spacing w:before="0" w:after="283"/>
              <w:rPr/>
            </w:pPr>
            <w:r>
              <w:rPr/>
              <w:t> </w:t>
            </w:r>
          </w:p>
        </w:tc>
        <w:tc>
          <w:tcPr>
            <w:tcW w:w="967" w:type="dxa"/>
            <w:tcBorders/>
            <w:shd w:fill="auto" w:val="clear"/>
            <w:vAlign w:val="center"/>
          </w:tcPr>
          <w:p>
            <w:pPr>
              <w:pStyle w:val="TableContents"/>
              <w:spacing w:before="0" w:after="0"/>
              <w:jc w:val="right"/>
              <w:rPr>
                <w:rFonts w:ascii="Times New Roman" w:hAnsi="Times New Roman"/>
                <w:spacing w:val="0"/>
              </w:rPr>
            </w:pPr>
            <w:r>
              <w:rPr>
                <w:rFonts w:ascii="Times New Roman" w:hAnsi="Times New Roman"/>
                <w:spacing w:val="0"/>
              </w:rPr>
              <w:t>3,488</w:t>
            </w:r>
          </w:p>
        </w:tc>
        <w:tc>
          <w:tcPr>
            <w:tcW w:w="9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82" w:type="dxa"/>
            <w:tcBorders/>
            <w:shd w:fill="auto" w:val="clear"/>
            <w:vAlign w:val="center"/>
          </w:tcPr>
          <w:p>
            <w:pPr>
              <w:pStyle w:val="TableContents"/>
              <w:spacing w:before="0" w:after="283"/>
              <w:rPr/>
            </w:pPr>
            <w:r>
              <w:rPr/>
              <w:t> </w:t>
            </w:r>
          </w:p>
        </w:tc>
        <w:tc>
          <w:tcPr>
            <w:tcW w:w="953" w:type="dxa"/>
            <w:tcBorders/>
            <w:shd w:fill="auto" w:val="clear"/>
            <w:vAlign w:val="center"/>
          </w:tcPr>
          <w:p>
            <w:pPr>
              <w:pStyle w:val="TableContents"/>
              <w:spacing w:before="0" w:after="283"/>
              <w:jc w:val="right"/>
              <w:rPr/>
            </w:pPr>
            <w:r>
              <w:rPr/>
              <w:t>2,864</w:t>
            </w:r>
          </w:p>
        </w:tc>
        <w:tc>
          <w:tcPr>
            <w:tcW w:w="230" w:type="dxa"/>
            <w:tcBorders/>
            <w:shd w:fill="auto" w:val="clear"/>
            <w:vAlign w:val="center"/>
          </w:tcPr>
          <w:p>
            <w:pPr>
              <w:pStyle w:val="TableContents"/>
              <w:spacing w:before="0" w:after="283"/>
              <w:rPr/>
            </w:pPr>
            <w:r>
              <w:rPr/>
              <w:t> </w:t>
            </w:r>
          </w:p>
        </w:tc>
      </w:tr>
      <w:tr>
        <w:trPr/>
        <w:tc>
          <w:tcPr>
            <w:tcW w:w="503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Net operating loss carryovers</w:t>
            </w:r>
          </w:p>
        </w:tc>
        <w:tc>
          <w:tcPr>
            <w:tcW w:w="120" w:type="dxa"/>
            <w:tcBorders/>
            <w:shd w:fill="CCEEFF" w:val="clear"/>
            <w:vAlign w:val="center"/>
          </w:tcPr>
          <w:p>
            <w:pPr>
              <w:pStyle w:val="TableContents"/>
              <w:spacing w:before="0" w:after="0"/>
              <w:rPr/>
            </w:pPr>
            <w:r>
              <w:rPr/>
              <w:t> </w:t>
            </w:r>
          </w:p>
        </w:tc>
        <w:tc>
          <w:tcPr>
            <w:tcW w:w="268" w:type="dxa"/>
            <w:tcBorders/>
            <w:shd w:fill="CCEEFF" w:val="clear"/>
            <w:vAlign w:val="center"/>
          </w:tcPr>
          <w:p>
            <w:pPr>
              <w:pStyle w:val="TableContents"/>
              <w:spacing w:before="0" w:after="0"/>
              <w:rPr/>
            </w:pPr>
            <w:r>
              <w:rPr/>
              <w:t> </w:t>
            </w:r>
          </w:p>
        </w:tc>
        <w:tc>
          <w:tcPr>
            <w:tcW w:w="967" w:type="dxa"/>
            <w:tcBorders/>
            <w:shd w:fill="CCEEFF" w:val="clear"/>
            <w:vAlign w:val="center"/>
          </w:tcPr>
          <w:p>
            <w:pPr>
              <w:pStyle w:val="TableContents"/>
              <w:spacing w:before="0" w:after="0"/>
              <w:jc w:val="right"/>
              <w:rPr>
                <w:rFonts w:ascii="Times New Roman" w:hAnsi="Times New Roman"/>
                <w:spacing w:val="0"/>
              </w:rPr>
            </w:pPr>
            <w:r>
              <w:rPr>
                <w:rFonts w:ascii="Times New Roman" w:hAnsi="Times New Roman"/>
                <w:spacing w:val="0"/>
              </w:rPr>
              <w:t>10,303</w:t>
            </w:r>
          </w:p>
        </w:tc>
        <w:tc>
          <w:tcPr>
            <w:tcW w:w="95" w:type="dxa"/>
            <w:tcBorders/>
            <w:shd w:fill="CCEEFF" w:val="clear"/>
            <w:vAlign w:val="center"/>
          </w:tcPr>
          <w:p>
            <w:pPr>
              <w:pStyle w:val="TableContents"/>
              <w:spacing w:before="0" w:after="0"/>
              <w:rPr/>
            </w:pPr>
            <w:r>
              <w:rPr/>
              <w:t> </w:t>
            </w:r>
          </w:p>
        </w:tc>
        <w:tc>
          <w:tcPr>
            <w:tcW w:w="120" w:type="dxa"/>
            <w:tcBorders/>
            <w:shd w:fill="CCEEFF" w:val="clear"/>
            <w:vAlign w:val="center"/>
          </w:tcPr>
          <w:p>
            <w:pPr>
              <w:pStyle w:val="TableContents"/>
              <w:spacing w:before="0" w:after="0"/>
              <w:rPr/>
            </w:pPr>
            <w:r>
              <w:rPr/>
              <w:t> </w:t>
            </w:r>
          </w:p>
        </w:tc>
        <w:tc>
          <w:tcPr>
            <w:tcW w:w="282" w:type="dxa"/>
            <w:tcBorders/>
            <w:shd w:fill="CCEEFF" w:val="clear"/>
            <w:vAlign w:val="center"/>
          </w:tcPr>
          <w:p>
            <w:pPr>
              <w:pStyle w:val="TableContents"/>
              <w:spacing w:before="0" w:after="0"/>
              <w:rPr/>
            </w:pPr>
            <w:r>
              <w:rPr/>
              <w:t> </w:t>
            </w:r>
          </w:p>
        </w:tc>
        <w:tc>
          <w:tcPr>
            <w:tcW w:w="953" w:type="dxa"/>
            <w:tcBorders/>
            <w:shd w:fill="CCEEFF" w:val="clear"/>
            <w:vAlign w:val="center"/>
          </w:tcPr>
          <w:p>
            <w:pPr>
              <w:pStyle w:val="TableContents"/>
              <w:spacing w:before="0" w:after="0"/>
              <w:jc w:val="right"/>
              <w:rPr>
                <w:spacing w:val="0"/>
              </w:rPr>
            </w:pPr>
            <w:r>
              <w:rPr>
                <w:spacing w:val="0"/>
              </w:rPr>
              <w:t>2,817</w:t>
            </w:r>
          </w:p>
        </w:tc>
        <w:tc>
          <w:tcPr>
            <w:tcW w:w="230" w:type="dxa"/>
            <w:tcBorders/>
            <w:shd w:fill="CCEEFF" w:val="clear"/>
            <w:vAlign w:val="center"/>
          </w:tcPr>
          <w:p>
            <w:pPr>
              <w:pStyle w:val="TableContents"/>
              <w:spacing w:before="0" w:after="0"/>
              <w:rPr/>
            </w:pPr>
            <w:r>
              <w:rPr/>
              <w:t> </w:t>
            </w:r>
          </w:p>
        </w:tc>
      </w:tr>
      <w:tr>
        <w:trPr/>
        <w:tc>
          <w:tcPr>
            <w:tcW w:w="503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Tax credit carryovers</w:t>
            </w:r>
          </w:p>
        </w:tc>
        <w:tc>
          <w:tcPr>
            <w:tcW w:w="120" w:type="dxa"/>
            <w:tcBorders/>
            <w:shd w:fill="auto" w:val="clear"/>
            <w:vAlign w:val="center"/>
          </w:tcPr>
          <w:p>
            <w:pPr>
              <w:pStyle w:val="TableContents"/>
              <w:spacing w:before="0" w:after="283"/>
              <w:rPr/>
            </w:pPr>
            <w:r>
              <w:rPr/>
              <w:t>  </w:t>
            </w:r>
          </w:p>
        </w:tc>
        <w:tc>
          <w:tcPr>
            <w:tcW w:w="268" w:type="dxa"/>
            <w:tcBorders/>
            <w:shd w:fill="auto" w:val="clear"/>
            <w:vAlign w:val="center"/>
          </w:tcPr>
          <w:p>
            <w:pPr>
              <w:pStyle w:val="TableContents"/>
              <w:spacing w:before="0" w:after="283"/>
              <w:rPr/>
            </w:pPr>
            <w:r>
              <w:rPr/>
              <w:t> </w:t>
            </w:r>
          </w:p>
        </w:tc>
        <w:tc>
          <w:tcPr>
            <w:tcW w:w="967" w:type="dxa"/>
            <w:tcBorders/>
            <w:shd w:fill="auto" w:val="clear"/>
            <w:vAlign w:val="center"/>
          </w:tcPr>
          <w:p>
            <w:pPr>
              <w:pStyle w:val="TableContents"/>
              <w:spacing w:before="0" w:after="0"/>
              <w:jc w:val="right"/>
              <w:rPr>
                <w:rFonts w:ascii="Times New Roman" w:hAnsi="Times New Roman"/>
                <w:spacing w:val="0"/>
              </w:rPr>
            </w:pPr>
            <w:r>
              <w:rPr>
                <w:rFonts w:ascii="Times New Roman" w:hAnsi="Times New Roman"/>
                <w:spacing w:val="0"/>
              </w:rPr>
              <w:t>3,054</w:t>
            </w:r>
          </w:p>
        </w:tc>
        <w:tc>
          <w:tcPr>
            <w:tcW w:w="9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82" w:type="dxa"/>
            <w:tcBorders/>
            <w:shd w:fill="auto" w:val="clear"/>
            <w:vAlign w:val="center"/>
          </w:tcPr>
          <w:p>
            <w:pPr>
              <w:pStyle w:val="TableContents"/>
              <w:spacing w:before="0" w:after="283"/>
              <w:rPr/>
            </w:pPr>
            <w:r>
              <w:rPr/>
              <w:t> </w:t>
            </w:r>
          </w:p>
        </w:tc>
        <w:tc>
          <w:tcPr>
            <w:tcW w:w="953" w:type="dxa"/>
            <w:tcBorders/>
            <w:shd w:fill="auto" w:val="clear"/>
            <w:vAlign w:val="center"/>
          </w:tcPr>
          <w:p>
            <w:pPr>
              <w:pStyle w:val="TableContents"/>
              <w:spacing w:before="0" w:after="283"/>
              <w:jc w:val="right"/>
              <w:rPr/>
            </w:pPr>
            <w:r>
              <w:rPr/>
              <w:t>810</w:t>
            </w:r>
          </w:p>
        </w:tc>
        <w:tc>
          <w:tcPr>
            <w:tcW w:w="230" w:type="dxa"/>
            <w:tcBorders/>
            <w:shd w:fill="auto" w:val="clear"/>
            <w:vAlign w:val="center"/>
          </w:tcPr>
          <w:p>
            <w:pPr>
              <w:pStyle w:val="TableContents"/>
              <w:spacing w:before="0" w:after="283"/>
              <w:rPr/>
            </w:pPr>
            <w:r>
              <w:rPr/>
              <w:t> </w:t>
            </w:r>
          </w:p>
        </w:tc>
      </w:tr>
      <w:tr>
        <w:trPr/>
        <w:tc>
          <w:tcPr>
            <w:tcW w:w="503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Indirect benefit of unrecognized tax benefits</w:t>
            </w:r>
          </w:p>
        </w:tc>
        <w:tc>
          <w:tcPr>
            <w:tcW w:w="120" w:type="dxa"/>
            <w:tcBorders/>
            <w:shd w:fill="CCEEFF" w:val="clear"/>
            <w:vAlign w:val="center"/>
          </w:tcPr>
          <w:p>
            <w:pPr>
              <w:pStyle w:val="TableContents"/>
              <w:spacing w:before="0" w:after="283"/>
              <w:rPr/>
            </w:pPr>
            <w:r>
              <w:rPr/>
              <w:t>  </w:t>
            </w:r>
          </w:p>
        </w:tc>
        <w:tc>
          <w:tcPr>
            <w:tcW w:w="268" w:type="dxa"/>
            <w:tcBorders/>
            <w:shd w:fill="CCEEFF" w:val="clear"/>
            <w:vAlign w:val="center"/>
          </w:tcPr>
          <w:p>
            <w:pPr>
              <w:pStyle w:val="TableContents"/>
              <w:spacing w:before="0" w:after="283"/>
              <w:rPr/>
            </w:pPr>
            <w:r>
              <w:rPr/>
              <w:t> </w:t>
            </w:r>
          </w:p>
        </w:tc>
        <w:tc>
          <w:tcPr>
            <w:tcW w:w="967" w:type="dxa"/>
            <w:tcBorders/>
            <w:shd w:fill="CCEEFF" w:val="clear"/>
            <w:vAlign w:val="center"/>
          </w:tcPr>
          <w:p>
            <w:pPr>
              <w:pStyle w:val="TableContents"/>
              <w:spacing w:before="0" w:after="0"/>
              <w:jc w:val="right"/>
              <w:rPr>
                <w:rFonts w:ascii="Times New Roman" w:hAnsi="Times New Roman"/>
                <w:spacing w:val="0"/>
              </w:rPr>
            </w:pPr>
            <w:r>
              <w:rPr>
                <w:rFonts w:ascii="Times New Roman" w:hAnsi="Times New Roman"/>
                <w:spacing w:val="0"/>
              </w:rPr>
              <w:t>639</w:t>
            </w:r>
          </w:p>
        </w:tc>
        <w:tc>
          <w:tcPr>
            <w:tcW w:w="9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282" w:type="dxa"/>
            <w:tcBorders/>
            <w:shd w:fill="CCEEFF" w:val="clear"/>
            <w:vAlign w:val="center"/>
          </w:tcPr>
          <w:p>
            <w:pPr>
              <w:pStyle w:val="TableContents"/>
              <w:spacing w:before="0" w:after="283"/>
              <w:rPr/>
            </w:pPr>
            <w:r>
              <w:rPr/>
              <w:t> </w:t>
            </w:r>
          </w:p>
        </w:tc>
        <w:tc>
          <w:tcPr>
            <w:tcW w:w="953" w:type="dxa"/>
            <w:tcBorders/>
            <w:shd w:fill="CCEEFF" w:val="clear"/>
            <w:vAlign w:val="center"/>
          </w:tcPr>
          <w:p>
            <w:pPr>
              <w:pStyle w:val="TableContents"/>
              <w:spacing w:before="0" w:after="283"/>
              <w:jc w:val="right"/>
              <w:rPr/>
            </w:pPr>
            <w:r>
              <w:rPr/>
              <w:t>525</w:t>
            </w:r>
          </w:p>
        </w:tc>
        <w:tc>
          <w:tcPr>
            <w:tcW w:w="230" w:type="dxa"/>
            <w:tcBorders/>
            <w:shd w:fill="CCEEFF" w:val="clear"/>
            <w:vAlign w:val="center"/>
          </w:tcPr>
          <w:p>
            <w:pPr>
              <w:pStyle w:val="TableContents"/>
              <w:spacing w:before="0" w:after="283"/>
              <w:rPr/>
            </w:pPr>
            <w:r>
              <w:rPr/>
              <w:t> </w:t>
            </w:r>
          </w:p>
        </w:tc>
      </w:tr>
      <w:tr>
        <w:trPr/>
        <w:tc>
          <w:tcPr>
            <w:tcW w:w="503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Other</w:t>
            </w:r>
          </w:p>
        </w:tc>
        <w:tc>
          <w:tcPr>
            <w:tcW w:w="120" w:type="dxa"/>
            <w:tcBorders/>
            <w:shd w:fill="auto" w:val="clear"/>
            <w:vAlign w:val="center"/>
          </w:tcPr>
          <w:p>
            <w:pPr>
              <w:pStyle w:val="TableContents"/>
              <w:spacing w:before="0" w:after="0"/>
              <w:rPr/>
            </w:pPr>
            <w:r>
              <w:rPr/>
              <w:t> </w:t>
            </w:r>
          </w:p>
        </w:tc>
        <w:tc>
          <w:tcPr>
            <w:tcW w:w="268" w:type="dxa"/>
            <w:tcBorders/>
            <w:shd w:fill="auto" w:val="clear"/>
            <w:vAlign w:val="center"/>
          </w:tcPr>
          <w:p>
            <w:pPr>
              <w:pStyle w:val="TableContents"/>
              <w:spacing w:before="0" w:after="0"/>
              <w:rPr/>
            </w:pPr>
            <w:r>
              <w:rPr/>
              <w:t> </w:t>
            </w:r>
          </w:p>
        </w:tc>
        <w:tc>
          <w:tcPr>
            <w:tcW w:w="967" w:type="dxa"/>
            <w:tcBorders/>
            <w:shd w:fill="auto" w:val="clear"/>
            <w:vAlign w:val="center"/>
          </w:tcPr>
          <w:p>
            <w:pPr>
              <w:pStyle w:val="TableContents"/>
              <w:spacing w:before="0" w:after="0"/>
              <w:jc w:val="right"/>
              <w:rPr>
                <w:rFonts w:ascii="Times New Roman" w:hAnsi="Times New Roman"/>
                <w:spacing w:val="0"/>
              </w:rPr>
            </w:pPr>
            <w:r>
              <w:rPr>
                <w:rFonts w:ascii="Times New Roman" w:hAnsi="Times New Roman"/>
                <w:spacing w:val="0"/>
              </w:rPr>
              <w:t>5,549</w:t>
            </w:r>
          </w:p>
        </w:tc>
        <w:tc>
          <w:tcPr>
            <w:tcW w:w="95" w:type="dxa"/>
            <w:tcBorders/>
            <w:shd w:fill="auto" w:val="clear"/>
            <w:vAlign w:val="center"/>
          </w:tcPr>
          <w:p>
            <w:pPr>
              <w:pStyle w:val="TableContents"/>
              <w:spacing w:before="0" w:after="0"/>
              <w:rPr/>
            </w:pPr>
            <w:r>
              <w:rPr/>
              <w:t> </w:t>
            </w:r>
          </w:p>
        </w:tc>
        <w:tc>
          <w:tcPr>
            <w:tcW w:w="120" w:type="dxa"/>
            <w:tcBorders/>
            <w:shd w:fill="auto" w:val="clear"/>
            <w:vAlign w:val="center"/>
          </w:tcPr>
          <w:p>
            <w:pPr>
              <w:pStyle w:val="TableContents"/>
              <w:spacing w:before="0" w:after="0"/>
              <w:rPr/>
            </w:pPr>
            <w:r>
              <w:rPr/>
              <w:t> </w:t>
            </w:r>
          </w:p>
        </w:tc>
        <w:tc>
          <w:tcPr>
            <w:tcW w:w="282" w:type="dxa"/>
            <w:tcBorders/>
            <w:shd w:fill="auto" w:val="clear"/>
            <w:vAlign w:val="center"/>
          </w:tcPr>
          <w:p>
            <w:pPr>
              <w:pStyle w:val="TableContents"/>
              <w:spacing w:before="0" w:after="0"/>
              <w:rPr/>
            </w:pPr>
            <w:r>
              <w:rPr/>
              <w:t> </w:t>
            </w:r>
          </w:p>
        </w:tc>
        <w:tc>
          <w:tcPr>
            <w:tcW w:w="953" w:type="dxa"/>
            <w:tcBorders/>
            <w:shd w:fill="auto" w:val="clear"/>
            <w:vAlign w:val="center"/>
          </w:tcPr>
          <w:p>
            <w:pPr>
              <w:pStyle w:val="TableContents"/>
              <w:spacing w:before="0" w:after="0"/>
              <w:jc w:val="right"/>
              <w:rPr>
                <w:spacing w:val="0"/>
              </w:rPr>
            </w:pPr>
            <w:r>
              <w:rPr>
                <w:spacing w:val="0"/>
              </w:rPr>
              <w:t>2,399</w:t>
            </w:r>
          </w:p>
        </w:tc>
        <w:tc>
          <w:tcPr>
            <w:tcW w:w="230" w:type="dxa"/>
            <w:tcBorders/>
            <w:shd w:fill="auto" w:val="clear"/>
            <w:vAlign w:val="center"/>
          </w:tcPr>
          <w:p>
            <w:pPr>
              <w:pStyle w:val="TableContents"/>
              <w:spacing w:before="0" w:after="0"/>
              <w:rPr/>
            </w:pPr>
            <w:r>
              <w:rPr/>
              <w:t> </w:t>
            </w:r>
          </w:p>
        </w:tc>
      </w:tr>
      <w:tr>
        <w:trPr/>
        <w:tc>
          <w:tcPr>
            <w:tcW w:w="503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268" w:type="dxa"/>
            <w:tcBorders/>
            <w:shd w:fill="CCEEFF" w:val="clear"/>
            <w:vAlign w:val="center"/>
          </w:tcPr>
          <w:p>
            <w:pPr>
              <w:pStyle w:val="TableContents"/>
              <w:spacing w:before="0" w:after="0"/>
              <w:rPr>
                <w:bdr w:val="single" w:sz="2" w:space="1" w:color="000000"/>
              </w:rPr>
            </w:pPr>
            <w:r>
              <w:rPr>
                <w:bdr w:val="single" w:sz="2" w:space="1" w:color="000000"/>
              </w:rPr>
              <w:t> </w:t>
            </w:r>
          </w:p>
        </w:tc>
        <w:tc>
          <w:tcPr>
            <w:tcW w:w="967" w:type="dxa"/>
            <w:tcBorders/>
            <w:shd w:fill="CCEEFF" w:val="clear"/>
            <w:vAlign w:val="center"/>
          </w:tcPr>
          <w:p>
            <w:pPr>
              <w:pStyle w:val="TableContents"/>
              <w:spacing w:before="0" w:after="0"/>
              <w:rPr>
                <w:bdr w:val="single" w:sz="2" w:space="1" w:color="000000"/>
              </w:rPr>
            </w:pPr>
            <w:r>
              <w:rPr>
                <w:bdr w:val="single" w:sz="2" w:space="1" w:color="000000"/>
              </w:rPr>
              <w:t> </w:t>
            </w:r>
          </w:p>
        </w:tc>
        <w:tc>
          <w:tcPr>
            <w:tcW w:w="9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282" w:type="dxa"/>
            <w:tcBorders/>
            <w:shd w:fill="CCEEFF" w:val="clear"/>
            <w:vAlign w:val="center"/>
          </w:tcPr>
          <w:p>
            <w:pPr>
              <w:pStyle w:val="TableContents"/>
              <w:spacing w:before="0" w:after="0"/>
              <w:rPr>
                <w:bdr w:val="single" w:sz="2" w:space="1" w:color="000000"/>
              </w:rPr>
            </w:pPr>
            <w:r>
              <w:rPr>
                <w:bdr w:val="single" w:sz="2" w:space="1" w:color="000000"/>
              </w:rPr>
              <w:t> </w:t>
            </w:r>
          </w:p>
        </w:tc>
        <w:tc>
          <w:tcPr>
            <w:tcW w:w="953" w:type="dxa"/>
            <w:tcBorders/>
            <w:shd w:fill="CCEEFF" w:val="clear"/>
            <w:vAlign w:val="center"/>
          </w:tcPr>
          <w:p>
            <w:pPr>
              <w:pStyle w:val="TableContents"/>
              <w:spacing w:before="0" w:after="0"/>
              <w:rPr>
                <w:bdr w:val="single" w:sz="2" w:space="1" w:color="000000"/>
              </w:rPr>
            </w:pPr>
            <w:r>
              <w:rPr>
                <w:bdr w:val="single" w:sz="2" w:space="1" w:color="000000"/>
              </w:rPr>
              <w:t> </w:t>
            </w:r>
          </w:p>
        </w:tc>
        <w:tc>
          <w:tcPr>
            <w:tcW w:w="230" w:type="dxa"/>
            <w:tcBorders/>
            <w:shd w:fill="CCEEFF" w:val="clear"/>
            <w:vAlign w:val="center"/>
          </w:tcPr>
          <w:p>
            <w:pPr>
              <w:pStyle w:val="TableContents"/>
              <w:spacing w:before="0" w:after="283"/>
              <w:rPr/>
            </w:pPr>
            <w:r>
              <w:rPr/>
              <w:t> </w:t>
            </w:r>
          </w:p>
        </w:tc>
      </w:tr>
      <w:tr>
        <w:trPr/>
        <w:tc>
          <w:tcPr>
            <w:tcW w:w="5030" w:type="dxa"/>
            <w:tcBorders/>
            <w:shd w:fill="CCEEFF" w:val="clear"/>
            <w:vAlign w:val="center"/>
          </w:tcPr>
          <w:p>
            <w:pPr>
              <w:pStyle w:val="TableContents"/>
              <w:spacing w:before="0" w:after="0"/>
              <w:ind w:left="374" w:right="0" w:hanging="0"/>
              <w:rPr>
                <w:rFonts w:ascii="Times New Roman" w:hAnsi="Times New Roman"/>
                <w:sz w:val="20"/>
              </w:rPr>
            </w:pPr>
            <w:r>
              <w:rPr>
                <w:rFonts w:ascii="Times New Roman" w:hAnsi="Times New Roman"/>
                <w:sz w:val="20"/>
              </w:rPr>
              <w:t>Total deferred tax assets</w:t>
            </w:r>
          </w:p>
        </w:tc>
        <w:tc>
          <w:tcPr>
            <w:tcW w:w="120" w:type="dxa"/>
            <w:tcBorders/>
            <w:shd w:fill="CCEEFF" w:val="clear"/>
            <w:vAlign w:val="center"/>
          </w:tcPr>
          <w:p>
            <w:pPr>
              <w:pStyle w:val="TableContents"/>
              <w:spacing w:before="0" w:after="283"/>
              <w:rPr/>
            </w:pPr>
            <w:r>
              <w:rPr/>
              <w:t>  </w:t>
            </w:r>
          </w:p>
        </w:tc>
        <w:tc>
          <w:tcPr>
            <w:tcW w:w="268" w:type="dxa"/>
            <w:tcBorders/>
            <w:shd w:fill="CCEEFF" w:val="clear"/>
            <w:vAlign w:val="center"/>
          </w:tcPr>
          <w:p>
            <w:pPr>
              <w:pStyle w:val="TableContents"/>
              <w:spacing w:before="0" w:after="283"/>
              <w:rPr/>
            </w:pPr>
            <w:r>
              <w:rPr/>
              <w:t> </w:t>
            </w:r>
          </w:p>
        </w:tc>
        <w:tc>
          <w:tcPr>
            <w:tcW w:w="967" w:type="dxa"/>
            <w:tcBorders/>
            <w:shd w:fill="CCEEFF" w:val="clear"/>
            <w:vAlign w:val="center"/>
          </w:tcPr>
          <w:p>
            <w:pPr>
              <w:pStyle w:val="TableContents"/>
              <w:spacing w:before="0" w:after="0"/>
              <w:jc w:val="right"/>
              <w:rPr>
                <w:spacing w:val="0"/>
              </w:rPr>
            </w:pPr>
            <w:r>
              <w:rPr>
                <w:spacing w:val="0"/>
              </w:rPr>
              <w:t>443,038</w:t>
            </w:r>
          </w:p>
        </w:tc>
        <w:tc>
          <w:tcPr>
            <w:tcW w:w="9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282" w:type="dxa"/>
            <w:tcBorders/>
            <w:shd w:fill="CCEEFF" w:val="clear"/>
            <w:vAlign w:val="center"/>
          </w:tcPr>
          <w:p>
            <w:pPr>
              <w:pStyle w:val="TableContents"/>
              <w:spacing w:before="0" w:after="283"/>
              <w:rPr/>
            </w:pPr>
            <w:r>
              <w:rPr/>
              <w:t> </w:t>
            </w:r>
          </w:p>
        </w:tc>
        <w:tc>
          <w:tcPr>
            <w:tcW w:w="953" w:type="dxa"/>
            <w:tcBorders/>
            <w:shd w:fill="CCEEFF" w:val="clear"/>
            <w:vAlign w:val="center"/>
          </w:tcPr>
          <w:p>
            <w:pPr>
              <w:pStyle w:val="TableContents"/>
              <w:spacing w:before="0" w:after="283"/>
              <w:jc w:val="right"/>
              <w:rPr/>
            </w:pPr>
            <w:r>
              <w:rPr/>
              <w:t>401,823</w:t>
            </w:r>
          </w:p>
        </w:tc>
        <w:tc>
          <w:tcPr>
            <w:tcW w:w="230" w:type="dxa"/>
            <w:tcBorders/>
            <w:shd w:fill="CCEEFF" w:val="clear"/>
            <w:vAlign w:val="center"/>
          </w:tcPr>
          <w:p>
            <w:pPr>
              <w:pStyle w:val="TableContents"/>
              <w:spacing w:before="0" w:after="283"/>
              <w:rPr/>
            </w:pPr>
            <w:r>
              <w:rPr/>
              <w:t> </w:t>
            </w:r>
          </w:p>
        </w:tc>
      </w:tr>
      <w:tr>
        <w:trPr/>
        <w:tc>
          <w:tcPr>
            <w:tcW w:w="503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Trademark/tradename</w:t>
            </w:r>
          </w:p>
        </w:tc>
        <w:tc>
          <w:tcPr>
            <w:tcW w:w="120" w:type="dxa"/>
            <w:tcBorders/>
            <w:shd w:fill="auto" w:val="clear"/>
            <w:vAlign w:val="center"/>
          </w:tcPr>
          <w:p>
            <w:pPr>
              <w:pStyle w:val="TableContents"/>
              <w:spacing w:before="0" w:after="0"/>
              <w:rPr/>
            </w:pPr>
            <w:r>
              <w:rPr/>
              <w:t> </w:t>
            </w:r>
          </w:p>
        </w:tc>
        <w:tc>
          <w:tcPr>
            <w:tcW w:w="268" w:type="dxa"/>
            <w:tcBorders/>
            <w:shd w:fill="auto" w:val="clear"/>
            <w:vAlign w:val="center"/>
          </w:tcPr>
          <w:p>
            <w:pPr>
              <w:pStyle w:val="TableContents"/>
              <w:spacing w:before="0" w:after="0"/>
              <w:rPr/>
            </w:pPr>
            <w:r>
              <w:rPr/>
              <w:t> </w:t>
            </w:r>
          </w:p>
        </w:tc>
        <w:tc>
          <w:tcPr>
            <w:tcW w:w="967" w:type="dxa"/>
            <w:tcBorders/>
            <w:shd w:fill="auto" w:val="clear"/>
            <w:vAlign w:val="center"/>
          </w:tcPr>
          <w:p>
            <w:pPr>
              <w:pStyle w:val="TableContents"/>
              <w:spacing w:before="0" w:after="0"/>
              <w:jc w:val="right"/>
              <w:rPr/>
            </w:pPr>
            <w:r>
              <w:rPr/>
              <w:t>(21,583</w:t>
            </w:r>
          </w:p>
        </w:tc>
        <w:tc>
          <w:tcPr>
            <w:tcW w:w="95" w:type="dxa"/>
            <w:tcBorders/>
            <w:shd w:fill="auto" w:val="clear"/>
            <w:vAlign w:val="center"/>
          </w:tcPr>
          <w:p>
            <w:pPr>
              <w:pStyle w:val="TableContents"/>
              <w:spacing w:before="0" w:after="0"/>
              <w:rPr>
                <w:spacing w:val="0"/>
              </w:rPr>
            </w:pPr>
            <w:r>
              <w:rPr>
                <w:spacing w:val="0"/>
              </w:rPr>
              <w:t>)</w:t>
            </w:r>
          </w:p>
        </w:tc>
        <w:tc>
          <w:tcPr>
            <w:tcW w:w="120" w:type="dxa"/>
            <w:tcBorders/>
            <w:shd w:fill="auto" w:val="clear"/>
            <w:vAlign w:val="center"/>
          </w:tcPr>
          <w:p>
            <w:pPr>
              <w:pStyle w:val="TableContents"/>
              <w:spacing w:before="0" w:after="0"/>
              <w:rPr/>
            </w:pPr>
            <w:r>
              <w:rPr/>
              <w:t> </w:t>
            </w:r>
          </w:p>
        </w:tc>
        <w:tc>
          <w:tcPr>
            <w:tcW w:w="282" w:type="dxa"/>
            <w:tcBorders/>
            <w:shd w:fill="auto" w:val="clear"/>
            <w:vAlign w:val="center"/>
          </w:tcPr>
          <w:p>
            <w:pPr>
              <w:pStyle w:val="TableContents"/>
              <w:spacing w:before="0" w:after="0"/>
              <w:rPr/>
            </w:pPr>
            <w:r>
              <w:rPr/>
              <w:t> </w:t>
            </w:r>
          </w:p>
        </w:tc>
        <w:tc>
          <w:tcPr>
            <w:tcW w:w="953" w:type="dxa"/>
            <w:tcBorders/>
            <w:shd w:fill="auto" w:val="clear"/>
            <w:vAlign w:val="center"/>
          </w:tcPr>
          <w:p>
            <w:pPr>
              <w:pStyle w:val="TableContents"/>
              <w:spacing w:before="0" w:after="0"/>
              <w:jc w:val="right"/>
              <w:rPr>
                <w:spacing w:val="0"/>
              </w:rPr>
            </w:pPr>
            <w:r>
              <w:rPr>
                <w:spacing w:val="0"/>
              </w:rPr>
              <w:t xml:space="preserve">(21,583 </w:t>
            </w:r>
          </w:p>
        </w:tc>
        <w:tc>
          <w:tcPr>
            <w:tcW w:w="230" w:type="dxa"/>
            <w:tcBorders/>
            <w:shd w:fill="auto" w:val="clear"/>
            <w:vAlign w:val="center"/>
          </w:tcPr>
          <w:p>
            <w:pPr>
              <w:pStyle w:val="TableContents"/>
              <w:spacing w:before="0" w:after="283"/>
              <w:rPr/>
            </w:pPr>
            <w:r>
              <w:rPr/>
              <w:t>)  </w:t>
            </w:r>
          </w:p>
        </w:tc>
      </w:tr>
      <w:tr>
        <w:trPr/>
        <w:tc>
          <w:tcPr>
            <w:tcW w:w="503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Property and equipment</w:t>
            </w:r>
          </w:p>
        </w:tc>
        <w:tc>
          <w:tcPr>
            <w:tcW w:w="120" w:type="dxa"/>
            <w:tcBorders/>
            <w:shd w:fill="CCEEFF" w:val="clear"/>
            <w:vAlign w:val="center"/>
          </w:tcPr>
          <w:p>
            <w:pPr>
              <w:pStyle w:val="TableContents"/>
              <w:spacing w:before="0" w:after="0"/>
              <w:rPr/>
            </w:pPr>
            <w:r>
              <w:rPr/>
              <w:t> </w:t>
            </w:r>
          </w:p>
        </w:tc>
        <w:tc>
          <w:tcPr>
            <w:tcW w:w="268" w:type="dxa"/>
            <w:tcBorders/>
            <w:shd w:fill="CCEEFF" w:val="clear"/>
            <w:vAlign w:val="center"/>
          </w:tcPr>
          <w:p>
            <w:pPr>
              <w:pStyle w:val="TableContents"/>
              <w:spacing w:before="0" w:after="0"/>
              <w:rPr/>
            </w:pPr>
            <w:r>
              <w:rPr/>
              <w:t> </w:t>
            </w:r>
          </w:p>
        </w:tc>
        <w:tc>
          <w:tcPr>
            <w:tcW w:w="967" w:type="dxa"/>
            <w:tcBorders/>
            <w:shd w:fill="CCEEFF" w:val="clear"/>
            <w:vAlign w:val="center"/>
          </w:tcPr>
          <w:p>
            <w:pPr>
              <w:pStyle w:val="TableContents"/>
              <w:spacing w:before="0" w:after="0"/>
              <w:jc w:val="right"/>
              <w:rPr>
                <w:spacing w:val="0"/>
              </w:rPr>
            </w:pPr>
            <w:r>
              <w:rPr>
                <w:spacing w:val="0"/>
              </w:rPr>
              <w:t> </w:t>
            </w:r>
            <w:r>
              <w:rPr>
                <w:spacing w:val="0"/>
              </w:rPr>
              <w:t>(127,969</w:t>
            </w:r>
          </w:p>
        </w:tc>
        <w:tc>
          <w:tcPr>
            <w:tcW w:w="95" w:type="dxa"/>
            <w:tcBorders/>
            <w:shd w:fill="CCEEFF" w:val="clear"/>
            <w:vAlign w:val="center"/>
          </w:tcPr>
          <w:p>
            <w:pPr>
              <w:pStyle w:val="TableContents"/>
              <w:spacing w:before="0" w:after="0"/>
              <w:rPr>
                <w:spacing w:val="0"/>
              </w:rPr>
            </w:pPr>
            <w:r>
              <w:rPr>
                <w:spacing w:val="0"/>
              </w:rPr>
              <w:t>)</w:t>
            </w:r>
          </w:p>
        </w:tc>
        <w:tc>
          <w:tcPr>
            <w:tcW w:w="120" w:type="dxa"/>
            <w:tcBorders/>
            <w:shd w:fill="CCEEFF" w:val="clear"/>
            <w:vAlign w:val="center"/>
          </w:tcPr>
          <w:p>
            <w:pPr>
              <w:pStyle w:val="TableContents"/>
              <w:spacing w:before="0" w:after="0"/>
              <w:rPr/>
            </w:pPr>
            <w:r>
              <w:rPr/>
              <w:t> </w:t>
            </w:r>
          </w:p>
        </w:tc>
        <w:tc>
          <w:tcPr>
            <w:tcW w:w="282" w:type="dxa"/>
            <w:tcBorders/>
            <w:shd w:fill="CCEEFF" w:val="clear"/>
            <w:vAlign w:val="center"/>
          </w:tcPr>
          <w:p>
            <w:pPr>
              <w:pStyle w:val="TableContents"/>
              <w:spacing w:before="0" w:after="0"/>
              <w:rPr/>
            </w:pPr>
            <w:r>
              <w:rPr/>
              <w:t> </w:t>
            </w:r>
          </w:p>
        </w:tc>
        <w:tc>
          <w:tcPr>
            <w:tcW w:w="953" w:type="dxa"/>
            <w:tcBorders/>
            <w:shd w:fill="CCEEFF" w:val="clear"/>
            <w:vAlign w:val="center"/>
          </w:tcPr>
          <w:p>
            <w:pPr>
              <w:pStyle w:val="TableContents"/>
              <w:spacing w:before="0" w:after="0"/>
              <w:jc w:val="right"/>
              <w:rPr>
                <w:spacing w:val="0"/>
              </w:rPr>
            </w:pPr>
            <w:r>
              <w:rPr>
                <w:spacing w:val="0"/>
              </w:rPr>
              <w:t xml:space="preserve">(108,685 </w:t>
            </w:r>
          </w:p>
        </w:tc>
        <w:tc>
          <w:tcPr>
            <w:tcW w:w="230" w:type="dxa"/>
            <w:tcBorders/>
            <w:shd w:fill="CCEEFF" w:val="clear"/>
            <w:vAlign w:val="center"/>
          </w:tcPr>
          <w:p>
            <w:pPr>
              <w:pStyle w:val="TableContents"/>
              <w:spacing w:before="0" w:after="283"/>
              <w:rPr/>
            </w:pPr>
            <w:r>
              <w:rPr/>
              <w:t>) </w:t>
            </w:r>
          </w:p>
        </w:tc>
      </w:tr>
      <w:tr>
        <w:trPr/>
        <w:tc>
          <w:tcPr>
            <w:tcW w:w="503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Operating lease right of use asset</w:t>
            </w:r>
          </w:p>
        </w:tc>
        <w:tc>
          <w:tcPr>
            <w:tcW w:w="120" w:type="dxa"/>
            <w:tcBorders/>
            <w:shd w:fill="auto" w:val="clear"/>
            <w:vAlign w:val="center"/>
          </w:tcPr>
          <w:p>
            <w:pPr>
              <w:pStyle w:val="TableContents"/>
              <w:spacing w:before="0" w:after="0"/>
              <w:rPr/>
            </w:pPr>
            <w:r>
              <w:rPr/>
              <w:t> </w:t>
            </w:r>
          </w:p>
        </w:tc>
        <w:tc>
          <w:tcPr>
            <w:tcW w:w="268" w:type="dxa"/>
            <w:tcBorders/>
            <w:shd w:fill="auto" w:val="clear"/>
            <w:vAlign w:val="center"/>
          </w:tcPr>
          <w:p>
            <w:pPr>
              <w:pStyle w:val="TableContents"/>
              <w:spacing w:before="0" w:after="0"/>
              <w:rPr/>
            </w:pPr>
            <w:r>
              <w:rPr/>
              <w:t> </w:t>
            </w:r>
          </w:p>
        </w:tc>
        <w:tc>
          <w:tcPr>
            <w:tcW w:w="967" w:type="dxa"/>
            <w:tcBorders/>
            <w:shd w:fill="auto" w:val="clear"/>
            <w:vAlign w:val="center"/>
          </w:tcPr>
          <w:p>
            <w:pPr>
              <w:pStyle w:val="TableContents"/>
              <w:spacing w:before="0" w:after="0"/>
              <w:jc w:val="right"/>
              <w:rPr>
                <w:spacing w:val="0"/>
              </w:rPr>
            </w:pPr>
            <w:r>
              <w:rPr>
                <w:spacing w:val="0"/>
              </w:rPr>
              <w:t> </w:t>
            </w:r>
          </w:p>
          <w:p>
            <w:pPr>
              <w:pStyle w:val="TableContents"/>
              <w:spacing w:before="0" w:after="0"/>
              <w:jc w:val="right"/>
              <w:rPr>
                <w:spacing w:val="0"/>
              </w:rPr>
            </w:pPr>
            <w:r>
              <w:rPr>
                <w:spacing w:val="0"/>
              </w:rPr>
              <w:t> </w:t>
            </w:r>
            <w:r>
              <w:rPr>
                <w:spacing w:val="0"/>
              </w:rPr>
              <w:t>(287,030</w:t>
            </w:r>
          </w:p>
        </w:tc>
        <w:tc>
          <w:tcPr>
            <w:tcW w:w="95" w:type="dxa"/>
            <w:tcBorders/>
            <w:shd w:fill="auto" w:val="clear"/>
            <w:vAlign w:val="center"/>
          </w:tcPr>
          <w:p>
            <w:pPr>
              <w:pStyle w:val="TableContents"/>
              <w:spacing w:before="0" w:after="0"/>
              <w:rPr>
                <w:spacing w:val="0"/>
              </w:rPr>
            </w:pPr>
            <w:r>
              <w:rPr>
                <w:spacing w:val="0"/>
              </w:rPr>
              <w:t>)</w:t>
            </w:r>
          </w:p>
        </w:tc>
        <w:tc>
          <w:tcPr>
            <w:tcW w:w="120" w:type="dxa"/>
            <w:tcBorders/>
            <w:shd w:fill="auto" w:val="clear"/>
            <w:vAlign w:val="center"/>
          </w:tcPr>
          <w:p>
            <w:pPr>
              <w:pStyle w:val="TableContents"/>
              <w:spacing w:before="0" w:after="0"/>
              <w:rPr/>
            </w:pPr>
            <w:r>
              <w:rPr/>
              <w:t> </w:t>
            </w:r>
          </w:p>
        </w:tc>
        <w:tc>
          <w:tcPr>
            <w:tcW w:w="282" w:type="dxa"/>
            <w:tcBorders/>
            <w:shd w:fill="auto" w:val="clear"/>
            <w:vAlign w:val="center"/>
          </w:tcPr>
          <w:p>
            <w:pPr>
              <w:pStyle w:val="TableContents"/>
              <w:spacing w:before="0" w:after="0"/>
              <w:rPr/>
            </w:pPr>
            <w:r>
              <w:rPr/>
              <w:t> </w:t>
            </w:r>
          </w:p>
        </w:tc>
        <w:tc>
          <w:tcPr>
            <w:tcW w:w="953" w:type="dxa"/>
            <w:tcBorders/>
            <w:shd w:fill="auto" w:val="clear"/>
            <w:vAlign w:val="center"/>
          </w:tcPr>
          <w:p>
            <w:pPr>
              <w:pStyle w:val="TableContents"/>
              <w:spacing w:before="0" w:after="0"/>
              <w:jc w:val="right"/>
              <w:rPr>
                <w:spacing w:val="0"/>
              </w:rPr>
            </w:pPr>
            <w:r>
              <w:rPr>
                <w:spacing w:val="0"/>
              </w:rPr>
              <w:t xml:space="preserve">(279,812 </w:t>
            </w:r>
          </w:p>
        </w:tc>
        <w:tc>
          <w:tcPr>
            <w:tcW w:w="230" w:type="dxa"/>
            <w:tcBorders/>
            <w:shd w:fill="auto" w:val="clear"/>
            <w:vAlign w:val="center"/>
          </w:tcPr>
          <w:p>
            <w:pPr>
              <w:pStyle w:val="TableContents"/>
              <w:spacing w:before="0" w:after="283"/>
              <w:rPr/>
            </w:pPr>
            <w:r>
              <w:rPr/>
              <w:t>) </w:t>
            </w:r>
          </w:p>
        </w:tc>
      </w:tr>
      <w:tr>
        <w:trPr/>
        <w:tc>
          <w:tcPr>
            <w:tcW w:w="503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Other</w:t>
            </w:r>
          </w:p>
        </w:tc>
        <w:tc>
          <w:tcPr>
            <w:tcW w:w="120" w:type="dxa"/>
            <w:tcBorders/>
            <w:shd w:fill="CCEEFF" w:val="clear"/>
            <w:vAlign w:val="center"/>
          </w:tcPr>
          <w:p>
            <w:pPr>
              <w:pStyle w:val="TableContents"/>
              <w:spacing w:before="0" w:after="0"/>
              <w:rPr/>
            </w:pPr>
            <w:r>
              <w:rPr/>
              <w:t> </w:t>
            </w:r>
          </w:p>
        </w:tc>
        <w:tc>
          <w:tcPr>
            <w:tcW w:w="268" w:type="dxa"/>
            <w:tcBorders/>
            <w:shd w:fill="CCEEFF" w:val="clear"/>
            <w:vAlign w:val="center"/>
          </w:tcPr>
          <w:p>
            <w:pPr>
              <w:pStyle w:val="TableContents"/>
              <w:spacing w:before="0" w:after="0"/>
              <w:rPr/>
            </w:pPr>
            <w:r>
              <w:rPr/>
              <w:t> </w:t>
            </w:r>
          </w:p>
        </w:tc>
        <w:tc>
          <w:tcPr>
            <w:tcW w:w="967" w:type="dxa"/>
            <w:tcBorders/>
            <w:shd w:fill="CCEEFF" w:val="clear"/>
            <w:vAlign w:val="center"/>
          </w:tcPr>
          <w:p>
            <w:pPr>
              <w:pStyle w:val="TableContents"/>
              <w:spacing w:before="0" w:after="0"/>
              <w:jc w:val="right"/>
              <w:rPr/>
            </w:pPr>
            <w:r>
              <w:rPr/>
              <w:t>(493</w:t>
            </w:r>
          </w:p>
        </w:tc>
        <w:tc>
          <w:tcPr>
            <w:tcW w:w="95" w:type="dxa"/>
            <w:tcBorders/>
            <w:shd w:fill="CCEEFF" w:val="clear"/>
            <w:vAlign w:val="center"/>
          </w:tcPr>
          <w:p>
            <w:pPr>
              <w:pStyle w:val="TableContents"/>
              <w:spacing w:before="0" w:after="0"/>
              <w:rPr>
                <w:spacing w:val="0"/>
              </w:rPr>
            </w:pPr>
            <w:r>
              <w:rPr>
                <w:spacing w:val="0"/>
              </w:rPr>
              <w:t>)</w:t>
            </w:r>
          </w:p>
        </w:tc>
        <w:tc>
          <w:tcPr>
            <w:tcW w:w="120" w:type="dxa"/>
            <w:tcBorders/>
            <w:shd w:fill="CCEEFF" w:val="clear"/>
            <w:vAlign w:val="center"/>
          </w:tcPr>
          <w:p>
            <w:pPr>
              <w:pStyle w:val="TableContents"/>
              <w:spacing w:before="0" w:after="0"/>
              <w:rPr/>
            </w:pPr>
            <w:r>
              <w:rPr/>
              <w:t> </w:t>
            </w:r>
          </w:p>
        </w:tc>
        <w:tc>
          <w:tcPr>
            <w:tcW w:w="282" w:type="dxa"/>
            <w:tcBorders/>
            <w:shd w:fill="CCEEFF" w:val="clear"/>
            <w:vAlign w:val="center"/>
          </w:tcPr>
          <w:p>
            <w:pPr>
              <w:pStyle w:val="TableContents"/>
              <w:spacing w:before="0" w:after="0"/>
              <w:rPr/>
            </w:pPr>
            <w:r>
              <w:rPr/>
              <w:t> </w:t>
            </w:r>
          </w:p>
        </w:tc>
        <w:tc>
          <w:tcPr>
            <w:tcW w:w="953" w:type="dxa"/>
            <w:tcBorders/>
            <w:shd w:fill="CCEEFF" w:val="clear"/>
            <w:vAlign w:val="center"/>
          </w:tcPr>
          <w:p>
            <w:pPr>
              <w:pStyle w:val="TableContents"/>
              <w:spacing w:before="0" w:after="0"/>
              <w:jc w:val="right"/>
              <w:rPr>
                <w:spacing w:val="0"/>
              </w:rPr>
            </w:pPr>
            <w:r>
              <w:rPr>
                <w:spacing w:val="0"/>
              </w:rPr>
              <w:t>(586</w:t>
            </w:r>
          </w:p>
        </w:tc>
        <w:tc>
          <w:tcPr>
            <w:tcW w:w="230" w:type="dxa"/>
            <w:tcBorders/>
            <w:shd w:fill="CCEEFF" w:val="clear"/>
            <w:vAlign w:val="center"/>
          </w:tcPr>
          <w:p>
            <w:pPr>
              <w:pStyle w:val="TableContents"/>
              <w:spacing w:before="0" w:after="0"/>
              <w:rPr>
                <w:spacing w:val="0"/>
              </w:rPr>
            </w:pPr>
            <w:r>
              <w:rPr>
                <w:spacing w:val="0"/>
              </w:rPr>
              <w:t>)</w:t>
            </w:r>
          </w:p>
          <w:p>
            <w:pPr>
              <w:pStyle w:val="TableContents"/>
              <w:spacing w:before="0" w:after="0"/>
              <w:rPr/>
            </w:pPr>
            <w:r>
              <w:rPr/>
              <w:t> </w:t>
            </w:r>
          </w:p>
        </w:tc>
      </w:tr>
      <w:tr>
        <w:trPr/>
        <w:tc>
          <w:tcPr>
            <w:tcW w:w="503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68" w:type="dxa"/>
            <w:tcBorders/>
            <w:shd w:fill="auto" w:val="clear"/>
            <w:vAlign w:val="center"/>
          </w:tcPr>
          <w:p>
            <w:pPr>
              <w:pStyle w:val="TableContents"/>
              <w:spacing w:before="0" w:after="0"/>
              <w:rPr>
                <w:bdr w:val="single" w:sz="2" w:space="1" w:color="000000"/>
              </w:rPr>
            </w:pPr>
            <w:r>
              <w:rPr>
                <w:bdr w:val="single" w:sz="2" w:space="1" w:color="000000"/>
              </w:rPr>
              <w:t> </w:t>
            </w:r>
          </w:p>
        </w:tc>
        <w:tc>
          <w:tcPr>
            <w:tcW w:w="967" w:type="dxa"/>
            <w:tcBorders/>
            <w:shd w:fill="auto" w:val="clear"/>
            <w:vAlign w:val="center"/>
          </w:tcPr>
          <w:p>
            <w:pPr>
              <w:pStyle w:val="TableContents"/>
              <w:spacing w:before="0" w:after="0"/>
              <w:rPr>
                <w:bdr w:val="single" w:sz="2" w:space="1" w:color="000000"/>
              </w:rPr>
            </w:pPr>
            <w:r>
              <w:rPr>
                <w:bdr w:val="single" w:sz="2" w:space="1" w:color="000000"/>
              </w:rPr>
              <w:t> </w:t>
            </w:r>
          </w:p>
        </w:tc>
        <w:tc>
          <w:tcPr>
            <w:tcW w:w="9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82" w:type="dxa"/>
            <w:tcBorders/>
            <w:shd w:fill="auto" w:val="clear"/>
            <w:vAlign w:val="center"/>
          </w:tcPr>
          <w:p>
            <w:pPr>
              <w:pStyle w:val="TableContents"/>
              <w:spacing w:before="0" w:after="0"/>
              <w:rPr/>
            </w:pPr>
            <w:r>
              <w:rPr/>
              <w:t> </w:t>
            </w:r>
          </w:p>
        </w:tc>
        <w:tc>
          <w:tcPr>
            <w:tcW w:w="953" w:type="dxa"/>
            <w:tcBorders/>
            <w:shd w:fill="auto" w:val="clear"/>
            <w:vAlign w:val="center"/>
          </w:tcPr>
          <w:p>
            <w:pPr>
              <w:pStyle w:val="TableContents"/>
              <w:spacing w:before="0" w:after="0"/>
              <w:rPr>
                <w:bdr w:val="single" w:sz="2" w:space="1" w:color="000000"/>
              </w:rPr>
            </w:pPr>
            <w:r>
              <w:rPr>
                <w:bdr w:val="single" w:sz="2" w:space="1" w:color="000000"/>
              </w:rPr>
              <w:t> </w:t>
            </w:r>
          </w:p>
        </w:tc>
        <w:tc>
          <w:tcPr>
            <w:tcW w:w="230" w:type="dxa"/>
            <w:tcBorders/>
            <w:shd w:fill="auto" w:val="clear"/>
            <w:vAlign w:val="center"/>
          </w:tcPr>
          <w:p>
            <w:pPr>
              <w:pStyle w:val="TableContents"/>
              <w:spacing w:before="0" w:after="283"/>
              <w:rPr/>
            </w:pPr>
            <w:r>
              <w:rPr/>
              <w:t> </w:t>
            </w:r>
          </w:p>
        </w:tc>
      </w:tr>
      <w:tr>
        <w:trPr/>
        <w:tc>
          <w:tcPr>
            <w:tcW w:w="503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Total deferred tax liabilitie</w:t>
            </w:r>
          </w:p>
          <w:p>
            <w:pPr>
              <w:pStyle w:val="TableContents"/>
              <w:spacing w:before="0" w:after="0"/>
              <w:rPr>
                <w:rFonts w:ascii="Times New Roman" w:hAnsi="Times New Roman"/>
                <w:spacing w:val="0"/>
                <w:sz w:val="20"/>
              </w:rPr>
            </w:pPr>
            <w:r>
              <w:rPr>
                <w:rFonts w:ascii="Times New Roman" w:hAnsi="Times New Roman"/>
                <w:spacing w:val="0"/>
                <w:sz w:val="20"/>
              </w:rPr>
              <w:t>s</w:t>
            </w:r>
          </w:p>
        </w:tc>
        <w:tc>
          <w:tcPr>
            <w:tcW w:w="120" w:type="dxa"/>
            <w:tcBorders/>
            <w:shd w:fill="auto" w:val="clear"/>
            <w:vAlign w:val="center"/>
          </w:tcPr>
          <w:p>
            <w:pPr>
              <w:pStyle w:val="TableContents"/>
              <w:spacing w:before="0" w:after="283"/>
              <w:rPr/>
            </w:pPr>
            <w:r>
              <w:rPr/>
              <w:t>  </w:t>
            </w:r>
          </w:p>
        </w:tc>
        <w:tc>
          <w:tcPr>
            <w:tcW w:w="268" w:type="dxa"/>
            <w:tcBorders/>
            <w:shd w:fill="auto" w:val="clear"/>
            <w:vAlign w:val="center"/>
          </w:tcPr>
          <w:p>
            <w:pPr>
              <w:pStyle w:val="TableContents"/>
              <w:spacing w:before="0" w:after="283"/>
              <w:rPr/>
            </w:pPr>
            <w:r>
              <w:rPr/>
              <w:t> </w:t>
            </w:r>
          </w:p>
        </w:tc>
        <w:tc>
          <w:tcPr>
            <w:tcW w:w="967" w:type="dxa"/>
            <w:tcBorders/>
            <w:shd w:fill="auto" w:val="clear"/>
            <w:vAlign w:val="center"/>
          </w:tcPr>
          <w:p>
            <w:pPr>
              <w:pStyle w:val="TableContents"/>
              <w:spacing w:before="0" w:after="0"/>
              <w:jc w:val="right"/>
              <w:rPr>
                <w:spacing w:val="0"/>
              </w:rPr>
            </w:pPr>
            <w:r>
              <w:rPr>
                <w:spacing w:val="0"/>
              </w:rPr>
              <w:t>(437,075</w:t>
            </w:r>
          </w:p>
        </w:tc>
        <w:tc>
          <w:tcPr>
            <w:tcW w:w="95" w:type="dxa"/>
            <w:tcBorders/>
            <w:shd w:fill="auto" w:val="clear"/>
            <w:vAlign w:val="center"/>
          </w:tcPr>
          <w:p>
            <w:pPr>
              <w:pStyle w:val="TableContents"/>
              <w:spacing w:before="0" w:after="0"/>
              <w:rPr>
                <w:spacing w:val="0"/>
              </w:rPr>
            </w:pPr>
            <w:r>
              <w:rPr>
                <w:spacing w:val="0"/>
              </w:rPr>
              <w:t>)</w:t>
            </w:r>
          </w:p>
        </w:tc>
        <w:tc>
          <w:tcPr>
            <w:tcW w:w="120" w:type="dxa"/>
            <w:tcBorders/>
            <w:shd w:fill="auto" w:val="clear"/>
            <w:vAlign w:val="center"/>
          </w:tcPr>
          <w:p>
            <w:pPr>
              <w:pStyle w:val="TableContents"/>
              <w:spacing w:before="0" w:after="283"/>
              <w:rPr/>
            </w:pPr>
            <w:r>
              <w:rPr/>
              <w:t>  </w:t>
            </w:r>
          </w:p>
        </w:tc>
        <w:tc>
          <w:tcPr>
            <w:tcW w:w="282" w:type="dxa"/>
            <w:tcBorders/>
            <w:shd w:fill="auto" w:val="clear"/>
            <w:vAlign w:val="center"/>
          </w:tcPr>
          <w:p>
            <w:pPr>
              <w:pStyle w:val="TableContents"/>
              <w:spacing w:before="0" w:after="283"/>
              <w:rPr/>
            </w:pPr>
            <w:r>
              <w:rPr/>
              <w:t> </w:t>
            </w:r>
          </w:p>
        </w:tc>
        <w:tc>
          <w:tcPr>
            <w:tcW w:w="953" w:type="dxa"/>
            <w:tcBorders/>
            <w:shd w:fill="auto" w:val="clear"/>
            <w:vAlign w:val="center"/>
          </w:tcPr>
          <w:p>
            <w:pPr>
              <w:pStyle w:val="TableContents"/>
              <w:spacing w:before="0" w:after="283"/>
              <w:jc w:val="right"/>
              <w:rPr/>
            </w:pPr>
            <w:r>
              <w:rPr/>
              <w:t>(410,666</w:t>
            </w:r>
          </w:p>
        </w:tc>
        <w:tc>
          <w:tcPr>
            <w:tcW w:w="230" w:type="dxa"/>
            <w:tcBorders/>
            <w:shd w:fill="auto" w:val="clear"/>
            <w:vAlign w:val="center"/>
          </w:tcPr>
          <w:p>
            <w:pPr>
              <w:pStyle w:val="TableContents"/>
              <w:spacing w:before="0" w:after="283"/>
              <w:rPr/>
            </w:pPr>
            <w:r>
              <w:rPr/>
              <w:t>) </w:t>
            </w:r>
          </w:p>
        </w:tc>
      </w:tr>
      <w:tr>
        <w:trPr/>
        <w:tc>
          <w:tcPr>
            <w:tcW w:w="503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268" w:type="dxa"/>
            <w:tcBorders/>
            <w:shd w:fill="CCEEFF" w:val="clear"/>
            <w:vAlign w:val="center"/>
          </w:tcPr>
          <w:p>
            <w:pPr>
              <w:pStyle w:val="TableContents"/>
              <w:spacing w:before="0" w:after="0"/>
              <w:rPr>
                <w:bdr w:val="single" w:sz="2" w:space="1" w:color="000000"/>
              </w:rPr>
            </w:pPr>
            <w:r>
              <w:rPr>
                <w:bdr w:val="single" w:sz="2" w:space="1" w:color="000000"/>
              </w:rPr>
              <w:t> </w:t>
            </w:r>
          </w:p>
        </w:tc>
        <w:tc>
          <w:tcPr>
            <w:tcW w:w="967" w:type="dxa"/>
            <w:tcBorders/>
            <w:shd w:fill="CCEEFF" w:val="clear"/>
            <w:vAlign w:val="center"/>
          </w:tcPr>
          <w:p>
            <w:pPr>
              <w:pStyle w:val="TableContents"/>
              <w:spacing w:before="0" w:after="0"/>
              <w:rPr>
                <w:bdr w:val="single" w:sz="2" w:space="1" w:color="000000"/>
              </w:rPr>
            </w:pPr>
            <w:r>
              <w:rPr>
                <w:bdr w:val="single" w:sz="2" w:space="1" w:color="000000"/>
              </w:rPr>
              <w:t> </w:t>
            </w:r>
          </w:p>
        </w:tc>
        <w:tc>
          <w:tcPr>
            <w:tcW w:w="9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282" w:type="dxa"/>
            <w:tcBorders/>
            <w:shd w:fill="CCEEFF" w:val="clear"/>
            <w:vAlign w:val="center"/>
          </w:tcPr>
          <w:p>
            <w:pPr>
              <w:pStyle w:val="TableContents"/>
              <w:spacing w:before="0" w:after="0"/>
              <w:rPr>
                <w:bdr w:val="single" w:sz="2" w:space="1" w:color="000000"/>
              </w:rPr>
            </w:pPr>
            <w:r>
              <w:rPr>
                <w:bdr w:val="single" w:sz="2" w:space="1" w:color="000000"/>
              </w:rPr>
              <w:t> </w:t>
            </w:r>
          </w:p>
        </w:tc>
        <w:tc>
          <w:tcPr>
            <w:tcW w:w="953" w:type="dxa"/>
            <w:tcBorders/>
            <w:shd w:fill="CCEEFF" w:val="clear"/>
            <w:vAlign w:val="center"/>
          </w:tcPr>
          <w:p>
            <w:pPr>
              <w:pStyle w:val="TableContents"/>
              <w:spacing w:before="0" w:after="0"/>
              <w:rPr>
                <w:bdr w:val="single" w:sz="2" w:space="1" w:color="000000"/>
              </w:rPr>
            </w:pPr>
            <w:r>
              <w:rPr>
                <w:bdr w:val="single" w:sz="2" w:space="1" w:color="000000"/>
              </w:rPr>
              <w:t> </w:t>
            </w:r>
          </w:p>
        </w:tc>
        <w:tc>
          <w:tcPr>
            <w:tcW w:w="230" w:type="dxa"/>
            <w:tcBorders/>
            <w:shd w:fill="CCEEFF" w:val="clear"/>
            <w:vAlign w:val="center"/>
          </w:tcPr>
          <w:p>
            <w:pPr>
              <w:pStyle w:val="TableContents"/>
              <w:spacing w:before="0" w:after="283"/>
              <w:rPr/>
            </w:pPr>
            <w:r>
              <w:rPr/>
              <w:t> </w:t>
            </w:r>
          </w:p>
        </w:tc>
      </w:tr>
      <w:tr>
        <w:trPr/>
        <w:tc>
          <w:tcPr>
            <w:tcW w:w="5030" w:type="dxa"/>
            <w:tcBorders/>
            <w:shd w:fill="CCEEFF" w:val="clear"/>
            <w:vAlign w:val="center"/>
          </w:tcPr>
          <w:p>
            <w:pPr>
              <w:pStyle w:val="TableContents"/>
              <w:spacing w:before="0" w:after="0"/>
              <w:rPr>
                <w:rFonts w:ascii="Times New Roman" w:hAnsi="Times New Roman"/>
                <w:b/>
                <w:sz w:val="20"/>
              </w:rPr>
            </w:pPr>
            <w:r>
              <w:rPr>
                <w:rFonts w:ascii="Times New Roman" w:hAnsi="Times New Roman"/>
                <w:b/>
                <w:sz w:val="20"/>
              </w:rPr>
              <w:t>Net deferred tax asset (liability) before valuation allowance</w:t>
            </w:r>
          </w:p>
        </w:tc>
        <w:tc>
          <w:tcPr>
            <w:tcW w:w="120" w:type="dxa"/>
            <w:tcBorders/>
            <w:shd w:fill="CCEEFF" w:val="clear"/>
            <w:vAlign w:val="center"/>
          </w:tcPr>
          <w:p>
            <w:pPr>
              <w:pStyle w:val="TableContents"/>
              <w:spacing w:before="0" w:after="283"/>
              <w:rPr/>
            </w:pPr>
            <w:r>
              <w:rPr/>
              <w:t>  </w:t>
            </w:r>
          </w:p>
        </w:tc>
        <w:tc>
          <w:tcPr>
            <w:tcW w:w="268" w:type="dxa"/>
            <w:tcBorders/>
            <w:shd w:fill="CCEEFF" w:val="clear"/>
            <w:vAlign w:val="center"/>
          </w:tcPr>
          <w:p>
            <w:pPr>
              <w:pStyle w:val="TableContents"/>
              <w:spacing w:before="0" w:after="283"/>
              <w:rPr/>
            </w:pPr>
            <w:r>
              <w:rPr/>
              <w:t> </w:t>
            </w:r>
          </w:p>
        </w:tc>
        <w:tc>
          <w:tcPr>
            <w:tcW w:w="967" w:type="dxa"/>
            <w:tcBorders/>
            <w:shd w:fill="CCEEFF" w:val="clear"/>
            <w:vAlign w:val="center"/>
          </w:tcPr>
          <w:p>
            <w:pPr>
              <w:pStyle w:val="TableContents"/>
              <w:spacing w:before="0" w:after="283"/>
              <w:jc w:val="right"/>
              <w:rPr/>
            </w:pPr>
            <w:r>
              <w:rPr/>
              <w:t>5,963</w:t>
            </w:r>
          </w:p>
        </w:tc>
        <w:tc>
          <w:tcPr>
            <w:tcW w:w="9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282" w:type="dxa"/>
            <w:tcBorders/>
            <w:shd w:fill="CCEEFF" w:val="clear"/>
            <w:vAlign w:val="center"/>
          </w:tcPr>
          <w:p>
            <w:pPr>
              <w:pStyle w:val="TableContents"/>
              <w:spacing w:before="0" w:after="283"/>
              <w:rPr/>
            </w:pPr>
            <w:r>
              <w:rPr/>
              <w:t> </w:t>
            </w:r>
          </w:p>
        </w:tc>
        <w:tc>
          <w:tcPr>
            <w:tcW w:w="953" w:type="dxa"/>
            <w:tcBorders/>
            <w:shd w:fill="CCEEFF" w:val="clear"/>
            <w:vAlign w:val="center"/>
          </w:tcPr>
          <w:p>
            <w:pPr>
              <w:pStyle w:val="TableContents"/>
              <w:spacing w:before="0" w:after="283"/>
              <w:jc w:val="right"/>
              <w:rPr/>
            </w:pPr>
            <w:r>
              <w:rPr/>
              <w:t>(8,843</w:t>
            </w:r>
          </w:p>
        </w:tc>
        <w:tc>
          <w:tcPr>
            <w:tcW w:w="230" w:type="dxa"/>
            <w:tcBorders/>
            <w:shd w:fill="CCEEFF" w:val="clear"/>
            <w:vAlign w:val="center"/>
          </w:tcPr>
          <w:p>
            <w:pPr>
              <w:pStyle w:val="TableContents"/>
              <w:spacing w:before="0" w:after="283"/>
              <w:rPr/>
            </w:pPr>
            <w:r>
              <w:rPr/>
              <w:t>)</w:t>
            </w:r>
          </w:p>
        </w:tc>
      </w:tr>
      <w:tr>
        <w:trPr/>
        <w:tc>
          <w:tcPr>
            <w:tcW w:w="503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Valuation allowanc</w:t>
            </w:r>
          </w:p>
          <w:p>
            <w:pPr>
              <w:pStyle w:val="TableContents"/>
              <w:spacing w:before="0" w:after="0"/>
              <w:rPr>
                <w:rFonts w:ascii="Times New Roman" w:hAnsi="Times New Roman"/>
                <w:spacing w:val="0"/>
                <w:sz w:val="20"/>
              </w:rPr>
            </w:pPr>
            <w:r>
              <w:rPr>
                <w:rFonts w:ascii="Times New Roman" w:hAnsi="Times New Roman"/>
                <w:spacing w:val="0"/>
                <w:sz w:val="20"/>
              </w:rPr>
              <w:t>e</w:t>
            </w:r>
          </w:p>
        </w:tc>
        <w:tc>
          <w:tcPr>
            <w:tcW w:w="120" w:type="dxa"/>
            <w:tcBorders/>
            <w:shd w:fill="auto" w:val="clear"/>
            <w:vAlign w:val="center"/>
          </w:tcPr>
          <w:p>
            <w:pPr>
              <w:pStyle w:val="TableContents"/>
              <w:spacing w:before="0" w:after="0"/>
              <w:rPr/>
            </w:pPr>
            <w:r>
              <w:rPr/>
              <w:t> </w:t>
            </w:r>
          </w:p>
        </w:tc>
        <w:tc>
          <w:tcPr>
            <w:tcW w:w="268" w:type="dxa"/>
            <w:tcBorders>
              <w:bottom w:val="single" w:sz="6" w:space="0" w:color="000000"/>
            </w:tcBorders>
            <w:shd w:fill="auto" w:val="clear"/>
            <w:tcMar>
              <w:bottom w:w="28" w:type="dxa"/>
            </w:tcMar>
            <w:vAlign w:val="center"/>
          </w:tcPr>
          <w:p>
            <w:pPr>
              <w:pStyle w:val="TableContents"/>
              <w:spacing w:before="0" w:after="0"/>
              <w:rPr/>
            </w:pPr>
            <w:r>
              <w:rPr/>
              <w:t> </w:t>
            </w:r>
          </w:p>
        </w:tc>
        <w:tc>
          <w:tcPr>
            <w:tcW w:w="967" w:type="dxa"/>
            <w:tcBorders>
              <w:bottom w:val="single" w:sz="6" w:space="0" w:color="000000"/>
            </w:tcBorders>
            <w:shd w:fill="auto" w:val="clear"/>
            <w:tcMar>
              <w:bottom w:w="28" w:type="dxa"/>
            </w:tcMar>
            <w:vAlign w:val="center"/>
          </w:tcPr>
          <w:p>
            <w:pPr>
              <w:pStyle w:val="TableContents"/>
              <w:spacing w:before="0" w:after="0"/>
              <w:jc w:val="right"/>
              <w:rPr>
                <w:spacing w:val="0"/>
              </w:rPr>
            </w:pPr>
            <w:r>
              <w:rPr>
                <w:spacing w:val="0"/>
              </w:rPr>
              <w:t>(13,747</w:t>
            </w:r>
          </w:p>
        </w:tc>
        <w:tc>
          <w:tcPr>
            <w:tcW w:w="95" w:type="dxa"/>
            <w:tcBorders/>
            <w:shd w:fill="auto" w:val="clear"/>
            <w:vAlign w:val="center"/>
          </w:tcPr>
          <w:p>
            <w:pPr>
              <w:pStyle w:val="TableContents"/>
              <w:spacing w:before="0" w:after="0"/>
              <w:rPr>
                <w:spacing w:val="0"/>
              </w:rPr>
            </w:pPr>
            <w:r>
              <w:rPr>
                <w:spacing w:val="0"/>
              </w:rPr>
              <w:t>)</w:t>
            </w:r>
          </w:p>
        </w:tc>
        <w:tc>
          <w:tcPr>
            <w:tcW w:w="120" w:type="dxa"/>
            <w:tcBorders/>
            <w:shd w:fill="auto" w:val="clear"/>
            <w:vAlign w:val="center"/>
          </w:tcPr>
          <w:p>
            <w:pPr>
              <w:pStyle w:val="TableContents"/>
              <w:spacing w:before="0" w:after="0"/>
              <w:rPr/>
            </w:pPr>
            <w:r>
              <w:rPr/>
              <w:t> </w:t>
            </w:r>
          </w:p>
        </w:tc>
        <w:tc>
          <w:tcPr>
            <w:tcW w:w="282" w:type="dxa"/>
            <w:tcBorders>
              <w:bottom w:val="single" w:sz="6" w:space="0" w:color="000000"/>
            </w:tcBorders>
            <w:shd w:fill="auto" w:val="clear"/>
            <w:tcMar>
              <w:bottom w:w="28" w:type="dxa"/>
            </w:tcMar>
            <w:vAlign w:val="center"/>
          </w:tcPr>
          <w:p>
            <w:pPr>
              <w:pStyle w:val="TableContents"/>
              <w:spacing w:before="0" w:after="0"/>
              <w:rPr/>
            </w:pPr>
            <w:r>
              <w:rPr/>
              <w:t> </w:t>
            </w:r>
          </w:p>
        </w:tc>
        <w:tc>
          <w:tcPr>
            <w:tcW w:w="953" w:type="dxa"/>
            <w:tcBorders>
              <w:bottom w:val="single" w:sz="6" w:space="0" w:color="000000"/>
            </w:tcBorders>
            <w:shd w:fill="auto" w:val="clear"/>
            <w:tcMar>
              <w:bottom w:w="28" w:type="dxa"/>
            </w:tcMar>
            <w:vAlign w:val="center"/>
          </w:tcPr>
          <w:p>
            <w:pPr>
              <w:pStyle w:val="TableContents"/>
              <w:spacing w:before="0" w:after="0"/>
              <w:jc w:val="right"/>
              <w:rPr>
                <w:spacing w:val="0"/>
              </w:rPr>
            </w:pPr>
            <w:r>
              <w:rPr>
                <w:spacing w:val="0"/>
              </w:rPr>
              <w:t>(2,620</w:t>
            </w:r>
          </w:p>
        </w:tc>
        <w:tc>
          <w:tcPr>
            <w:tcW w:w="230" w:type="dxa"/>
            <w:tcBorders/>
            <w:shd w:fill="auto" w:val="clear"/>
            <w:vAlign w:val="center"/>
          </w:tcPr>
          <w:p>
            <w:pPr>
              <w:pStyle w:val="TableContents"/>
              <w:spacing w:before="0" w:after="283"/>
              <w:rPr/>
            </w:pPr>
            <w:r>
              <w:rPr/>
              <w:t>)</w:t>
            </w:r>
          </w:p>
        </w:tc>
      </w:tr>
      <w:tr>
        <w:trPr/>
        <w:tc>
          <w:tcPr>
            <w:tcW w:w="5030" w:type="dxa"/>
            <w:tcBorders/>
            <w:shd w:fill="CCEEFF" w:val="clear"/>
            <w:vAlign w:val="center"/>
          </w:tcPr>
          <w:p>
            <w:pPr>
              <w:pStyle w:val="TableContents"/>
              <w:spacing w:before="0" w:after="0"/>
              <w:rPr>
                <w:rFonts w:ascii="Times New Roman" w:hAnsi="Times New Roman"/>
                <w:b/>
                <w:spacing w:val="0"/>
                <w:sz w:val="20"/>
              </w:rPr>
            </w:pPr>
            <w:r>
              <w:rPr>
                <w:rFonts w:ascii="Times New Roman" w:hAnsi="Times New Roman"/>
                <w:b/>
                <w:spacing w:val="0"/>
                <w:sz w:val="20"/>
              </w:rPr>
              <w:t>Net deferred tax liability</w:t>
            </w:r>
          </w:p>
        </w:tc>
        <w:tc>
          <w:tcPr>
            <w:tcW w:w="120" w:type="dxa"/>
            <w:tcBorders/>
            <w:shd w:fill="CCEEFF" w:val="clear"/>
            <w:vAlign w:val="center"/>
          </w:tcPr>
          <w:p>
            <w:pPr>
              <w:pStyle w:val="TableContents"/>
              <w:spacing w:before="0" w:after="283"/>
              <w:rPr/>
            </w:pPr>
            <w:r>
              <w:rPr/>
              <w:t>  </w:t>
            </w:r>
          </w:p>
        </w:tc>
        <w:tc>
          <w:tcPr>
            <w:tcW w:w="268" w:type="dxa"/>
            <w:tcBorders/>
            <w:shd w:fill="CCEEFF" w:val="clear"/>
            <w:vAlign w:val="center"/>
          </w:tcPr>
          <w:p>
            <w:pPr>
              <w:pStyle w:val="TableContents"/>
              <w:spacing w:before="0" w:after="283"/>
              <w:rPr/>
            </w:pPr>
            <w:r>
              <w:rPr/>
              <w:t>$</w:t>
            </w:r>
          </w:p>
        </w:tc>
        <w:tc>
          <w:tcPr>
            <w:tcW w:w="967" w:type="dxa"/>
            <w:tcBorders/>
            <w:shd w:fill="CCEEFF" w:val="clear"/>
            <w:vAlign w:val="center"/>
          </w:tcPr>
          <w:p>
            <w:pPr>
              <w:pStyle w:val="TableContents"/>
              <w:spacing w:before="0" w:after="0"/>
              <w:jc w:val="right"/>
              <w:rPr>
                <w:spacing w:val="0"/>
              </w:rPr>
            </w:pPr>
            <w:r>
              <w:rPr>
                <w:spacing w:val="0"/>
              </w:rPr>
              <w:t>(7,784</w:t>
            </w:r>
          </w:p>
        </w:tc>
        <w:tc>
          <w:tcPr>
            <w:tcW w:w="95" w:type="dxa"/>
            <w:tcBorders/>
            <w:shd w:fill="CCEEFF" w:val="clear"/>
            <w:vAlign w:val="center"/>
          </w:tcPr>
          <w:p>
            <w:pPr>
              <w:pStyle w:val="TableContents"/>
              <w:spacing w:before="0" w:after="0"/>
              <w:rPr>
                <w:spacing w:val="0"/>
              </w:rPr>
            </w:pPr>
            <w:r>
              <w:rPr>
                <w:spacing w:val="0"/>
              </w:rPr>
              <w:t>)</w:t>
            </w:r>
          </w:p>
        </w:tc>
        <w:tc>
          <w:tcPr>
            <w:tcW w:w="120" w:type="dxa"/>
            <w:tcBorders/>
            <w:shd w:fill="CCEEFF" w:val="clear"/>
            <w:vAlign w:val="center"/>
          </w:tcPr>
          <w:p>
            <w:pPr>
              <w:pStyle w:val="TableContents"/>
              <w:spacing w:before="0" w:after="283"/>
              <w:rPr/>
            </w:pPr>
            <w:r>
              <w:rPr/>
              <w:t>  </w:t>
            </w:r>
          </w:p>
        </w:tc>
        <w:tc>
          <w:tcPr>
            <w:tcW w:w="282" w:type="dxa"/>
            <w:tcBorders/>
            <w:shd w:fill="CCEEFF" w:val="clear"/>
            <w:vAlign w:val="center"/>
          </w:tcPr>
          <w:p>
            <w:pPr>
              <w:pStyle w:val="TableContents"/>
              <w:spacing w:before="0" w:after="283"/>
              <w:rPr/>
            </w:pPr>
            <w:r>
              <w:rPr/>
              <w:t>$</w:t>
            </w:r>
          </w:p>
        </w:tc>
        <w:tc>
          <w:tcPr>
            <w:tcW w:w="953" w:type="dxa"/>
            <w:tcBorders/>
            <w:shd w:fill="CCEEFF" w:val="clear"/>
            <w:vAlign w:val="center"/>
          </w:tcPr>
          <w:p>
            <w:pPr>
              <w:pStyle w:val="TableContents"/>
              <w:spacing w:before="0" w:after="283"/>
              <w:jc w:val="right"/>
              <w:rPr/>
            </w:pPr>
            <w:r>
              <w:rPr/>
              <w:t>(11,463</w:t>
            </w:r>
          </w:p>
        </w:tc>
        <w:tc>
          <w:tcPr>
            <w:tcW w:w="230" w:type="dxa"/>
            <w:tcBorders/>
            <w:shd w:fill="CCEEFF" w:val="clear"/>
            <w:vAlign w:val="center"/>
          </w:tcPr>
          <w:p>
            <w:pPr>
              <w:pStyle w:val="TableContents"/>
              <w:spacing w:before="0" w:after="283"/>
              <w:rPr/>
            </w:pPr>
            <w:r>
              <w:rPr/>
              <w:t>) </w:t>
            </w:r>
          </w:p>
        </w:tc>
      </w:tr>
      <w:tr>
        <w:trPr/>
        <w:tc>
          <w:tcPr>
            <w:tcW w:w="503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68" w:type="dxa"/>
            <w:tcBorders/>
            <w:shd w:fill="auto" w:val="clear"/>
            <w:vAlign w:val="center"/>
          </w:tcPr>
          <w:p>
            <w:pPr>
              <w:pStyle w:val="TableContents"/>
              <w:spacing w:before="0" w:after="0"/>
              <w:rPr>
                <w:bdr w:val="double" w:sz="6" w:space="1" w:color="000000"/>
              </w:rPr>
            </w:pPr>
            <w:r>
              <w:rPr>
                <w:bdr w:val="double" w:sz="6" w:space="1" w:color="000000"/>
              </w:rPr>
              <w:t> </w:t>
            </w:r>
          </w:p>
        </w:tc>
        <w:tc>
          <w:tcPr>
            <w:tcW w:w="967" w:type="dxa"/>
            <w:tcBorders/>
            <w:shd w:fill="auto" w:val="clear"/>
            <w:vAlign w:val="center"/>
          </w:tcPr>
          <w:p>
            <w:pPr>
              <w:pStyle w:val="TableContents"/>
              <w:spacing w:before="0" w:after="0"/>
              <w:rPr>
                <w:bdr w:val="double" w:sz="6" w:space="1" w:color="000000"/>
              </w:rPr>
            </w:pPr>
            <w:r>
              <w:rPr>
                <w:bdr w:val="double" w:sz="6" w:space="1" w:color="000000"/>
              </w:rPr>
              <w:t> </w:t>
            </w:r>
          </w:p>
        </w:tc>
        <w:tc>
          <w:tcPr>
            <w:tcW w:w="9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82" w:type="dxa"/>
            <w:tcBorders/>
            <w:shd w:fill="auto" w:val="clear"/>
            <w:vAlign w:val="center"/>
          </w:tcPr>
          <w:p>
            <w:pPr>
              <w:pStyle w:val="TableContents"/>
              <w:spacing w:before="0" w:after="0"/>
              <w:rPr>
                <w:bdr w:val="double" w:sz="6" w:space="1" w:color="000000"/>
              </w:rPr>
            </w:pPr>
            <w:r>
              <w:rPr>
                <w:bdr w:val="double" w:sz="6" w:space="1" w:color="000000"/>
              </w:rPr>
              <w:t> </w:t>
            </w:r>
          </w:p>
        </w:tc>
        <w:tc>
          <w:tcPr>
            <w:tcW w:w="953" w:type="dxa"/>
            <w:tcBorders/>
            <w:shd w:fill="auto" w:val="clear"/>
            <w:vAlign w:val="center"/>
          </w:tcPr>
          <w:p>
            <w:pPr>
              <w:pStyle w:val="TableContents"/>
              <w:spacing w:before="0" w:after="0"/>
              <w:rPr>
                <w:bdr w:val="double" w:sz="6" w:space="1" w:color="000000"/>
              </w:rPr>
            </w:pPr>
            <w:r>
              <w:rPr>
                <w:bdr w:val="double" w:sz="6" w:space="1" w:color="000000"/>
              </w:rPr>
              <w:t> </w:t>
            </w:r>
          </w:p>
        </w:tc>
        <w:tc>
          <w:tcPr>
            <w:tcW w:w="230" w:type="dxa"/>
            <w:tcBorders/>
            <w:shd w:fill="auto" w:val="clear"/>
            <w:vAlign w:val="center"/>
          </w:tcPr>
          <w:p>
            <w:pPr>
              <w:pStyle w:val="TableContents"/>
              <w:spacing w:before="0" w:after="283"/>
              <w:rPr/>
            </w:pPr>
            <w:r>
              <w:rPr/>
              <w:t> </w:t>
            </w:r>
          </w:p>
        </w:tc>
      </w:tr>
    </w:tbl>
    <w:p>
      <w:pPr>
        <w:pStyle w:val="TextBody"/>
        <w:spacing w:before="240" w:after="0"/>
        <w:jc w:val="left"/>
        <w:rPr>
          <w:rFonts w:ascii="Times New Roman" w:hAnsi="Times New Roman"/>
          <w:spacing w:val="0"/>
          <w:sz w:val="20"/>
        </w:rPr>
      </w:pPr>
      <w:r>
        <w:rPr>
          <w:rFonts w:ascii="Times New Roman" w:hAnsi="Times New Roman"/>
          <w:spacing w:val="0"/>
          <w:sz w:val="20"/>
        </w:rPr>
        <w:t>As of January 31, 2021, we had $157,779 of state net operating loss carryforwards, which will begin to expire in 202</w:t>
      </w:r>
    </w:p>
    <w:p>
      <w:pPr>
        <w:pStyle w:val="TextBody"/>
        <w:spacing w:before="240" w:after="0"/>
        <w:jc w:val="left"/>
        <w:rPr>
          <w:rFonts w:ascii="Times New Roman" w:hAnsi="Times New Roman"/>
          <w:spacing w:val="0"/>
          <w:sz w:val="20"/>
        </w:rPr>
      </w:pPr>
      <w:r>
        <w:rPr>
          <w:rFonts w:ascii="Times New Roman" w:hAnsi="Times New Roman"/>
          <w:spacing w:val="0"/>
          <w:sz w:val="20"/>
        </w:rPr>
        <w:t>1</w:t>
      </w:r>
    </w:p>
    <w:p>
      <w:pPr>
        <w:pStyle w:val="TextBody"/>
        <w:spacing w:before="240" w:after="0"/>
        <w:jc w:val="left"/>
        <w:rPr>
          <w:rFonts w:ascii="Times New Roman" w:hAnsi="Times New Roman"/>
          <w:spacing w:val="0"/>
          <w:sz w:val="20"/>
        </w:rPr>
      </w:pPr>
      <w:r>
        <w:rPr>
          <w:rFonts w:ascii="Times New Roman" w:hAnsi="Times New Roman"/>
          <w:spacing w:val="0"/>
          <w:sz w:val="20"/>
        </w:rPr>
        <w:t>, foreign operating loss carryforwards of $6,528, which will begin to expire in 2029, and foreign tax credit carryovers of $870, which will begin to expire in 2028.</w:t>
      </w:r>
    </w:p>
    <w:p>
      <w:pPr>
        <w:pStyle w:val="TextBody"/>
        <w:spacing w:before="240" w:after="0"/>
        <w:jc w:val="left"/>
        <w:rPr>
          <w:spacing w:val="0"/>
        </w:rPr>
      </w:pPr>
      <w:r>
        <w:rPr>
          <w:spacing w:val="0"/>
        </w:rPr>
        <w:t> </w:t>
      </w:r>
    </w:p>
    <w:p>
      <w:pPr>
        <w:pStyle w:val="TextBody"/>
        <w:spacing w:before="240" w:after="0"/>
        <w:jc w:val="left"/>
        <w:rPr>
          <w:rFonts w:ascii="Times New Roman" w:hAnsi="Times New Roman"/>
          <w:spacing w:val="0"/>
          <w:sz w:val="20"/>
        </w:rPr>
      </w:pPr>
      <w:r>
        <w:rPr>
          <w:rFonts w:ascii="Times New Roman" w:hAnsi="Times New Roman"/>
          <w:spacing w:val="0"/>
          <w:sz w:val="20"/>
        </w:rPr>
        <w:t>We also have general business credit carryovers of $2,158, which will begin to expire in 2040. </w:t>
      </w:r>
    </w:p>
    <w:p>
      <w:pPr>
        <w:pStyle w:val="TextBody"/>
        <w:spacing w:before="240" w:after="0"/>
        <w:jc w:val="left"/>
        <w:rPr>
          <w:rFonts w:ascii="Times New Roman" w:hAnsi="Times New Roman"/>
          <w:spacing w:val="0"/>
          <w:sz w:val="20"/>
        </w:rPr>
      </w:pPr>
      <w:r>
        <w:rPr>
          <w:rFonts w:ascii="Times New Roman" w:hAnsi="Times New Roman"/>
          <w:spacing w:val="0"/>
          <w:sz w:val="20"/>
        </w:rPr>
        <w:t>During fiscal 2020, the increase in the valuation allowance of $11,127 primarily relates to the increase in net operating loss carryovers. During fiscal 2019, the increase of $</w:t>
      </w:r>
    </w:p>
    <w:p>
      <w:pPr>
        <w:pStyle w:val="TextBody"/>
        <w:spacing w:before="240" w:after="0"/>
        <w:jc w:val="left"/>
        <w:rPr>
          <w:rFonts w:ascii="Times New Roman" w:hAnsi="Times New Roman"/>
          <w:sz w:val="20"/>
        </w:rPr>
      </w:pPr>
      <w:r>
        <w:rPr>
          <w:rFonts w:ascii="Times New Roman" w:hAnsi="Times New Roman"/>
          <w:sz w:val="20"/>
        </w:rPr>
        <w:t xml:space="preserve">1,279 in the valuation allowance relates primarily to an establishment of an allowance for foreign tax credits and to an increase in the valuation allowance related to executive compensation payments made pursuant to contracts in effect after November 2, 2017 as a result of the Tax Cuts and Jobs Act. </w:t>
      </w:r>
    </w:p>
    <w:p>
      <w:pPr>
        <w:pStyle w:val="TextBody"/>
        <w:spacing w:before="240" w:after="0"/>
        <w:jc w:val="left"/>
        <w:rPr>
          <w:rFonts w:ascii="Times New Roman" w:hAnsi="Times New Roman"/>
          <w:spacing w:val="0"/>
          <w:sz w:val="20"/>
        </w:rPr>
      </w:pPr>
      <w:r>
        <w:rPr>
          <w:rFonts w:ascii="Times New Roman" w:hAnsi="Times New Roman"/>
          <w:spacing w:val="0"/>
          <w:sz w:val="20"/>
        </w:rPr>
        <w:t>A reconciliation of the beginning and ending amount of unrecognized tax benefits follows: </w:t>
      </w:r>
    </w:p>
    <w:p>
      <w:pPr>
        <w:pStyle w:val="TextBody"/>
        <w:spacing w:before="0" w:after="0"/>
        <w:jc w:val="left"/>
        <w:rPr>
          <w:spacing w:val="0"/>
        </w:rPr>
      </w:pPr>
      <w:r>
        <w:rPr>
          <w:spacing w:val="0"/>
        </w:rPr>
        <w:t> </w:t>
      </w:r>
    </w:p>
    <w:tbl>
      <w:tblPr>
        <w:tblW w:w="7925" w:type="dxa"/>
        <w:jc w:val="left"/>
        <w:tblInd w:w="0" w:type="dxa"/>
        <w:tblCellMar>
          <w:top w:w="0" w:type="dxa"/>
          <w:left w:w="0" w:type="dxa"/>
          <w:bottom w:w="0" w:type="dxa"/>
          <w:right w:w="0" w:type="dxa"/>
        </w:tblCellMar>
      </w:tblPr>
      <w:tblGrid>
        <w:gridCol w:w="3440"/>
        <w:gridCol w:w="120"/>
        <w:gridCol w:w="247"/>
        <w:gridCol w:w="988"/>
        <w:gridCol w:w="95"/>
        <w:gridCol w:w="120"/>
        <w:gridCol w:w="247"/>
        <w:gridCol w:w="988"/>
        <w:gridCol w:w="155"/>
        <w:gridCol w:w="120"/>
        <w:gridCol w:w="247"/>
        <w:gridCol w:w="988"/>
        <w:gridCol w:w="170"/>
      </w:tblGrid>
      <w:tr>
        <w:trPr/>
        <w:tc>
          <w:tcPr>
            <w:tcW w:w="344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988"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988"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98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r>
      <w:tr>
        <w:trPr/>
        <w:tc>
          <w:tcPr>
            <w:tcW w:w="344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235" w:type="dxa"/>
            <w:gridSpan w:val="2"/>
            <w:tcBorders/>
            <w:shd w:fill="auto" w:val="clear"/>
            <w:vAlign w:val="center"/>
          </w:tcPr>
          <w:p>
            <w:pPr>
              <w:pStyle w:val="TableContents"/>
              <w:spacing w:before="0" w:after="0"/>
              <w:jc w:val="center"/>
              <w:rPr>
                <w:b/>
                <w:spacing w:val="0"/>
              </w:rPr>
            </w:pPr>
            <w:r>
              <w:rPr>
                <w:b/>
                <w:spacing w:val="0"/>
              </w:rPr>
              <w:t>January 31,</w:t>
              <w:br/>
              <w:t>2021</w:t>
            </w:r>
          </w:p>
        </w:tc>
        <w:tc>
          <w:tcPr>
            <w:tcW w:w="9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235" w:type="dxa"/>
            <w:gridSpan w:val="2"/>
            <w:tcBorders/>
            <w:shd w:fill="auto" w:val="clear"/>
            <w:vAlign w:val="center"/>
          </w:tcPr>
          <w:p>
            <w:pPr>
              <w:pStyle w:val="TableContents"/>
              <w:spacing w:before="0" w:after="0"/>
              <w:jc w:val="center"/>
              <w:rPr>
                <w:b/>
                <w:spacing w:val="0"/>
              </w:rPr>
            </w:pPr>
            <w:r>
              <w:rPr>
                <w:b/>
                <w:spacing w:val="0"/>
              </w:rPr>
              <w:t>February 2,</w:t>
              <w:br/>
              <w:t>2020</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235" w:type="dxa"/>
            <w:gridSpan w:val="2"/>
            <w:tcBorders/>
            <w:shd w:fill="auto" w:val="clear"/>
            <w:vAlign w:val="center"/>
          </w:tcPr>
          <w:p>
            <w:pPr>
              <w:pStyle w:val="TableContents"/>
              <w:spacing w:before="0" w:after="0"/>
              <w:jc w:val="center"/>
              <w:rPr>
                <w:b/>
                <w:spacing w:val="0"/>
              </w:rPr>
            </w:pPr>
            <w:r>
              <w:rPr>
                <w:b/>
                <w:spacing w:val="0"/>
              </w:rPr>
              <w:t>February 3,</w:t>
              <w:br/>
              <w:t>2019</w:t>
            </w:r>
          </w:p>
        </w:tc>
        <w:tc>
          <w:tcPr>
            <w:tcW w:w="170" w:type="dxa"/>
            <w:tcBorders/>
            <w:shd w:fill="auto" w:val="clear"/>
            <w:vAlign w:val="center"/>
          </w:tcPr>
          <w:p>
            <w:pPr>
              <w:pStyle w:val="TableContents"/>
              <w:spacing w:before="0" w:after="283"/>
              <w:rPr/>
            </w:pPr>
            <w:r>
              <w:rPr/>
              <w:t> </w:t>
            </w:r>
          </w:p>
        </w:tc>
      </w:tr>
      <w:tr>
        <w:trPr/>
        <w:tc>
          <w:tcPr>
            <w:tcW w:w="344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Balance at beginning of year</w:t>
            </w:r>
          </w:p>
        </w:tc>
        <w:tc>
          <w:tcPr>
            <w:tcW w:w="120" w:type="dxa"/>
            <w:tcBorders/>
            <w:shd w:fill="CCEEFF" w:val="clear"/>
            <w:vAlign w:val="center"/>
          </w:tcPr>
          <w:p>
            <w:pPr>
              <w:pStyle w:val="TableContents"/>
              <w:spacing w:before="0" w:after="283"/>
              <w:rPr/>
            </w:pPr>
            <w:r>
              <w:rPr/>
              <w:t>  </w:t>
            </w:r>
          </w:p>
        </w:tc>
        <w:tc>
          <w:tcPr>
            <w:tcW w:w="247" w:type="dxa"/>
            <w:tcBorders/>
            <w:shd w:fill="CCEEFF" w:val="clear"/>
            <w:vAlign w:val="center"/>
          </w:tcPr>
          <w:p>
            <w:pPr>
              <w:pStyle w:val="TableContents"/>
              <w:spacing w:before="0" w:after="283"/>
              <w:rPr/>
            </w:pPr>
            <w:r>
              <w:rPr/>
              <w:t>$</w:t>
            </w:r>
          </w:p>
        </w:tc>
        <w:tc>
          <w:tcPr>
            <w:tcW w:w="988" w:type="dxa"/>
            <w:tcBorders/>
            <w:shd w:fill="CCEEFF" w:val="clear"/>
            <w:vAlign w:val="center"/>
          </w:tcPr>
          <w:p>
            <w:pPr>
              <w:pStyle w:val="TableContents"/>
              <w:spacing w:before="0" w:after="0"/>
              <w:jc w:val="right"/>
              <w:rPr>
                <w:spacing w:val="0"/>
              </w:rPr>
            </w:pPr>
            <w:r>
              <w:rPr>
                <w:spacing w:val="0"/>
              </w:rPr>
              <w:t>2,080</w:t>
            </w:r>
          </w:p>
        </w:tc>
        <w:tc>
          <w:tcPr>
            <w:tcW w:w="9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247" w:type="dxa"/>
            <w:tcBorders/>
            <w:shd w:fill="CCEEFF" w:val="clear"/>
            <w:vAlign w:val="center"/>
          </w:tcPr>
          <w:p>
            <w:pPr>
              <w:pStyle w:val="TableContents"/>
              <w:spacing w:before="0" w:after="283"/>
              <w:rPr/>
            </w:pPr>
            <w:r>
              <w:rPr/>
              <w:t>$</w:t>
            </w:r>
          </w:p>
        </w:tc>
        <w:tc>
          <w:tcPr>
            <w:tcW w:w="988" w:type="dxa"/>
            <w:tcBorders/>
            <w:shd w:fill="CCEEFF" w:val="clear"/>
            <w:vAlign w:val="center"/>
          </w:tcPr>
          <w:p>
            <w:pPr>
              <w:pStyle w:val="TableContents"/>
              <w:spacing w:before="0" w:after="283"/>
              <w:jc w:val="right"/>
              <w:rPr/>
            </w:pPr>
            <w:r>
              <w:rPr/>
              <w:t>2,333</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247" w:type="dxa"/>
            <w:tcBorders/>
            <w:shd w:fill="CCEEFF" w:val="clear"/>
            <w:vAlign w:val="center"/>
          </w:tcPr>
          <w:p>
            <w:pPr>
              <w:pStyle w:val="TableContents"/>
              <w:spacing w:before="0" w:after="283"/>
              <w:rPr/>
            </w:pPr>
            <w:r>
              <w:rPr/>
              <w:t>$</w:t>
            </w:r>
          </w:p>
        </w:tc>
        <w:tc>
          <w:tcPr>
            <w:tcW w:w="988" w:type="dxa"/>
            <w:tcBorders/>
            <w:shd w:fill="CCEEFF" w:val="clear"/>
            <w:vAlign w:val="center"/>
          </w:tcPr>
          <w:p>
            <w:pPr>
              <w:pStyle w:val="TableContents"/>
              <w:spacing w:before="0" w:after="283"/>
              <w:jc w:val="right"/>
              <w:rPr/>
            </w:pPr>
            <w:r>
              <w:rPr/>
              <w:t>1,568</w:t>
            </w:r>
          </w:p>
        </w:tc>
        <w:tc>
          <w:tcPr>
            <w:tcW w:w="170" w:type="dxa"/>
            <w:tcBorders/>
            <w:shd w:fill="CCEEFF" w:val="clear"/>
            <w:vAlign w:val="center"/>
          </w:tcPr>
          <w:p>
            <w:pPr>
              <w:pStyle w:val="TableContents"/>
              <w:spacing w:before="0" w:after="283"/>
              <w:rPr/>
            </w:pPr>
            <w:r>
              <w:rPr/>
              <w:t> </w:t>
            </w:r>
          </w:p>
        </w:tc>
      </w:tr>
      <w:tr>
        <w:trPr/>
        <w:tc>
          <w:tcPr>
            <w:tcW w:w="344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Additions for tax positions of prior years</w:t>
            </w:r>
          </w:p>
        </w:tc>
        <w:tc>
          <w:tcPr>
            <w:tcW w:w="120" w:type="dxa"/>
            <w:tcBorders/>
            <w:shd w:fill="auto" w:val="clear"/>
            <w:vAlign w:val="center"/>
          </w:tcPr>
          <w:p>
            <w:pPr>
              <w:pStyle w:val="TableContents"/>
              <w:spacing w:before="0" w:after="283"/>
              <w:rPr/>
            </w:pPr>
            <w:r>
              <w:rPr/>
              <w:t>  </w:t>
            </w:r>
          </w:p>
        </w:tc>
        <w:tc>
          <w:tcPr>
            <w:tcW w:w="247" w:type="dxa"/>
            <w:tcBorders/>
            <w:shd w:fill="auto" w:val="clear"/>
            <w:vAlign w:val="center"/>
          </w:tcPr>
          <w:p>
            <w:pPr>
              <w:pStyle w:val="TableContents"/>
              <w:spacing w:before="0" w:after="283"/>
              <w:rPr/>
            </w:pPr>
            <w:r>
              <w:rPr/>
              <w:t> </w:t>
            </w:r>
          </w:p>
        </w:tc>
        <w:tc>
          <w:tcPr>
            <w:tcW w:w="988" w:type="dxa"/>
            <w:tcBorders/>
            <w:shd w:fill="auto" w:val="clear"/>
            <w:vAlign w:val="center"/>
          </w:tcPr>
          <w:p>
            <w:pPr>
              <w:pStyle w:val="TableContents"/>
              <w:spacing w:before="0" w:after="0"/>
              <w:jc w:val="right"/>
              <w:rPr>
                <w:rFonts w:ascii="Times New Roman" w:hAnsi="Times New Roman"/>
                <w:spacing w:val="0"/>
              </w:rPr>
            </w:pPr>
            <w:r>
              <w:rPr>
                <w:rFonts w:ascii="Times New Roman" w:hAnsi="Times New Roman"/>
                <w:spacing w:val="0"/>
              </w:rPr>
              <w:t>28</w:t>
            </w:r>
          </w:p>
        </w:tc>
        <w:tc>
          <w:tcPr>
            <w:tcW w:w="9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47" w:type="dxa"/>
            <w:tcBorders/>
            <w:shd w:fill="auto" w:val="clear"/>
            <w:vAlign w:val="center"/>
          </w:tcPr>
          <w:p>
            <w:pPr>
              <w:pStyle w:val="TableContents"/>
              <w:spacing w:before="0" w:after="283"/>
              <w:rPr/>
            </w:pPr>
            <w:r>
              <w:rPr/>
              <w:t> </w:t>
            </w:r>
          </w:p>
        </w:tc>
        <w:tc>
          <w:tcPr>
            <w:tcW w:w="988" w:type="dxa"/>
            <w:tcBorders/>
            <w:shd w:fill="auto" w:val="clear"/>
            <w:vAlign w:val="center"/>
          </w:tcPr>
          <w:p>
            <w:pPr>
              <w:pStyle w:val="TableContents"/>
              <w:spacing w:before="0" w:after="283"/>
              <w:jc w:val="right"/>
              <w:rPr/>
            </w:pPr>
            <w:r>
              <w:rPr/>
              <w:t>463</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47" w:type="dxa"/>
            <w:tcBorders/>
            <w:shd w:fill="auto" w:val="clear"/>
            <w:vAlign w:val="center"/>
          </w:tcPr>
          <w:p>
            <w:pPr>
              <w:pStyle w:val="TableContents"/>
              <w:spacing w:before="0" w:after="283"/>
              <w:rPr/>
            </w:pPr>
            <w:r>
              <w:rPr/>
              <w:t> </w:t>
            </w:r>
          </w:p>
        </w:tc>
        <w:tc>
          <w:tcPr>
            <w:tcW w:w="988" w:type="dxa"/>
            <w:tcBorders/>
            <w:shd w:fill="auto" w:val="clear"/>
            <w:vAlign w:val="center"/>
          </w:tcPr>
          <w:p>
            <w:pPr>
              <w:pStyle w:val="TableContents"/>
              <w:spacing w:before="0" w:after="283"/>
              <w:jc w:val="right"/>
              <w:rPr/>
            </w:pPr>
            <w:r>
              <w:rPr/>
              <w:t>435</w:t>
            </w:r>
          </w:p>
        </w:tc>
        <w:tc>
          <w:tcPr>
            <w:tcW w:w="170" w:type="dxa"/>
            <w:tcBorders/>
            <w:shd w:fill="auto" w:val="clear"/>
            <w:vAlign w:val="center"/>
          </w:tcPr>
          <w:p>
            <w:pPr>
              <w:pStyle w:val="TableContents"/>
              <w:spacing w:before="0" w:after="283"/>
              <w:rPr/>
            </w:pPr>
            <w:r>
              <w:rPr/>
              <w:t> </w:t>
            </w:r>
          </w:p>
        </w:tc>
      </w:tr>
      <w:tr>
        <w:trPr/>
        <w:tc>
          <w:tcPr>
            <w:tcW w:w="344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Reductions for tax positions of prior years</w:t>
            </w:r>
          </w:p>
        </w:tc>
        <w:tc>
          <w:tcPr>
            <w:tcW w:w="120" w:type="dxa"/>
            <w:tcBorders/>
            <w:shd w:fill="CCEEFF" w:val="clear"/>
            <w:vAlign w:val="center"/>
          </w:tcPr>
          <w:p>
            <w:pPr>
              <w:pStyle w:val="TableContents"/>
              <w:spacing w:before="0" w:after="283"/>
              <w:rPr/>
            </w:pPr>
            <w:r>
              <w:rPr/>
              <w:t>  </w:t>
            </w:r>
          </w:p>
        </w:tc>
        <w:tc>
          <w:tcPr>
            <w:tcW w:w="247" w:type="dxa"/>
            <w:tcBorders/>
            <w:shd w:fill="CCEEFF" w:val="clear"/>
            <w:vAlign w:val="center"/>
          </w:tcPr>
          <w:p>
            <w:pPr>
              <w:pStyle w:val="TableContents"/>
              <w:spacing w:before="0" w:after="283"/>
              <w:rPr/>
            </w:pPr>
            <w:r>
              <w:rPr/>
              <w:t> </w:t>
            </w:r>
          </w:p>
        </w:tc>
        <w:tc>
          <w:tcPr>
            <w:tcW w:w="988" w:type="dxa"/>
            <w:tcBorders/>
            <w:shd w:fill="CCEEFF" w:val="clear"/>
            <w:vAlign w:val="center"/>
          </w:tcPr>
          <w:p>
            <w:pPr>
              <w:pStyle w:val="TableContents"/>
              <w:spacing w:before="0" w:after="0"/>
              <w:jc w:val="right"/>
              <w:rPr>
                <w:spacing w:val="0"/>
              </w:rPr>
            </w:pPr>
            <w:r>
              <w:rPr>
                <w:spacing w:val="0"/>
              </w:rPr>
              <w:t>—</w:t>
            </w:r>
          </w:p>
        </w:tc>
        <w:tc>
          <w:tcPr>
            <w:tcW w:w="95" w:type="dxa"/>
            <w:tcBorders/>
            <w:shd w:fill="CCEEFF" w:val="clear"/>
            <w:vAlign w:val="center"/>
          </w:tcPr>
          <w:p>
            <w:pPr>
              <w:pStyle w:val="TableContents"/>
              <w:spacing w:before="0" w:after="283"/>
              <w:jc w:val="right"/>
              <w:rPr/>
            </w:pPr>
            <w:r>
              <w:rPr/>
              <w:t> </w:t>
            </w:r>
          </w:p>
        </w:tc>
        <w:tc>
          <w:tcPr>
            <w:tcW w:w="120" w:type="dxa"/>
            <w:tcBorders/>
            <w:shd w:fill="CCEEFF" w:val="clear"/>
            <w:vAlign w:val="center"/>
          </w:tcPr>
          <w:p>
            <w:pPr>
              <w:pStyle w:val="TableContents"/>
              <w:spacing w:before="0" w:after="283"/>
              <w:rPr/>
            </w:pPr>
            <w:r>
              <w:rPr/>
              <w:t>  </w:t>
            </w:r>
          </w:p>
        </w:tc>
        <w:tc>
          <w:tcPr>
            <w:tcW w:w="247" w:type="dxa"/>
            <w:tcBorders/>
            <w:shd w:fill="CCEEFF" w:val="clear"/>
            <w:vAlign w:val="center"/>
          </w:tcPr>
          <w:p>
            <w:pPr>
              <w:pStyle w:val="TableContents"/>
              <w:spacing w:before="0" w:after="283"/>
              <w:rPr/>
            </w:pPr>
            <w:r>
              <w:rPr/>
              <w:t> </w:t>
            </w:r>
          </w:p>
        </w:tc>
        <w:tc>
          <w:tcPr>
            <w:tcW w:w="988" w:type="dxa"/>
            <w:tcBorders/>
            <w:shd w:fill="CCEEFF" w:val="clear"/>
            <w:vAlign w:val="center"/>
          </w:tcPr>
          <w:p>
            <w:pPr>
              <w:pStyle w:val="TableContents"/>
              <w:spacing w:before="0" w:after="283"/>
              <w:jc w:val="right"/>
              <w:rPr/>
            </w:pPr>
            <w:r>
              <w:rPr/>
              <w:t>(44</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247" w:type="dxa"/>
            <w:tcBorders/>
            <w:shd w:fill="CCEEFF" w:val="clear"/>
            <w:vAlign w:val="center"/>
          </w:tcPr>
          <w:p>
            <w:pPr>
              <w:pStyle w:val="TableContents"/>
              <w:spacing w:before="0" w:after="283"/>
              <w:rPr/>
            </w:pPr>
            <w:r>
              <w:rPr/>
              <w:t> </w:t>
            </w:r>
          </w:p>
        </w:tc>
        <w:tc>
          <w:tcPr>
            <w:tcW w:w="988" w:type="dxa"/>
            <w:tcBorders/>
            <w:shd w:fill="CCEEFF" w:val="clear"/>
            <w:vAlign w:val="center"/>
          </w:tcPr>
          <w:p>
            <w:pPr>
              <w:pStyle w:val="TableContents"/>
              <w:spacing w:before="0" w:after="283"/>
              <w:jc w:val="right"/>
              <w:rPr/>
            </w:pPr>
            <w:r>
              <w:rPr/>
              <w:t>(30</w:t>
            </w:r>
          </w:p>
        </w:tc>
        <w:tc>
          <w:tcPr>
            <w:tcW w:w="170" w:type="dxa"/>
            <w:tcBorders/>
            <w:shd w:fill="CCEEFF" w:val="clear"/>
            <w:vAlign w:val="center"/>
          </w:tcPr>
          <w:p>
            <w:pPr>
              <w:pStyle w:val="TableContents"/>
              <w:spacing w:before="0" w:after="283"/>
              <w:rPr/>
            </w:pPr>
            <w:r>
              <w:rPr/>
              <w:t>) </w:t>
            </w:r>
          </w:p>
        </w:tc>
      </w:tr>
      <w:tr>
        <w:trPr/>
        <w:tc>
          <w:tcPr>
            <w:tcW w:w="344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Additions for tax positions of current year</w:t>
            </w:r>
          </w:p>
        </w:tc>
        <w:tc>
          <w:tcPr>
            <w:tcW w:w="120" w:type="dxa"/>
            <w:tcBorders/>
            <w:shd w:fill="auto" w:val="clear"/>
            <w:vAlign w:val="center"/>
          </w:tcPr>
          <w:p>
            <w:pPr>
              <w:pStyle w:val="TableContents"/>
              <w:spacing w:before="0" w:after="283"/>
              <w:rPr/>
            </w:pPr>
            <w:r>
              <w:rPr/>
              <w:t>  </w:t>
            </w:r>
          </w:p>
        </w:tc>
        <w:tc>
          <w:tcPr>
            <w:tcW w:w="247" w:type="dxa"/>
            <w:tcBorders/>
            <w:shd w:fill="auto" w:val="clear"/>
            <w:vAlign w:val="center"/>
          </w:tcPr>
          <w:p>
            <w:pPr>
              <w:pStyle w:val="TableContents"/>
              <w:spacing w:before="0" w:after="283"/>
              <w:rPr/>
            </w:pPr>
            <w:r>
              <w:rPr/>
              <w:t> </w:t>
            </w:r>
          </w:p>
        </w:tc>
        <w:tc>
          <w:tcPr>
            <w:tcW w:w="988" w:type="dxa"/>
            <w:tcBorders/>
            <w:shd w:fill="auto" w:val="clear"/>
            <w:vAlign w:val="center"/>
          </w:tcPr>
          <w:p>
            <w:pPr>
              <w:pStyle w:val="TableContents"/>
              <w:spacing w:before="0" w:after="0"/>
              <w:jc w:val="right"/>
              <w:rPr>
                <w:rFonts w:ascii="Times New Roman" w:hAnsi="Times New Roman"/>
                <w:spacing w:val="0"/>
              </w:rPr>
            </w:pPr>
            <w:r>
              <w:rPr>
                <w:rFonts w:ascii="Times New Roman" w:hAnsi="Times New Roman"/>
                <w:spacing w:val="0"/>
              </w:rPr>
              <w:t>660</w:t>
            </w:r>
          </w:p>
        </w:tc>
        <w:tc>
          <w:tcPr>
            <w:tcW w:w="9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47" w:type="dxa"/>
            <w:tcBorders/>
            <w:shd w:fill="auto" w:val="clear"/>
            <w:vAlign w:val="center"/>
          </w:tcPr>
          <w:p>
            <w:pPr>
              <w:pStyle w:val="TableContents"/>
              <w:spacing w:before="0" w:after="283"/>
              <w:rPr/>
            </w:pPr>
            <w:r>
              <w:rPr/>
              <w:t> </w:t>
            </w:r>
          </w:p>
        </w:tc>
        <w:tc>
          <w:tcPr>
            <w:tcW w:w="988" w:type="dxa"/>
            <w:tcBorders/>
            <w:shd w:fill="auto" w:val="clear"/>
            <w:vAlign w:val="center"/>
          </w:tcPr>
          <w:p>
            <w:pPr>
              <w:pStyle w:val="TableContents"/>
              <w:spacing w:before="0" w:after="283"/>
              <w:jc w:val="right"/>
              <w:rPr/>
            </w:pPr>
            <w:r>
              <w:rPr/>
              <w:t>450</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47" w:type="dxa"/>
            <w:tcBorders/>
            <w:shd w:fill="auto" w:val="clear"/>
            <w:vAlign w:val="center"/>
          </w:tcPr>
          <w:p>
            <w:pPr>
              <w:pStyle w:val="TableContents"/>
              <w:spacing w:before="0" w:after="283"/>
              <w:rPr/>
            </w:pPr>
            <w:r>
              <w:rPr/>
              <w:t> </w:t>
            </w:r>
          </w:p>
        </w:tc>
        <w:tc>
          <w:tcPr>
            <w:tcW w:w="988" w:type="dxa"/>
            <w:tcBorders/>
            <w:shd w:fill="auto" w:val="clear"/>
            <w:vAlign w:val="center"/>
          </w:tcPr>
          <w:p>
            <w:pPr>
              <w:pStyle w:val="TableContents"/>
              <w:spacing w:before="0" w:after="283"/>
              <w:jc w:val="right"/>
              <w:rPr/>
            </w:pPr>
            <w:r>
              <w:rPr/>
              <w:t>437</w:t>
            </w:r>
          </w:p>
        </w:tc>
        <w:tc>
          <w:tcPr>
            <w:tcW w:w="170" w:type="dxa"/>
            <w:tcBorders/>
            <w:shd w:fill="auto" w:val="clear"/>
            <w:vAlign w:val="center"/>
          </w:tcPr>
          <w:p>
            <w:pPr>
              <w:pStyle w:val="TableContents"/>
              <w:spacing w:before="0" w:after="283"/>
              <w:rPr/>
            </w:pPr>
            <w:r>
              <w:rPr/>
              <w:t> </w:t>
            </w:r>
          </w:p>
        </w:tc>
      </w:tr>
      <w:tr>
        <w:trPr/>
        <w:tc>
          <w:tcPr>
            <w:tcW w:w="344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Settlements with taxing authorities</w:t>
            </w:r>
          </w:p>
        </w:tc>
        <w:tc>
          <w:tcPr>
            <w:tcW w:w="120" w:type="dxa"/>
            <w:tcBorders/>
            <w:shd w:fill="CCEEFF" w:val="clear"/>
            <w:vAlign w:val="center"/>
          </w:tcPr>
          <w:p>
            <w:pPr>
              <w:pStyle w:val="TableContents"/>
              <w:spacing w:before="0" w:after="283"/>
              <w:rPr/>
            </w:pPr>
            <w:r>
              <w:rPr/>
              <w:t>  </w:t>
            </w:r>
          </w:p>
        </w:tc>
        <w:tc>
          <w:tcPr>
            <w:tcW w:w="247" w:type="dxa"/>
            <w:tcBorders/>
            <w:shd w:fill="CCEEFF" w:val="clear"/>
            <w:vAlign w:val="center"/>
          </w:tcPr>
          <w:p>
            <w:pPr>
              <w:pStyle w:val="TableContents"/>
              <w:spacing w:before="0" w:after="283"/>
              <w:rPr/>
            </w:pPr>
            <w:r>
              <w:rPr/>
              <w:t> </w:t>
            </w:r>
          </w:p>
        </w:tc>
        <w:tc>
          <w:tcPr>
            <w:tcW w:w="988" w:type="dxa"/>
            <w:tcBorders/>
            <w:shd w:fill="CCEEFF" w:val="clear"/>
            <w:vAlign w:val="center"/>
          </w:tcPr>
          <w:p>
            <w:pPr>
              <w:pStyle w:val="TableContents"/>
              <w:spacing w:before="0" w:after="0"/>
              <w:jc w:val="right"/>
              <w:rPr>
                <w:spacing w:val="0"/>
              </w:rPr>
            </w:pPr>
            <w:r>
              <w:rPr>
                <w:spacing w:val="0"/>
              </w:rPr>
              <w:t>—</w:t>
            </w:r>
          </w:p>
        </w:tc>
        <w:tc>
          <w:tcPr>
            <w:tcW w:w="9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247" w:type="dxa"/>
            <w:tcBorders/>
            <w:shd w:fill="CCEEFF" w:val="clear"/>
            <w:vAlign w:val="center"/>
          </w:tcPr>
          <w:p>
            <w:pPr>
              <w:pStyle w:val="TableContents"/>
              <w:spacing w:before="0" w:after="283"/>
              <w:rPr/>
            </w:pPr>
            <w:r>
              <w:rPr/>
              <w:t> </w:t>
            </w:r>
          </w:p>
        </w:tc>
        <w:tc>
          <w:tcPr>
            <w:tcW w:w="988" w:type="dxa"/>
            <w:tcBorders/>
            <w:shd w:fill="CCEEFF" w:val="clear"/>
            <w:vAlign w:val="center"/>
          </w:tcPr>
          <w:p>
            <w:pPr>
              <w:pStyle w:val="TableContents"/>
              <w:spacing w:before="0" w:after="283"/>
              <w:jc w:val="right"/>
              <w:rPr/>
            </w:pPr>
            <w:r>
              <w:rPr/>
              <w:t>(390</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247" w:type="dxa"/>
            <w:tcBorders/>
            <w:shd w:fill="CCEEFF" w:val="clear"/>
            <w:vAlign w:val="center"/>
          </w:tcPr>
          <w:p>
            <w:pPr>
              <w:pStyle w:val="TableContents"/>
              <w:spacing w:before="0" w:after="283"/>
              <w:rPr/>
            </w:pPr>
            <w:r>
              <w:rPr/>
              <w:t> </w:t>
            </w:r>
          </w:p>
        </w:tc>
        <w:tc>
          <w:tcPr>
            <w:tcW w:w="988" w:type="dxa"/>
            <w:tcBorders/>
            <w:shd w:fill="CCEEFF" w:val="clear"/>
            <w:vAlign w:val="center"/>
          </w:tcPr>
          <w:p>
            <w:pPr>
              <w:pStyle w:val="TableContents"/>
              <w:spacing w:before="0" w:after="283"/>
              <w:jc w:val="right"/>
              <w:rPr/>
            </w:pPr>
            <w:r>
              <w:rPr/>
              <w:t>—  </w:t>
            </w:r>
          </w:p>
        </w:tc>
        <w:tc>
          <w:tcPr>
            <w:tcW w:w="170" w:type="dxa"/>
            <w:tcBorders/>
            <w:shd w:fill="CCEEFF" w:val="clear"/>
            <w:vAlign w:val="center"/>
          </w:tcPr>
          <w:p>
            <w:pPr>
              <w:pStyle w:val="TableContents"/>
              <w:spacing w:before="0" w:after="283"/>
              <w:rPr/>
            </w:pPr>
            <w:r>
              <w:rPr/>
              <w:t> </w:t>
            </w:r>
          </w:p>
        </w:tc>
      </w:tr>
      <w:tr>
        <w:trPr/>
        <w:tc>
          <w:tcPr>
            <w:tcW w:w="344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Lapse of statute of limitations</w:t>
            </w:r>
          </w:p>
        </w:tc>
        <w:tc>
          <w:tcPr>
            <w:tcW w:w="120" w:type="dxa"/>
            <w:tcBorders/>
            <w:shd w:fill="auto" w:val="clear"/>
            <w:vAlign w:val="center"/>
          </w:tcPr>
          <w:p>
            <w:pPr>
              <w:pStyle w:val="TableContents"/>
              <w:spacing w:before="0" w:after="283"/>
              <w:rPr/>
            </w:pPr>
            <w:r>
              <w:rPr/>
              <w:t>  </w:t>
            </w:r>
          </w:p>
        </w:tc>
        <w:tc>
          <w:tcPr>
            <w:tcW w:w="247" w:type="dxa"/>
            <w:tcBorders/>
            <w:shd w:fill="auto" w:val="clear"/>
            <w:vAlign w:val="center"/>
          </w:tcPr>
          <w:p>
            <w:pPr>
              <w:pStyle w:val="TableContents"/>
              <w:spacing w:before="0" w:after="283"/>
              <w:rPr/>
            </w:pPr>
            <w:r>
              <w:rPr/>
              <w:t> </w:t>
            </w:r>
          </w:p>
        </w:tc>
        <w:tc>
          <w:tcPr>
            <w:tcW w:w="988" w:type="dxa"/>
            <w:tcBorders/>
            <w:shd w:fill="auto" w:val="clear"/>
            <w:vAlign w:val="center"/>
          </w:tcPr>
          <w:p>
            <w:pPr>
              <w:pStyle w:val="TableContents"/>
              <w:spacing w:before="0" w:after="0"/>
              <w:jc w:val="right"/>
              <w:rPr>
                <w:rFonts w:ascii="Times New Roman" w:hAnsi="Times New Roman"/>
                <w:spacing w:val="0"/>
              </w:rPr>
            </w:pPr>
            <w:r>
              <w:rPr>
                <w:rFonts w:ascii="Times New Roman" w:hAnsi="Times New Roman"/>
                <w:spacing w:val="0"/>
              </w:rPr>
              <w:t>(204</w:t>
            </w:r>
          </w:p>
        </w:tc>
        <w:tc>
          <w:tcPr>
            <w:tcW w:w="95" w:type="dxa"/>
            <w:tcBorders/>
            <w:shd w:fill="auto" w:val="clear"/>
            <w:vAlign w:val="center"/>
          </w:tcPr>
          <w:p>
            <w:pPr>
              <w:pStyle w:val="TableContents"/>
              <w:spacing w:before="0" w:after="0"/>
              <w:rPr>
                <w:rFonts w:ascii="Times New Roman" w:hAnsi="Times New Roman"/>
                <w:spacing w:val="0"/>
              </w:rPr>
            </w:pPr>
            <w:r>
              <w:rPr>
                <w:rFonts w:ascii="Times New Roman" w:hAnsi="Times New Roman"/>
                <w:spacing w:val="0"/>
              </w:rPr>
              <w:t>)</w:t>
            </w:r>
          </w:p>
        </w:tc>
        <w:tc>
          <w:tcPr>
            <w:tcW w:w="120" w:type="dxa"/>
            <w:tcBorders/>
            <w:shd w:fill="auto" w:val="clear"/>
            <w:vAlign w:val="center"/>
          </w:tcPr>
          <w:p>
            <w:pPr>
              <w:pStyle w:val="TableContents"/>
              <w:spacing w:before="0" w:after="283"/>
              <w:rPr/>
            </w:pPr>
            <w:r>
              <w:rPr/>
              <w:t>  </w:t>
            </w:r>
          </w:p>
        </w:tc>
        <w:tc>
          <w:tcPr>
            <w:tcW w:w="247" w:type="dxa"/>
            <w:tcBorders/>
            <w:shd w:fill="auto" w:val="clear"/>
            <w:vAlign w:val="center"/>
          </w:tcPr>
          <w:p>
            <w:pPr>
              <w:pStyle w:val="TableContents"/>
              <w:spacing w:before="0" w:after="283"/>
              <w:rPr/>
            </w:pPr>
            <w:r>
              <w:rPr/>
              <w:t> </w:t>
            </w:r>
          </w:p>
        </w:tc>
        <w:tc>
          <w:tcPr>
            <w:tcW w:w="988" w:type="dxa"/>
            <w:tcBorders/>
            <w:shd w:fill="auto" w:val="clear"/>
            <w:vAlign w:val="center"/>
          </w:tcPr>
          <w:p>
            <w:pPr>
              <w:pStyle w:val="TableContents"/>
              <w:spacing w:before="0" w:after="283"/>
              <w:jc w:val="right"/>
              <w:rPr/>
            </w:pPr>
            <w:r>
              <w:rPr/>
              <w:t>(732</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47" w:type="dxa"/>
            <w:tcBorders/>
            <w:shd w:fill="auto" w:val="clear"/>
            <w:vAlign w:val="center"/>
          </w:tcPr>
          <w:p>
            <w:pPr>
              <w:pStyle w:val="TableContents"/>
              <w:spacing w:before="0" w:after="283"/>
              <w:rPr/>
            </w:pPr>
            <w:r>
              <w:rPr/>
              <w:t> </w:t>
            </w:r>
          </w:p>
        </w:tc>
        <w:tc>
          <w:tcPr>
            <w:tcW w:w="988" w:type="dxa"/>
            <w:tcBorders/>
            <w:shd w:fill="auto" w:val="clear"/>
            <w:vAlign w:val="center"/>
          </w:tcPr>
          <w:p>
            <w:pPr>
              <w:pStyle w:val="TableContents"/>
              <w:spacing w:before="0" w:after="283"/>
              <w:jc w:val="right"/>
              <w:rPr/>
            </w:pPr>
            <w:r>
              <w:rPr/>
              <w:t>(77</w:t>
            </w:r>
          </w:p>
        </w:tc>
        <w:tc>
          <w:tcPr>
            <w:tcW w:w="170" w:type="dxa"/>
            <w:tcBorders/>
            <w:shd w:fill="auto" w:val="clear"/>
            <w:vAlign w:val="center"/>
          </w:tcPr>
          <w:p>
            <w:pPr>
              <w:pStyle w:val="TableContents"/>
              <w:spacing w:before="0" w:after="283"/>
              <w:rPr/>
            </w:pPr>
            <w:r>
              <w:rPr/>
              <w:t>) </w:t>
            </w:r>
          </w:p>
        </w:tc>
      </w:tr>
      <w:tr>
        <w:trPr/>
        <w:tc>
          <w:tcPr>
            <w:tcW w:w="344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47" w:type="dxa"/>
            <w:tcBorders/>
            <w:shd w:fill="auto" w:val="clear"/>
            <w:vAlign w:val="center"/>
          </w:tcPr>
          <w:p>
            <w:pPr>
              <w:pStyle w:val="TableContents"/>
              <w:spacing w:before="0" w:after="0"/>
              <w:rPr>
                <w:bdr w:val="single" w:sz="2" w:space="1" w:color="000000"/>
              </w:rPr>
            </w:pPr>
            <w:r>
              <w:rPr>
                <w:bdr w:val="single" w:sz="2" w:space="1" w:color="000000"/>
              </w:rPr>
              <w:t> </w:t>
            </w:r>
          </w:p>
        </w:tc>
        <w:tc>
          <w:tcPr>
            <w:tcW w:w="988" w:type="dxa"/>
            <w:tcBorders/>
            <w:shd w:fill="auto" w:val="clear"/>
            <w:vAlign w:val="center"/>
          </w:tcPr>
          <w:p>
            <w:pPr>
              <w:pStyle w:val="TableContents"/>
              <w:spacing w:before="0" w:after="0"/>
              <w:rPr>
                <w:bdr w:val="single" w:sz="2" w:space="1" w:color="000000"/>
              </w:rPr>
            </w:pPr>
            <w:r>
              <w:rPr>
                <w:bdr w:val="single" w:sz="2" w:space="1" w:color="000000"/>
              </w:rPr>
              <w:t> </w:t>
            </w:r>
          </w:p>
        </w:tc>
        <w:tc>
          <w:tcPr>
            <w:tcW w:w="9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47" w:type="dxa"/>
            <w:tcBorders/>
            <w:shd w:fill="auto" w:val="clear"/>
            <w:vAlign w:val="center"/>
          </w:tcPr>
          <w:p>
            <w:pPr>
              <w:pStyle w:val="TableContents"/>
              <w:spacing w:before="0" w:after="0"/>
              <w:rPr>
                <w:bdr w:val="single" w:sz="2" w:space="1" w:color="000000"/>
              </w:rPr>
            </w:pPr>
            <w:r>
              <w:rPr>
                <w:bdr w:val="single" w:sz="2" w:space="1" w:color="000000"/>
              </w:rPr>
              <w:t> </w:t>
            </w:r>
          </w:p>
        </w:tc>
        <w:tc>
          <w:tcPr>
            <w:tcW w:w="988"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47" w:type="dxa"/>
            <w:tcBorders/>
            <w:shd w:fill="auto" w:val="clear"/>
            <w:vAlign w:val="center"/>
          </w:tcPr>
          <w:p>
            <w:pPr>
              <w:pStyle w:val="TableContents"/>
              <w:spacing w:before="0" w:after="0"/>
              <w:rPr>
                <w:bdr w:val="single" w:sz="2" w:space="1" w:color="000000"/>
              </w:rPr>
            </w:pPr>
            <w:r>
              <w:rPr>
                <w:bdr w:val="single" w:sz="2" w:space="1" w:color="000000"/>
              </w:rPr>
              <w:t> </w:t>
            </w:r>
          </w:p>
        </w:tc>
        <w:tc>
          <w:tcPr>
            <w:tcW w:w="988" w:type="dxa"/>
            <w:tcBorders/>
            <w:shd w:fill="auto" w:val="clear"/>
            <w:vAlign w:val="center"/>
          </w:tcPr>
          <w:p>
            <w:pPr>
              <w:pStyle w:val="TableContents"/>
              <w:spacing w:before="0" w:after="0"/>
              <w:rPr>
                <w:bdr w:val="single" w:sz="2" w:space="1" w:color="000000"/>
              </w:rPr>
            </w:pPr>
            <w:r>
              <w:rPr>
                <w:bdr w:val="single" w:sz="2" w:space="1" w:color="000000"/>
              </w:rPr>
              <w:t> </w:t>
            </w:r>
          </w:p>
        </w:tc>
        <w:tc>
          <w:tcPr>
            <w:tcW w:w="170" w:type="dxa"/>
            <w:tcBorders/>
            <w:shd w:fill="auto" w:val="clear"/>
            <w:vAlign w:val="center"/>
          </w:tcPr>
          <w:p>
            <w:pPr>
              <w:pStyle w:val="TableContents"/>
              <w:spacing w:before="0" w:after="283"/>
              <w:rPr/>
            </w:pPr>
            <w:r>
              <w:rPr/>
              <w:t> </w:t>
            </w:r>
          </w:p>
        </w:tc>
      </w:tr>
      <w:tr>
        <w:trPr/>
        <w:tc>
          <w:tcPr>
            <w:tcW w:w="344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Balance at end of year</w:t>
            </w:r>
          </w:p>
        </w:tc>
        <w:tc>
          <w:tcPr>
            <w:tcW w:w="120" w:type="dxa"/>
            <w:tcBorders/>
            <w:shd w:fill="CCEEFF" w:val="clear"/>
            <w:vAlign w:val="center"/>
          </w:tcPr>
          <w:p>
            <w:pPr>
              <w:pStyle w:val="TableContents"/>
              <w:spacing w:before="0" w:after="283"/>
              <w:rPr/>
            </w:pPr>
            <w:r>
              <w:rPr/>
              <w:t>  </w:t>
            </w:r>
          </w:p>
        </w:tc>
        <w:tc>
          <w:tcPr>
            <w:tcW w:w="247" w:type="dxa"/>
            <w:tcBorders/>
            <w:shd w:fill="CCEEFF" w:val="clear"/>
            <w:vAlign w:val="center"/>
          </w:tcPr>
          <w:p>
            <w:pPr>
              <w:pStyle w:val="TableContents"/>
              <w:spacing w:before="0" w:after="283"/>
              <w:rPr/>
            </w:pPr>
            <w:r>
              <w:rPr/>
              <w:t>$</w:t>
            </w:r>
          </w:p>
        </w:tc>
        <w:tc>
          <w:tcPr>
            <w:tcW w:w="988" w:type="dxa"/>
            <w:tcBorders/>
            <w:shd w:fill="CCEEFF" w:val="clear"/>
            <w:vAlign w:val="center"/>
          </w:tcPr>
          <w:p>
            <w:pPr>
              <w:pStyle w:val="TableContents"/>
              <w:spacing w:before="0" w:after="0"/>
              <w:jc w:val="right"/>
              <w:rPr>
                <w:spacing w:val="0"/>
              </w:rPr>
            </w:pPr>
            <w:r>
              <w:rPr>
                <w:spacing w:val="0"/>
              </w:rPr>
              <w:t>2,564</w:t>
            </w:r>
          </w:p>
        </w:tc>
        <w:tc>
          <w:tcPr>
            <w:tcW w:w="9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247" w:type="dxa"/>
            <w:tcBorders/>
            <w:shd w:fill="CCEEFF" w:val="clear"/>
            <w:vAlign w:val="center"/>
          </w:tcPr>
          <w:p>
            <w:pPr>
              <w:pStyle w:val="TableContents"/>
              <w:spacing w:before="0" w:after="283"/>
              <w:rPr/>
            </w:pPr>
            <w:r>
              <w:rPr/>
              <w:t>$</w:t>
            </w:r>
          </w:p>
        </w:tc>
        <w:tc>
          <w:tcPr>
            <w:tcW w:w="988" w:type="dxa"/>
            <w:tcBorders/>
            <w:shd w:fill="CCEEFF" w:val="clear"/>
            <w:vAlign w:val="center"/>
          </w:tcPr>
          <w:p>
            <w:pPr>
              <w:pStyle w:val="TableContents"/>
              <w:spacing w:before="0" w:after="283"/>
              <w:jc w:val="right"/>
              <w:rPr/>
            </w:pPr>
            <w:r>
              <w:rPr/>
              <w:t>2,080</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247" w:type="dxa"/>
            <w:tcBorders/>
            <w:shd w:fill="CCEEFF" w:val="clear"/>
            <w:vAlign w:val="center"/>
          </w:tcPr>
          <w:p>
            <w:pPr>
              <w:pStyle w:val="TableContents"/>
              <w:spacing w:before="0" w:after="283"/>
              <w:rPr/>
            </w:pPr>
            <w:r>
              <w:rPr/>
              <w:t>$</w:t>
            </w:r>
          </w:p>
        </w:tc>
        <w:tc>
          <w:tcPr>
            <w:tcW w:w="988" w:type="dxa"/>
            <w:tcBorders/>
            <w:shd w:fill="CCEEFF" w:val="clear"/>
            <w:vAlign w:val="center"/>
          </w:tcPr>
          <w:p>
            <w:pPr>
              <w:pStyle w:val="TableContents"/>
              <w:spacing w:before="0" w:after="283"/>
              <w:jc w:val="right"/>
              <w:rPr/>
            </w:pPr>
            <w:r>
              <w:rPr/>
              <w:t>2,333</w:t>
            </w:r>
          </w:p>
        </w:tc>
        <w:tc>
          <w:tcPr>
            <w:tcW w:w="170" w:type="dxa"/>
            <w:tcBorders/>
            <w:shd w:fill="CCEEFF" w:val="clear"/>
            <w:vAlign w:val="center"/>
          </w:tcPr>
          <w:p>
            <w:pPr>
              <w:pStyle w:val="TableContents"/>
              <w:spacing w:before="0" w:after="283"/>
              <w:rPr/>
            </w:pPr>
            <w:r>
              <w:rPr/>
              <w:t> </w:t>
            </w:r>
          </w:p>
        </w:tc>
      </w:tr>
      <w:tr>
        <w:trPr/>
        <w:tc>
          <w:tcPr>
            <w:tcW w:w="344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47" w:type="dxa"/>
            <w:tcBorders/>
            <w:shd w:fill="auto" w:val="clear"/>
            <w:vAlign w:val="center"/>
          </w:tcPr>
          <w:p>
            <w:pPr>
              <w:pStyle w:val="TableContents"/>
              <w:spacing w:before="0" w:after="0"/>
              <w:rPr>
                <w:bdr w:val="double" w:sz="6" w:space="1" w:color="000000"/>
              </w:rPr>
            </w:pPr>
            <w:r>
              <w:rPr>
                <w:bdr w:val="double" w:sz="6" w:space="1" w:color="000000"/>
              </w:rPr>
              <w:t> </w:t>
            </w:r>
          </w:p>
        </w:tc>
        <w:tc>
          <w:tcPr>
            <w:tcW w:w="988" w:type="dxa"/>
            <w:tcBorders/>
            <w:shd w:fill="auto" w:val="clear"/>
            <w:vAlign w:val="center"/>
          </w:tcPr>
          <w:p>
            <w:pPr>
              <w:pStyle w:val="TableContents"/>
              <w:spacing w:before="0" w:after="0"/>
              <w:rPr>
                <w:bdr w:val="double" w:sz="6" w:space="1" w:color="000000"/>
              </w:rPr>
            </w:pPr>
            <w:r>
              <w:rPr>
                <w:bdr w:val="double" w:sz="6" w:space="1" w:color="000000"/>
              </w:rPr>
              <w:t> </w:t>
            </w:r>
          </w:p>
        </w:tc>
        <w:tc>
          <w:tcPr>
            <w:tcW w:w="9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47" w:type="dxa"/>
            <w:tcBorders/>
            <w:shd w:fill="auto" w:val="clear"/>
            <w:vAlign w:val="center"/>
          </w:tcPr>
          <w:p>
            <w:pPr>
              <w:pStyle w:val="TableContents"/>
              <w:spacing w:before="0" w:after="0"/>
              <w:rPr>
                <w:bdr w:val="double" w:sz="6" w:space="1" w:color="000000"/>
              </w:rPr>
            </w:pPr>
            <w:r>
              <w:rPr>
                <w:bdr w:val="double" w:sz="6" w:space="1" w:color="000000"/>
              </w:rPr>
              <w:t> </w:t>
            </w:r>
          </w:p>
        </w:tc>
        <w:tc>
          <w:tcPr>
            <w:tcW w:w="988" w:type="dxa"/>
            <w:tcBorders/>
            <w:shd w:fill="auto" w:val="clear"/>
            <w:vAlign w:val="center"/>
          </w:tcPr>
          <w:p>
            <w:pPr>
              <w:pStyle w:val="TableContents"/>
              <w:spacing w:before="0" w:after="0"/>
              <w:rPr>
                <w:bdr w:val="double" w:sz="6" w:space="1" w:color="000000"/>
              </w:rPr>
            </w:pPr>
            <w:r>
              <w:rPr>
                <w:bdr w:val="double" w:sz="6" w:space="1" w:color="000000"/>
              </w:rPr>
              <w:t> </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47" w:type="dxa"/>
            <w:tcBorders/>
            <w:shd w:fill="auto" w:val="clear"/>
            <w:vAlign w:val="center"/>
          </w:tcPr>
          <w:p>
            <w:pPr>
              <w:pStyle w:val="TableContents"/>
              <w:spacing w:before="0" w:after="0"/>
              <w:rPr>
                <w:bdr w:val="double" w:sz="6" w:space="1" w:color="000000"/>
              </w:rPr>
            </w:pPr>
            <w:r>
              <w:rPr>
                <w:bdr w:val="double" w:sz="6" w:space="1" w:color="000000"/>
              </w:rPr>
              <w:t> </w:t>
            </w:r>
          </w:p>
        </w:tc>
        <w:tc>
          <w:tcPr>
            <w:tcW w:w="988" w:type="dxa"/>
            <w:tcBorders/>
            <w:shd w:fill="auto" w:val="clear"/>
            <w:vAlign w:val="center"/>
          </w:tcPr>
          <w:p>
            <w:pPr>
              <w:pStyle w:val="TableContents"/>
              <w:spacing w:before="0" w:after="0"/>
              <w:rPr>
                <w:bdr w:val="double" w:sz="6" w:space="1" w:color="000000"/>
              </w:rPr>
            </w:pPr>
            <w:r>
              <w:rPr>
                <w:bdr w:val="double" w:sz="6" w:space="1" w:color="000000"/>
              </w:rPr>
              <w:t> </w:t>
            </w:r>
          </w:p>
        </w:tc>
        <w:tc>
          <w:tcPr>
            <w:tcW w:w="170" w:type="dxa"/>
            <w:tcBorders/>
            <w:shd w:fill="auto" w:val="clear"/>
            <w:vAlign w:val="center"/>
          </w:tcPr>
          <w:p>
            <w:pPr>
              <w:pStyle w:val="TableContents"/>
              <w:spacing w:before="0" w:after="283"/>
              <w:rPr/>
            </w:pPr>
            <w:r>
              <w:rPr/>
              <w:t> </w:t>
            </w:r>
          </w:p>
        </w:tc>
      </w:tr>
    </w:tbl>
    <w:p>
      <w:pPr>
        <w:pStyle w:val="TextBody"/>
        <w:spacing w:before="240" w:after="0"/>
        <w:jc w:val="left"/>
        <w:rPr>
          <w:rFonts w:ascii="Times New Roman" w:hAnsi="Times New Roman"/>
          <w:spacing w:val="0"/>
          <w:sz w:val="20"/>
        </w:rPr>
      </w:pPr>
      <w:r>
        <w:rPr>
          <w:rFonts w:ascii="Times New Roman" w:hAnsi="Times New Roman"/>
          <w:spacing w:val="0"/>
          <w:sz w:val="20"/>
        </w:rPr>
        <w:t xml:space="preserve">The January 31, 2021 balance of unrecognized tax benefits includes $2,337, that if recognized, would affect our effective tax rate. As of January 31, 2021, and February 2, 2020, we had accrued interest and penalties of </w:t>
      </w:r>
    </w:p>
    <w:p>
      <w:pPr>
        <w:pStyle w:val="TextBody"/>
        <w:spacing w:before="240" w:after="0"/>
        <w:jc w:val="left"/>
        <w:rPr>
          <w:rFonts w:ascii="Times New Roman" w:hAnsi="Times New Roman"/>
          <w:spacing w:val="0"/>
          <w:sz w:val="20"/>
        </w:rPr>
      </w:pPr>
      <w:r>
        <w:rPr>
          <w:rFonts w:ascii="Times New Roman" w:hAnsi="Times New Roman"/>
          <w:spacing w:val="0"/>
          <w:sz w:val="20"/>
        </w:rPr>
        <w:t>$412 </w:t>
      </w:r>
    </w:p>
    <w:p>
      <w:pPr>
        <w:pStyle w:val="TextBody"/>
        <w:spacing w:before="240" w:after="0"/>
        <w:jc w:val="left"/>
        <w:rPr>
          <w:rFonts w:ascii="Times New Roman" w:hAnsi="Times New Roman"/>
          <w:spacing w:val="0"/>
          <w:sz w:val="20"/>
        </w:rPr>
      </w:pPr>
      <w:r>
        <w:rPr>
          <w:rFonts w:ascii="Times New Roman" w:hAnsi="Times New Roman"/>
          <w:spacing w:val="0"/>
          <w:sz w:val="20"/>
        </w:rPr>
        <w:t>and $390, respectively. The Company recorded accrued interest related to the unrecognized tax benefits and</w:t>
      </w:r>
    </w:p>
    <w:p>
      <w:pPr>
        <w:pStyle w:val="TextBody"/>
        <w:spacing w:before="240" w:after="0"/>
        <w:jc w:val="left"/>
        <w:rPr>
          <w:spacing w:val="0"/>
        </w:rPr>
      </w:pPr>
      <w:r>
        <w:rPr>
          <w:spacing w:val="0"/>
        </w:rPr>
        <w:t> </w:t>
      </w:r>
    </w:p>
    <w:p>
      <w:pPr>
        <w:pStyle w:val="TextBody"/>
        <w:spacing w:before="240" w:after="0"/>
        <w:jc w:val="left"/>
        <w:rPr>
          <w:rFonts w:ascii="Times New Roman" w:hAnsi="Times New Roman"/>
          <w:spacing w:val="0"/>
          <w:sz w:val="20"/>
        </w:rPr>
      </w:pPr>
      <w:r>
        <w:rPr>
          <w:rFonts w:ascii="Times New Roman" w:hAnsi="Times New Roman"/>
          <w:spacing w:val="0"/>
          <w:sz w:val="20"/>
        </w:rPr>
        <w:t>penalties as a component of the provision for income taxes recognized in the Consolidated Statements of Comprehensive Income</w:t>
      </w:r>
    </w:p>
    <w:p>
      <w:pPr>
        <w:pStyle w:val="TextBody"/>
        <w:spacing w:before="240" w:after="0"/>
        <w:jc w:val="left"/>
        <w:rPr>
          <w:spacing w:val="0"/>
        </w:rPr>
      </w:pPr>
      <w:r>
        <w:rPr>
          <w:spacing w:val="0"/>
        </w:rPr>
        <w:t> </w:t>
      </w:r>
    </w:p>
    <w:p>
      <w:pPr>
        <w:pStyle w:val="TextBody"/>
        <w:spacing w:before="240" w:after="0"/>
        <w:jc w:val="left"/>
        <w:rPr>
          <w:rFonts w:ascii="Times New Roman" w:hAnsi="Times New Roman"/>
          <w:spacing w:val="0"/>
          <w:sz w:val="20"/>
        </w:rPr>
      </w:pPr>
      <w:r>
        <w:rPr>
          <w:rFonts w:ascii="Times New Roman" w:hAnsi="Times New Roman"/>
          <w:spacing w:val="0"/>
          <w:sz w:val="20"/>
        </w:rPr>
        <w:t>(</w:t>
      </w:r>
    </w:p>
    <w:p>
      <w:pPr>
        <w:pStyle w:val="TextBody"/>
        <w:spacing w:before="240" w:after="0"/>
        <w:jc w:val="left"/>
        <w:rPr>
          <w:rFonts w:ascii="Times New Roman" w:hAnsi="Times New Roman"/>
          <w:spacing w:val="0"/>
          <w:sz w:val="20"/>
        </w:rPr>
      </w:pPr>
      <w:r>
        <w:rPr>
          <w:rFonts w:ascii="Times New Roman" w:hAnsi="Times New Roman"/>
          <w:spacing w:val="0"/>
          <w:sz w:val="20"/>
        </w:rPr>
        <w:t>Loss)</w:t>
      </w:r>
    </w:p>
    <w:p>
      <w:pPr>
        <w:pStyle w:val="TextBody"/>
        <w:spacing w:before="240" w:after="0"/>
        <w:jc w:val="left"/>
        <w:rPr>
          <w:rFonts w:ascii="Times New Roman" w:hAnsi="Times New Roman"/>
          <w:spacing w:val="0"/>
          <w:sz w:val="20"/>
        </w:rPr>
      </w:pPr>
      <w:r>
        <w:rPr>
          <w:rFonts w:ascii="Times New Roman" w:hAnsi="Times New Roman"/>
          <w:spacing w:val="0"/>
          <w:sz w:val="20"/>
        </w:rPr>
        <w:t>.</w:t>
      </w:r>
    </w:p>
    <w:p>
      <w:pPr>
        <w:pStyle w:val="TextBody"/>
        <w:spacing w:before="240" w:after="0"/>
        <w:jc w:val="left"/>
        <w:rPr>
          <w:rFonts w:ascii="Times New Roman" w:hAnsi="Times New Roman"/>
          <w:spacing w:val="0"/>
          <w:sz w:val="20"/>
        </w:rPr>
      </w:pPr>
      <w:r>
        <w:rPr>
          <w:rFonts w:ascii="Times New Roman" w:hAnsi="Times New Roman"/>
          <w:spacing w:val="0"/>
          <w:sz w:val="20"/>
        </w:rPr>
        <w:t>In the next twelve months, it is reasonably possible that our unrecognized tax benefits could change due to the resolution of certain tax matters, including payments on those tax matters or due to lapse of the statute of limitations. These resolutions and payments could reduce our unrecognized tax benefits by up to approximately $</w:t>
      </w:r>
    </w:p>
    <w:p>
      <w:pPr>
        <w:pStyle w:val="TextBody"/>
        <w:spacing w:before="240" w:after="0"/>
        <w:jc w:val="left"/>
        <w:rPr>
          <w:rFonts w:ascii="Times New Roman" w:hAnsi="Times New Roman"/>
          <w:spacing w:val="0"/>
          <w:sz w:val="20"/>
        </w:rPr>
      </w:pPr>
      <w:r>
        <w:rPr>
          <w:rFonts w:ascii="Times New Roman" w:hAnsi="Times New Roman"/>
          <w:spacing w:val="0"/>
          <w:sz w:val="20"/>
        </w:rPr>
        <w:t>280.</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F-21 </w:t>
      </w:r>
    </w:p>
    <w:p>
      <w:pPr>
        <w:pStyle w:val="HorizontalLine"/>
        <w:rPr/>
      </w:pPr>
      <w:r>
        <w:rPr/>
      </w:r>
    </w:p>
    <w:p>
      <w:pPr>
        <w:pStyle w:val="TextBody"/>
        <w:spacing w:before="0" w:after="0"/>
        <w:rPr/>
      </w:pPr>
      <w:hyperlink w:anchor="toc">
        <w:r>
          <w:rPr>
            <w:rStyle w:val="InternetLink"/>
            <w:b/>
            <w:sz w:val="20"/>
          </w:rPr>
          <w:t>Table of Contents</w:t>
        </w:r>
      </w:hyperlink>
    </w:p>
    <w:p>
      <w:pPr>
        <w:pStyle w:val="TextBody"/>
        <w:spacing w:before="0" w:after="0"/>
        <w:jc w:val="left"/>
        <w:rPr>
          <w:rFonts w:ascii="Times New Roman" w:hAnsi="Times New Roman"/>
          <w:spacing w:val="0"/>
          <w:sz w:val="20"/>
        </w:rPr>
      </w:pPr>
      <w:r>
        <w:rPr>
          <w:rFonts w:ascii="Times New Roman" w:hAnsi="Times New Roman"/>
          <w:spacing w:val="0"/>
          <w:sz w:val="20"/>
        </w:rPr>
        <w:t xml:space="preserve">We file consolidated income tax returns with all our domestic subsidiaries, which are periodically audited by various federal, state and foreign jurisdictions. We are generally no longer subject to federal, state, or foreign income tax examinations for years prior to 2014. </w:t>
      </w:r>
    </w:p>
    <w:p>
      <w:pPr>
        <w:pStyle w:val="TextBody"/>
        <w:spacing w:before="240" w:after="0"/>
        <w:jc w:val="left"/>
        <w:rPr>
          <w:rFonts w:ascii="Times New Roman" w:hAnsi="Times New Roman"/>
          <w:spacing w:val="0"/>
          <w:sz w:val="20"/>
        </w:rPr>
      </w:pPr>
      <w:r>
        <w:rPr>
          <w:rFonts w:ascii="Times New Roman" w:hAnsi="Times New Roman"/>
          <w:spacing w:val="0"/>
          <w:sz w:val="20"/>
        </w:rPr>
        <w:t>The Company recorded excess tax expense (benefits) of</w:t>
      </w:r>
    </w:p>
    <w:p>
      <w:pPr>
        <w:pStyle w:val="TextBody"/>
        <w:spacing w:before="240" w:after="0"/>
        <w:jc w:val="left"/>
        <w:rPr>
          <w:spacing w:val="0"/>
        </w:rPr>
      </w:pPr>
      <w:r>
        <w:rPr>
          <w:spacing w:val="0"/>
        </w:rPr>
        <w:t> </w:t>
      </w:r>
    </w:p>
    <w:p>
      <w:pPr>
        <w:pStyle w:val="TextBody"/>
        <w:spacing w:before="240" w:after="0"/>
        <w:jc w:val="left"/>
        <w:rPr>
          <w:rFonts w:ascii="Times New Roman" w:hAnsi="Times New Roman"/>
          <w:spacing w:val="0"/>
          <w:sz w:val="20"/>
        </w:rPr>
      </w:pPr>
      <w:r>
        <w:rPr>
          <w:rFonts w:ascii="Times New Roman" w:hAnsi="Times New Roman"/>
          <w:spacing w:val="0"/>
          <w:sz w:val="20"/>
        </w:rPr>
        <w:t>$437, </w:t>
      </w:r>
    </w:p>
    <w:p>
      <w:pPr>
        <w:pStyle w:val="TextBody"/>
        <w:spacing w:before="240" w:after="0"/>
        <w:jc w:val="left"/>
        <w:rPr>
          <w:rFonts w:ascii="Times New Roman" w:hAnsi="Times New Roman"/>
          <w:spacing w:val="0"/>
          <w:sz w:val="20"/>
        </w:rPr>
      </w:pPr>
      <w:r>
        <w:rPr>
          <w:rFonts w:ascii="Times New Roman" w:hAnsi="Times New Roman"/>
          <w:spacing w:val="0"/>
          <w:sz w:val="20"/>
        </w:rPr>
        <w:t>($1,201), and ($4,998)</w:t>
      </w:r>
    </w:p>
    <w:p>
      <w:pPr>
        <w:pStyle w:val="TextBody"/>
        <w:spacing w:before="240" w:after="0"/>
        <w:jc w:val="left"/>
        <w:rPr>
          <w:spacing w:val="0"/>
        </w:rPr>
      </w:pPr>
      <w:r>
        <w:rPr>
          <w:spacing w:val="0"/>
        </w:rPr>
        <w:t> </w:t>
      </w:r>
    </w:p>
    <w:p>
      <w:pPr>
        <w:pStyle w:val="TextBody"/>
        <w:spacing w:before="240" w:after="0"/>
        <w:jc w:val="left"/>
        <w:rPr>
          <w:rFonts w:ascii="Times New Roman" w:hAnsi="Times New Roman"/>
          <w:spacing w:val="0"/>
          <w:sz w:val="20"/>
        </w:rPr>
      </w:pPr>
      <w:r>
        <w:rPr>
          <w:rFonts w:ascii="Times New Roman" w:hAnsi="Times New Roman"/>
          <w:spacing w:val="0"/>
          <w:sz w:val="20"/>
        </w:rPr>
        <w:t>in fiscal 2020, fiscal 2019 and fiscal 2018, respectively, to the provision for income taxes in the Consolidated Statements of Comprehensive Income (Loss). </w:t>
      </w:r>
    </w:p>
    <w:p>
      <w:pPr>
        <w:pStyle w:val="TextBody"/>
        <w:spacing w:before="360" w:after="0"/>
        <w:jc w:val="left"/>
        <w:rPr>
          <w:rFonts w:ascii="Times New Roman" w:hAnsi="Times New Roman"/>
          <w:b/>
          <w:spacing w:val="0"/>
          <w:sz w:val="20"/>
        </w:rPr>
      </w:pPr>
      <w:r>
        <w:rPr>
          <w:rFonts w:ascii="Times New Roman" w:hAnsi="Times New Roman"/>
          <w:b/>
          <w:spacing w:val="0"/>
          <w:sz w:val="20"/>
        </w:rPr>
        <w:t xml:space="preserve">Note 7: Leases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The components of lease expense, including variable lease costs primarily consisting of common area maintenance charges and property taxes, are as follows: </w:t>
      </w:r>
    </w:p>
    <w:p>
      <w:pPr>
        <w:pStyle w:val="TextBody"/>
        <w:spacing w:before="0" w:after="0"/>
        <w:jc w:val="left"/>
        <w:rPr>
          <w:spacing w:val="0"/>
        </w:rPr>
      </w:pPr>
      <w:r>
        <w:rPr>
          <w:spacing w:val="0"/>
        </w:rPr>
        <w:t> </w:t>
      </w:r>
    </w:p>
    <w:tbl>
      <w:tblPr>
        <w:tblW w:w="5685" w:type="dxa"/>
        <w:jc w:val="left"/>
        <w:tblInd w:w="0" w:type="dxa"/>
        <w:tblCellMar>
          <w:top w:w="0" w:type="dxa"/>
          <w:left w:w="0" w:type="dxa"/>
          <w:bottom w:w="0" w:type="dxa"/>
          <w:right w:w="0" w:type="dxa"/>
        </w:tblCellMar>
      </w:tblPr>
      <w:tblGrid>
        <w:gridCol w:w="1760"/>
        <w:gridCol w:w="120"/>
        <w:gridCol w:w="264"/>
        <w:gridCol w:w="1511"/>
        <w:gridCol w:w="60"/>
        <w:gridCol w:w="120"/>
        <w:gridCol w:w="264"/>
        <w:gridCol w:w="1511"/>
        <w:gridCol w:w="75"/>
      </w:tblGrid>
      <w:tr>
        <w:trPr/>
        <w:tc>
          <w:tcPr>
            <w:tcW w:w="17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64" w:type="dxa"/>
            <w:tcBorders/>
            <w:shd w:fill="auto" w:val="clear"/>
            <w:vAlign w:val="center"/>
          </w:tcPr>
          <w:p>
            <w:pPr>
              <w:pStyle w:val="TableContents"/>
              <w:spacing w:before="0" w:after="283"/>
              <w:rPr>
                <w:sz w:val="4"/>
                <w:szCs w:val="4"/>
              </w:rPr>
            </w:pPr>
            <w:r>
              <w:rPr>
                <w:sz w:val="4"/>
                <w:szCs w:val="4"/>
              </w:rPr>
            </w:r>
          </w:p>
        </w:tc>
        <w:tc>
          <w:tcPr>
            <w:tcW w:w="1511"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64" w:type="dxa"/>
            <w:tcBorders/>
            <w:shd w:fill="auto" w:val="clear"/>
            <w:vAlign w:val="center"/>
          </w:tcPr>
          <w:p>
            <w:pPr>
              <w:pStyle w:val="TableContents"/>
              <w:spacing w:before="0" w:after="283"/>
              <w:rPr>
                <w:sz w:val="4"/>
                <w:szCs w:val="4"/>
              </w:rPr>
            </w:pPr>
            <w:r>
              <w:rPr>
                <w:sz w:val="4"/>
                <w:szCs w:val="4"/>
              </w:rPr>
            </w:r>
          </w:p>
        </w:tc>
        <w:tc>
          <w:tcPr>
            <w:tcW w:w="1511"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17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775"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January 31, 2021</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775"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February 2, 2020</w:t>
            </w:r>
          </w:p>
        </w:tc>
        <w:tc>
          <w:tcPr>
            <w:tcW w:w="75" w:type="dxa"/>
            <w:tcBorders/>
            <w:shd w:fill="auto" w:val="clear"/>
            <w:vAlign w:val="center"/>
          </w:tcPr>
          <w:p>
            <w:pPr>
              <w:pStyle w:val="TableContents"/>
              <w:spacing w:before="0" w:after="283"/>
              <w:rPr/>
            </w:pPr>
            <w:r>
              <w:rPr/>
              <w:t> </w:t>
            </w:r>
          </w:p>
        </w:tc>
      </w:tr>
      <w:tr>
        <w:trPr/>
        <w:tc>
          <w:tcPr>
            <w:tcW w:w="1760" w:type="dxa"/>
            <w:tcBorders/>
            <w:shd w:fill="CCEEFF" w:val="clear"/>
            <w:vAlign w:val="center"/>
          </w:tcPr>
          <w:p>
            <w:pPr>
              <w:pStyle w:val="TableContents"/>
              <w:spacing w:before="0" w:after="0"/>
              <w:ind w:left="374" w:right="0" w:hanging="0"/>
              <w:rPr>
                <w:rFonts w:ascii="Times New Roman" w:hAnsi="Times New Roman"/>
                <w:spacing w:val="0"/>
                <w:sz w:val="20"/>
              </w:rPr>
            </w:pPr>
            <w:r>
              <w:rPr>
                <w:rFonts w:ascii="Times New Roman" w:hAnsi="Times New Roman"/>
                <w:spacing w:val="0"/>
                <w:sz w:val="20"/>
              </w:rPr>
              <w:t>Operating lease cost</w:t>
            </w:r>
          </w:p>
        </w:tc>
        <w:tc>
          <w:tcPr>
            <w:tcW w:w="120" w:type="dxa"/>
            <w:tcBorders/>
            <w:shd w:fill="CCEEFF" w:val="clear"/>
            <w:vAlign w:val="center"/>
          </w:tcPr>
          <w:p>
            <w:pPr>
              <w:pStyle w:val="TableContents"/>
              <w:spacing w:before="0" w:after="283"/>
              <w:rPr/>
            </w:pPr>
            <w:r>
              <w:rPr/>
              <w:t>  </w:t>
            </w:r>
          </w:p>
        </w:tc>
        <w:tc>
          <w:tcPr>
            <w:tcW w:w="264" w:type="dxa"/>
            <w:tcBorders/>
            <w:shd w:fill="CCEEFF" w:val="clear"/>
            <w:vAlign w:val="center"/>
          </w:tcPr>
          <w:p>
            <w:pPr>
              <w:pStyle w:val="TableContents"/>
              <w:spacing w:before="0" w:after="283"/>
              <w:rPr/>
            </w:pPr>
            <w:r>
              <w:rPr/>
              <w:t>$</w:t>
            </w:r>
          </w:p>
        </w:tc>
        <w:tc>
          <w:tcPr>
            <w:tcW w:w="1511" w:type="dxa"/>
            <w:tcBorders/>
            <w:shd w:fill="CCEEFF" w:val="clear"/>
            <w:vAlign w:val="center"/>
          </w:tcPr>
          <w:p>
            <w:pPr>
              <w:pStyle w:val="TableContents"/>
              <w:spacing w:before="0" w:after="283"/>
              <w:jc w:val="right"/>
              <w:rPr/>
            </w:pPr>
            <w:r>
              <w:rPr/>
              <w:t>132,658</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264" w:type="dxa"/>
            <w:tcBorders/>
            <w:shd w:fill="CCEEFF" w:val="clear"/>
            <w:vAlign w:val="center"/>
          </w:tcPr>
          <w:p>
            <w:pPr>
              <w:pStyle w:val="TableContents"/>
              <w:spacing w:before="0" w:after="283"/>
              <w:rPr/>
            </w:pPr>
            <w:r>
              <w:rPr/>
              <w:t>$</w:t>
            </w:r>
          </w:p>
        </w:tc>
        <w:tc>
          <w:tcPr>
            <w:tcW w:w="1511" w:type="dxa"/>
            <w:tcBorders/>
            <w:shd w:fill="CCEEFF" w:val="clear"/>
            <w:vAlign w:val="center"/>
          </w:tcPr>
          <w:p>
            <w:pPr>
              <w:pStyle w:val="TableContents"/>
              <w:spacing w:before="0" w:after="283"/>
              <w:jc w:val="right"/>
              <w:rPr/>
            </w:pPr>
            <w:r>
              <w:rPr/>
              <w:t>124,065</w:t>
            </w:r>
          </w:p>
        </w:tc>
        <w:tc>
          <w:tcPr>
            <w:tcW w:w="75" w:type="dxa"/>
            <w:tcBorders/>
            <w:shd w:fill="CCEEFF" w:val="clear"/>
            <w:vAlign w:val="center"/>
          </w:tcPr>
          <w:p>
            <w:pPr>
              <w:pStyle w:val="TableContents"/>
              <w:spacing w:before="0" w:after="283"/>
              <w:rPr/>
            </w:pPr>
            <w:r>
              <w:rPr/>
              <w:t> </w:t>
            </w:r>
          </w:p>
        </w:tc>
      </w:tr>
      <w:tr>
        <w:trPr/>
        <w:tc>
          <w:tcPr>
            <w:tcW w:w="1760" w:type="dxa"/>
            <w:tcBorders/>
            <w:shd w:fill="auto" w:val="clear"/>
            <w:vAlign w:val="center"/>
          </w:tcPr>
          <w:p>
            <w:pPr>
              <w:pStyle w:val="TableContents"/>
              <w:spacing w:before="0" w:after="0"/>
              <w:ind w:left="374" w:right="0" w:hanging="0"/>
              <w:rPr>
                <w:rFonts w:ascii="Times New Roman" w:hAnsi="Times New Roman"/>
                <w:spacing w:val="0"/>
                <w:sz w:val="20"/>
              </w:rPr>
            </w:pPr>
            <w:r>
              <w:rPr>
                <w:rFonts w:ascii="Times New Roman" w:hAnsi="Times New Roman"/>
                <w:spacing w:val="0"/>
                <w:sz w:val="20"/>
              </w:rPr>
              <w:t>Variable lease cost</w:t>
            </w:r>
          </w:p>
        </w:tc>
        <w:tc>
          <w:tcPr>
            <w:tcW w:w="120" w:type="dxa"/>
            <w:tcBorders/>
            <w:shd w:fill="auto" w:val="clear"/>
            <w:vAlign w:val="center"/>
          </w:tcPr>
          <w:p>
            <w:pPr>
              <w:pStyle w:val="TableContents"/>
              <w:spacing w:before="0" w:after="283"/>
              <w:rPr/>
            </w:pPr>
            <w:r>
              <w:rPr/>
              <w:t>  </w:t>
            </w:r>
          </w:p>
        </w:tc>
        <w:tc>
          <w:tcPr>
            <w:tcW w:w="264" w:type="dxa"/>
            <w:tcBorders/>
            <w:shd w:fill="auto" w:val="clear"/>
            <w:vAlign w:val="center"/>
          </w:tcPr>
          <w:p>
            <w:pPr>
              <w:pStyle w:val="TableContents"/>
              <w:spacing w:before="0" w:after="283"/>
              <w:rPr/>
            </w:pPr>
            <w:r>
              <w:rPr/>
              <w:t> </w:t>
            </w:r>
          </w:p>
        </w:tc>
        <w:tc>
          <w:tcPr>
            <w:tcW w:w="1511" w:type="dxa"/>
            <w:tcBorders/>
            <w:shd w:fill="auto" w:val="clear"/>
            <w:vAlign w:val="center"/>
          </w:tcPr>
          <w:p>
            <w:pPr>
              <w:pStyle w:val="TableContents"/>
              <w:spacing w:before="0" w:after="283"/>
              <w:jc w:val="right"/>
              <w:rPr/>
            </w:pPr>
            <w:r>
              <w:rPr/>
              <w:t>25,360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64" w:type="dxa"/>
            <w:tcBorders/>
            <w:shd w:fill="auto" w:val="clear"/>
            <w:vAlign w:val="center"/>
          </w:tcPr>
          <w:p>
            <w:pPr>
              <w:pStyle w:val="TableContents"/>
              <w:spacing w:before="0" w:after="283"/>
              <w:rPr/>
            </w:pPr>
            <w:r>
              <w:rPr/>
              <w:t> </w:t>
            </w:r>
          </w:p>
        </w:tc>
        <w:tc>
          <w:tcPr>
            <w:tcW w:w="1511" w:type="dxa"/>
            <w:tcBorders/>
            <w:shd w:fill="auto" w:val="clear"/>
            <w:vAlign w:val="center"/>
          </w:tcPr>
          <w:p>
            <w:pPr>
              <w:pStyle w:val="TableContents"/>
              <w:spacing w:before="0" w:after="283"/>
              <w:jc w:val="right"/>
              <w:rPr/>
            </w:pPr>
            <w:r>
              <w:rPr/>
              <w:t>30,009</w:t>
            </w:r>
          </w:p>
        </w:tc>
        <w:tc>
          <w:tcPr>
            <w:tcW w:w="75" w:type="dxa"/>
            <w:tcBorders/>
            <w:shd w:fill="auto" w:val="clear"/>
            <w:vAlign w:val="center"/>
          </w:tcPr>
          <w:p>
            <w:pPr>
              <w:pStyle w:val="TableContents"/>
              <w:spacing w:before="0" w:after="283"/>
              <w:rPr/>
            </w:pPr>
            <w:r>
              <w:rPr/>
              <w:t> </w:t>
            </w:r>
          </w:p>
        </w:tc>
      </w:tr>
      <w:tr>
        <w:trPr/>
        <w:tc>
          <w:tcPr>
            <w:tcW w:w="1760" w:type="dxa"/>
            <w:tcBorders/>
            <w:shd w:fill="CCEEFF" w:val="clear"/>
            <w:vAlign w:val="center"/>
          </w:tcPr>
          <w:p>
            <w:pPr>
              <w:pStyle w:val="TableContents"/>
              <w:spacing w:before="0" w:after="0"/>
              <w:ind w:left="374" w:right="0" w:hanging="0"/>
              <w:rPr>
                <w:rFonts w:ascii="Times New Roman" w:hAnsi="Times New Roman"/>
                <w:spacing w:val="0"/>
                <w:sz w:val="20"/>
              </w:rPr>
            </w:pPr>
            <w:r>
              <w:rPr>
                <w:rFonts w:ascii="Times New Roman" w:hAnsi="Times New Roman"/>
                <w:spacing w:val="0"/>
                <w:sz w:val="20"/>
              </w:rPr>
              <w:t xml:space="preserve">Short-term lease cost </w:t>
            </w:r>
          </w:p>
          <w:p>
            <w:pPr>
              <w:pStyle w:val="TableContents"/>
              <w:spacing w:before="0" w:after="0"/>
              <w:rPr>
                <w:rFonts w:ascii="Times New Roman" w:hAnsi="Times New Roman"/>
                <w:spacing w:val="0"/>
                <w:sz w:val="14"/>
              </w:rPr>
            </w:pPr>
            <w:r>
              <w:rPr>
                <w:rFonts w:ascii="Times New Roman" w:hAnsi="Times New Roman"/>
                <w:spacing w:val="0"/>
                <w:sz w:val="14"/>
              </w:rPr>
              <w:t>(1)</w:t>
            </w:r>
          </w:p>
        </w:tc>
        <w:tc>
          <w:tcPr>
            <w:tcW w:w="120" w:type="dxa"/>
            <w:tcBorders/>
            <w:shd w:fill="CCEEFF" w:val="clear"/>
            <w:vAlign w:val="center"/>
          </w:tcPr>
          <w:p>
            <w:pPr>
              <w:pStyle w:val="TableContents"/>
              <w:spacing w:before="0" w:after="283"/>
              <w:rPr/>
            </w:pPr>
            <w:r>
              <w:rPr/>
              <w:t>  </w:t>
            </w:r>
          </w:p>
        </w:tc>
        <w:tc>
          <w:tcPr>
            <w:tcW w:w="264" w:type="dxa"/>
            <w:tcBorders/>
            <w:shd w:fill="CCEEFF" w:val="clear"/>
            <w:vAlign w:val="center"/>
          </w:tcPr>
          <w:p>
            <w:pPr>
              <w:pStyle w:val="TableContents"/>
              <w:spacing w:before="0" w:after="283"/>
              <w:rPr/>
            </w:pPr>
            <w:r>
              <w:rPr/>
              <w:t> </w:t>
            </w:r>
          </w:p>
        </w:tc>
        <w:tc>
          <w:tcPr>
            <w:tcW w:w="1511" w:type="dxa"/>
            <w:tcBorders/>
            <w:shd w:fill="CCEEFF" w:val="clear"/>
            <w:vAlign w:val="center"/>
          </w:tcPr>
          <w:p>
            <w:pPr>
              <w:pStyle w:val="TableContents"/>
              <w:spacing w:before="0" w:after="283"/>
              <w:jc w:val="right"/>
              <w:rPr/>
            </w:pPr>
            <w:r>
              <w:rPr/>
              <w:t>457</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264" w:type="dxa"/>
            <w:tcBorders/>
            <w:shd w:fill="CCEEFF" w:val="clear"/>
            <w:vAlign w:val="center"/>
          </w:tcPr>
          <w:p>
            <w:pPr>
              <w:pStyle w:val="TableContents"/>
              <w:spacing w:before="0" w:after="283"/>
              <w:rPr/>
            </w:pPr>
            <w:r>
              <w:rPr/>
              <w:t> </w:t>
            </w:r>
          </w:p>
        </w:tc>
        <w:tc>
          <w:tcPr>
            <w:tcW w:w="1511" w:type="dxa"/>
            <w:tcBorders/>
            <w:shd w:fill="CCEEFF" w:val="clear"/>
            <w:vAlign w:val="center"/>
          </w:tcPr>
          <w:p>
            <w:pPr>
              <w:pStyle w:val="TableContents"/>
              <w:spacing w:before="0" w:after="283"/>
              <w:jc w:val="right"/>
              <w:rPr/>
            </w:pPr>
            <w:r>
              <w:rPr/>
              <w:t>435</w:t>
            </w:r>
          </w:p>
        </w:tc>
        <w:tc>
          <w:tcPr>
            <w:tcW w:w="75" w:type="dxa"/>
            <w:tcBorders/>
            <w:shd w:fill="CCEEFF" w:val="clear"/>
            <w:vAlign w:val="center"/>
          </w:tcPr>
          <w:p>
            <w:pPr>
              <w:pStyle w:val="TableContents"/>
              <w:spacing w:before="0" w:after="283"/>
              <w:rPr/>
            </w:pPr>
            <w:r>
              <w:rPr/>
              <w:t> </w:t>
            </w:r>
          </w:p>
        </w:tc>
      </w:tr>
      <w:tr>
        <w:trPr/>
        <w:tc>
          <w:tcPr>
            <w:tcW w:w="17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64" w:type="dxa"/>
            <w:tcBorders/>
            <w:shd w:fill="auto" w:val="clear"/>
            <w:vAlign w:val="center"/>
          </w:tcPr>
          <w:p>
            <w:pPr>
              <w:pStyle w:val="TableContents"/>
              <w:spacing w:before="0" w:after="0"/>
              <w:rPr>
                <w:bdr w:val="single" w:sz="2" w:space="1" w:color="000000"/>
              </w:rPr>
            </w:pPr>
            <w:r>
              <w:rPr>
                <w:bdr w:val="single" w:sz="2" w:space="1" w:color="000000"/>
              </w:rPr>
              <w:t> </w:t>
            </w:r>
          </w:p>
        </w:tc>
        <w:tc>
          <w:tcPr>
            <w:tcW w:w="1511" w:type="dxa"/>
            <w:tcBorders/>
            <w:shd w:fill="auto" w:val="clear"/>
            <w:vAlign w:val="center"/>
          </w:tcPr>
          <w:p>
            <w:pPr>
              <w:pStyle w:val="TableContents"/>
              <w:spacing w:before="0" w:after="0"/>
              <w:rPr>
                <w:bdr w:val="single" w:sz="2" w:space="1" w:color="000000"/>
              </w:rPr>
            </w:pPr>
            <w:r>
              <w:rPr>
                <w:bdr w:val="single" w:sz="2"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64" w:type="dxa"/>
            <w:tcBorders/>
            <w:shd w:fill="auto" w:val="clear"/>
            <w:vAlign w:val="center"/>
          </w:tcPr>
          <w:p>
            <w:pPr>
              <w:pStyle w:val="TableContents"/>
              <w:spacing w:before="0" w:after="0"/>
              <w:rPr>
                <w:bdr w:val="single" w:sz="2" w:space="1" w:color="000000"/>
              </w:rPr>
            </w:pPr>
            <w:r>
              <w:rPr>
                <w:bdr w:val="single" w:sz="2" w:space="1" w:color="000000"/>
              </w:rPr>
              <w:t> </w:t>
            </w:r>
          </w:p>
        </w:tc>
        <w:tc>
          <w:tcPr>
            <w:tcW w:w="1511" w:type="dxa"/>
            <w:tcBorders/>
            <w:shd w:fill="auto" w:val="clear"/>
            <w:vAlign w:val="center"/>
          </w:tcPr>
          <w:p>
            <w:pPr>
              <w:pStyle w:val="TableContents"/>
              <w:spacing w:before="0" w:after="0"/>
              <w:rPr>
                <w:bdr w:val="single" w:sz="2" w:space="1" w:color="000000"/>
              </w:rPr>
            </w:pPr>
            <w:r>
              <w:rPr>
                <w:bdr w:val="single" w:sz="2" w:space="1" w:color="000000"/>
              </w:rPr>
              <w:t> </w:t>
            </w:r>
          </w:p>
        </w:tc>
        <w:tc>
          <w:tcPr>
            <w:tcW w:w="75" w:type="dxa"/>
            <w:tcBorders/>
            <w:shd w:fill="auto" w:val="clear"/>
            <w:vAlign w:val="center"/>
          </w:tcPr>
          <w:p>
            <w:pPr>
              <w:pStyle w:val="TableContents"/>
              <w:spacing w:before="0" w:after="283"/>
              <w:rPr/>
            </w:pPr>
            <w:r>
              <w:rPr/>
              <w:t> </w:t>
            </w:r>
          </w:p>
        </w:tc>
      </w:tr>
      <w:tr>
        <w:trPr/>
        <w:tc>
          <w:tcPr>
            <w:tcW w:w="1760" w:type="dxa"/>
            <w:tcBorders/>
            <w:shd w:fill="auto" w:val="clear"/>
            <w:vAlign w:val="center"/>
          </w:tcPr>
          <w:p>
            <w:pPr>
              <w:pStyle w:val="TableContents"/>
              <w:spacing w:before="0" w:after="0"/>
              <w:ind w:left="749" w:right="0" w:hanging="0"/>
              <w:rPr>
                <w:rFonts w:ascii="Times New Roman" w:hAnsi="Times New Roman"/>
                <w:spacing w:val="0"/>
                <w:sz w:val="20"/>
              </w:rPr>
            </w:pPr>
            <w:r>
              <w:rPr>
                <w:rFonts w:ascii="Times New Roman" w:hAnsi="Times New Roman"/>
                <w:spacing w:val="0"/>
                <w:sz w:val="20"/>
              </w:rPr>
              <w:t>Total lease cost</w:t>
            </w:r>
          </w:p>
        </w:tc>
        <w:tc>
          <w:tcPr>
            <w:tcW w:w="120" w:type="dxa"/>
            <w:tcBorders/>
            <w:shd w:fill="auto" w:val="clear"/>
            <w:vAlign w:val="center"/>
          </w:tcPr>
          <w:p>
            <w:pPr>
              <w:pStyle w:val="TableContents"/>
              <w:spacing w:before="0" w:after="283"/>
              <w:rPr/>
            </w:pPr>
            <w:r>
              <w:rPr/>
              <w:t>  </w:t>
            </w:r>
          </w:p>
        </w:tc>
        <w:tc>
          <w:tcPr>
            <w:tcW w:w="264" w:type="dxa"/>
            <w:tcBorders/>
            <w:shd w:fill="auto" w:val="clear"/>
            <w:vAlign w:val="center"/>
          </w:tcPr>
          <w:p>
            <w:pPr>
              <w:pStyle w:val="TableContents"/>
              <w:spacing w:before="0" w:after="283"/>
              <w:rPr/>
            </w:pPr>
            <w:r>
              <w:rPr/>
              <w:t>$</w:t>
            </w:r>
          </w:p>
        </w:tc>
        <w:tc>
          <w:tcPr>
            <w:tcW w:w="1511" w:type="dxa"/>
            <w:tcBorders/>
            <w:shd w:fill="auto" w:val="clear"/>
            <w:vAlign w:val="center"/>
          </w:tcPr>
          <w:p>
            <w:pPr>
              <w:pStyle w:val="TableContents"/>
              <w:spacing w:before="0" w:after="283"/>
              <w:jc w:val="right"/>
              <w:rPr/>
            </w:pPr>
            <w:r>
              <w:rPr/>
              <w:t>158,475</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64" w:type="dxa"/>
            <w:tcBorders/>
            <w:shd w:fill="auto" w:val="clear"/>
            <w:vAlign w:val="center"/>
          </w:tcPr>
          <w:p>
            <w:pPr>
              <w:pStyle w:val="TableContents"/>
              <w:spacing w:before="0" w:after="283"/>
              <w:rPr/>
            </w:pPr>
            <w:r>
              <w:rPr/>
              <w:t>$</w:t>
            </w:r>
          </w:p>
        </w:tc>
        <w:tc>
          <w:tcPr>
            <w:tcW w:w="1511" w:type="dxa"/>
            <w:tcBorders/>
            <w:shd w:fill="auto" w:val="clear"/>
            <w:vAlign w:val="center"/>
          </w:tcPr>
          <w:p>
            <w:pPr>
              <w:pStyle w:val="TableContents"/>
              <w:spacing w:before="0" w:after="283"/>
              <w:jc w:val="right"/>
              <w:rPr/>
            </w:pPr>
            <w:r>
              <w:rPr/>
              <w:t>154,509</w:t>
            </w:r>
          </w:p>
        </w:tc>
        <w:tc>
          <w:tcPr>
            <w:tcW w:w="75" w:type="dxa"/>
            <w:tcBorders/>
            <w:shd w:fill="auto" w:val="clear"/>
            <w:vAlign w:val="center"/>
          </w:tcPr>
          <w:p>
            <w:pPr>
              <w:pStyle w:val="TableContents"/>
              <w:spacing w:before="0" w:after="283"/>
              <w:rPr/>
            </w:pPr>
            <w:r>
              <w:rPr/>
              <w:t> </w:t>
            </w:r>
          </w:p>
        </w:tc>
      </w:tr>
      <w:tr>
        <w:trPr/>
        <w:tc>
          <w:tcPr>
            <w:tcW w:w="17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64" w:type="dxa"/>
            <w:tcBorders/>
            <w:shd w:fill="auto" w:val="clear"/>
            <w:vAlign w:val="center"/>
          </w:tcPr>
          <w:p>
            <w:pPr>
              <w:pStyle w:val="TableContents"/>
              <w:spacing w:before="0" w:after="0"/>
              <w:rPr>
                <w:bdr w:val="double" w:sz="6" w:space="1" w:color="000000"/>
              </w:rPr>
            </w:pPr>
            <w:r>
              <w:rPr>
                <w:bdr w:val="double" w:sz="6" w:space="1" w:color="000000"/>
              </w:rPr>
              <w:t> </w:t>
            </w:r>
          </w:p>
        </w:tc>
        <w:tc>
          <w:tcPr>
            <w:tcW w:w="1511" w:type="dxa"/>
            <w:tcBorders/>
            <w:shd w:fill="auto" w:val="clear"/>
            <w:vAlign w:val="center"/>
          </w:tcPr>
          <w:p>
            <w:pPr>
              <w:pStyle w:val="TableContents"/>
              <w:spacing w:before="0" w:after="0"/>
              <w:rPr>
                <w:bdr w:val="double" w:sz="6" w:space="1" w:color="000000"/>
              </w:rPr>
            </w:pPr>
            <w:r>
              <w:rPr>
                <w:bdr w:val="double" w:sz="6"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64" w:type="dxa"/>
            <w:tcBorders/>
            <w:shd w:fill="auto" w:val="clear"/>
            <w:vAlign w:val="center"/>
          </w:tcPr>
          <w:p>
            <w:pPr>
              <w:pStyle w:val="TableContents"/>
              <w:spacing w:before="0" w:after="0"/>
              <w:rPr>
                <w:bdr w:val="double" w:sz="6" w:space="1" w:color="000000"/>
              </w:rPr>
            </w:pPr>
            <w:r>
              <w:rPr>
                <w:bdr w:val="double" w:sz="6" w:space="1" w:color="000000"/>
              </w:rPr>
              <w:t> </w:t>
            </w:r>
          </w:p>
        </w:tc>
        <w:tc>
          <w:tcPr>
            <w:tcW w:w="1511" w:type="dxa"/>
            <w:tcBorders/>
            <w:shd w:fill="auto" w:val="clear"/>
            <w:vAlign w:val="center"/>
          </w:tcPr>
          <w:p>
            <w:pPr>
              <w:pStyle w:val="TableContents"/>
              <w:spacing w:before="0" w:after="0"/>
              <w:rPr>
                <w:bdr w:val="double" w:sz="6" w:space="1" w:color="000000"/>
              </w:rPr>
            </w:pPr>
            <w:r>
              <w:rPr>
                <w:bdr w:val="double" w:sz="6" w:space="1" w:color="000000"/>
              </w:rPr>
              <w:t> </w:t>
            </w:r>
          </w:p>
        </w:tc>
        <w:tc>
          <w:tcPr>
            <w:tcW w:w="75" w:type="dxa"/>
            <w:tcBorders/>
            <w:shd w:fill="auto" w:val="clear"/>
            <w:vAlign w:val="center"/>
          </w:tcPr>
          <w:p>
            <w:pPr>
              <w:pStyle w:val="TableContents"/>
              <w:spacing w:before="0" w:after="283"/>
              <w:rPr/>
            </w:pPr>
            <w:r>
              <w:rPr/>
              <w:t> </w:t>
            </w:r>
          </w:p>
        </w:tc>
      </w:tr>
    </w:tbl>
    <w:p>
      <w:pPr>
        <w:pStyle w:val="TextBody"/>
        <w:spacing w:before="0" w:after="0"/>
        <w:jc w:val="left"/>
        <w:rPr>
          <w:spacing w:val="0"/>
        </w:rPr>
      </w:pPr>
      <w:r>
        <w:rPr>
          <w:spacing w:val="0"/>
        </w:rPr>
        <w:t> </w:t>
      </w:r>
    </w:p>
    <w:tbl>
      <w:tblPr>
        <w:tblW w:w="10205" w:type="dxa"/>
        <w:jc w:val="left"/>
        <w:tblInd w:w="0" w:type="dxa"/>
        <w:tblCellMar>
          <w:top w:w="0" w:type="dxa"/>
          <w:left w:w="0" w:type="dxa"/>
          <w:bottom w:w="0" w:type="dxa"/>
          <w:right w:w="0" w:type="dxa"/>
        </w:tblCellMar>
      </w:tblPr>
      <w:tblGrid>
        <w:gridCol w:w="173"/>
        <w:gridCol w:w="10032"/>
      </w:tblGrid>
      <w:tr>
        <w:trPr/>
        <w:tc>
          <w:tcPr>
            <w:tcW w:w="173" w:type="dxa"/>
            <w:tcBorders/>
            <w:shd w:fill="auto" w:val="clear"/>
            <w:vAlign w:val="center"/>
          </w:tcPr>
          <w:p>
            <w:pPr>
              <w:pStyle w:val="TableContents"/>
              <w:spacing w:before="0" w:after="0"/>
              <w:jc w:val="left"/>
              <w:rPr>
                <w:sz w:val="14"/>
              </w:rPr>
            </w:pPr>
            <w:r>
              <w:rPr>
                <w:sz w:val="14"/>
              </w:rPr>
              <w:t>(1)</w:t>
            </w:r>
          </w:p>
          <w:p>
            <w:pPr>
              <w:pStyle w:val="TableContents"/>
              <w:spacing w:before="0" w:after="0"/>
              <w:jc w:val="left"/>
              <w:rPr/>
            </w:pPr>
            <w:r>
              <w:rPr/>
              <w:t> </w:t>
            </w:r>
          </w:p>
        </w:tc>
        <w:tc>
          <w:tcPr>
            <w:tcW w:w="10032"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We have elected the short-term lease recognition exemption for all applicable classes of underlying assets. Leases with an initial term of 12 months or less, that do not include a purchase option that we are reasonably certain to exercise, are not recorded on the Consolidated Balance Sheet. </w:t>
            </w:r>
          </w:p>
        </w:tc>
      </w:tr>
    </w:tbl>
    <w:p>
      <w:pPr>
        <w:pStyle w:val="TextBody"/>
        <w:spacing w:before="240" w:after="0"/>
        <w:jc w:val="left"/>
        <w:rPr>
          <w:rFonts w:ascii="Times New Roman" w:hAnsi="Times New Roman"/>
          <w:spacing w:val="0"/>
          <w:sz w:val="20"/>
        </w:rPr>
      </w:pPr>
      <w:r>
        <w:rPr>
          <w:rFonts w:ascii="Times New Roman" w:hAnsi="Times New Roman"/>
          <w:spacing w:val="0"/>
          <w:sz w:val="20"/>
        </w:rPr>
        <w:t xml:space="preserve">Operating lease cost, variable lease cost and short-term lease cost related primarily to our facilities is included in “Other store operating expenses” for our operating stores, “Pre-opening costs” for our stores not yet operating, or “General and administrative expenses” for our corporate office and warehouse, in the Consolidated Statements of Comprehensive Income (Loss). During fiscal 2018, rent expense under operating lease agreements under the previous lease guidance, which excludes certain amounts required under the </w:t>
      </w:r>
    </w:p>
    <w:p>
      <w:pPr>
        <w:pStyle w:val="TextBody"/>
        <w:spacing w:before="240" w:after="0"/>
        <w:jc w:val="left"/>
        <w:rPr>
          <w:rFonts w:ascii="Times New Roman" w:hAnsi="Times New Roman"/>
          <w:spacing w:val="0"/>
          <w:sz w:val="20"/>
        </w:rPr>
      </w:pPr>
      <w:r>
        <w:rPr>
          <w:rFonts w:ascii="Times New Roman" w:hAnsi="Times New Roman"/>
          <w:spacing w:val="0"/>
          <w:sz w:val="20"/>
        </w:rPr>
        <w:t>curre</w:t>
      </w:r>
    </w:p>
    <w:p>
      <w:pPr>
        <w:pStyle w:val="TextBody"/>
        <w:spacing w:before="240" w:after="0"/>
        <w:jc w:val="left"/>
        <w:rPr>
          <w:rFonts w:ascii="Times New Roman" w:hAnsi="Times New Roman"/>
          <w:spacing w:val="0"/>
          <w:sz w:val="20"/>
        </w:rPr>
      </w:pPr>
      <w:r>
        <w:rPr>
          <w:rFonts w:ascii="Times New Roman" w:hAnsi="Times New Roman"/>
          <w:spacing w:val="0"/>
          <w:sz w:val="20"/>
        </w:rPr>
        <w:t>nt</w:t>
      </w:r>
    </w:p>
    <w:p>
      <w:pPr>
        <w:pStyle w:val="TextBody"/>
        <w:spacing w:before="240" w:after="0"/>
        <w:jc w:val="left"/>
        <w:rPr>
          <w:spacing w:val="0"/>
        </w:rPr>
      </w:pPr>
      <w:r>
        <w:rPr>
          <w:spacing w:val="0"/>
        </w:rPr>
        <w:t> </w:t>
      </w:r>
      <w:r>
        <w:rPr>
          <w:rFonts w:ascii="Times New Roman" w:hAnsi="Times New Roman"/>
          <w:spacing w:val="0"/>
          <w:sz w:val="20"/>
        </w:rPr>
        <w:t>guidance, consisted of base rental expense of $</w:t>
      </w:r>
    </w:p>
    <w:p>
      <w:pPr>
        <w:pStyle w:val="TextBody"/>
        <w:spacing w:before="240" w:after="0"/>
        <w:jc w:val="left"/>
        <w:rPr>
          <w:rFonts w:ascii="Times New Roman" w:hAnsi="Times New Roman"/>
          <w:sz w:val="20"/>
        </w:rPr>
      </w:pPr>
      <w:r>
        <w:rPr>
          <w:rFonts w:ascii="Times New Roman" w:hAnsi="Times New Roman"/>
          <w:sz w:val="20"/>
        </w:rPr>
        <w:t xml:space="preserve">109,481 and contingent rental expense of $3,526. </w:t>
      </w:r>
    </w:p>
    <w:p>
      <w:pPr>
        <w:pStyle w:val="TextBody"/>
        <w:spacing w:before="240" w:after="0"/>
        <w:jc w:val="left"/>
        <w:rPr>
          <w:rFonts w:ascii="Times New Roman" w:hAnsi="Times New Roman"/>
          <w:spacing w:val="0"/>
          <w:sz w:val="20"/>
        </w:rPr>
      </w:pPr>
      <w:r>
        <w:rPr>
          <w:rFonts w:ascii="Times New Roman" w:hAnsi="Times New Roman"/>
          <w:spacing w:val="0"/>
          <w:sz w:val="20"/>
        </w:rPr>
        <w:t>Supplemental disclosures of cash flow information related to leases were as follows:</w:t>
      </w:r>
    </w:p>
    <w:p>
      <w:pPr>
        <w:pStyle w:val="TextBody"/>
        <w:spacing w:before="0" w:after="0"/>
        <w:jc w:val="left"/>
        <w:rPr>
          <w:spacing w:val="0"/>
        </w:rPr>
      </w:pPr>
      <w:r>
        <w:rPr>
          <w:spacing w:val="0"/>
        </w:rPr>
        <w:t> </w:t>
      </w:r>
    </w:p>
    <w:tbl>
      <w:tblPr>
        <w:tblW w:w="9835" w:type="dxa"/>
        <w:jc w:val="left"/>
        <w:tblInd w:w="0" w:type="dxa"/>
        <w:tblCellMar>
          <w:top w:w="0" w:type="dxa"/>
          <w:left w:w="0" w:type="dxa"/>
          <w:bottom w:w="0" w:type="dxa"/>
          <w:right w:w="0" w:type="dxa"/>
        </w:tblCellMar>
      </w:tblPr>
      <w:tblGrid>
        <w:gridCol w:w="5540"/>
        <w:gridCol w:w="120"/>
        <w:gridCol w:w="303"/>
        <w:gridCol w:w="1472"/>
        <w:gridCol w:w="215"/>
        <w:gridCol w:w="120"/>
        <w:gridCol w:w="264"/>
        <w:gridCol w:w="1511"/>
        <w:gridCol w:w="290"/>
      </w:tblGrid>
      <w:tr>
        <w:trPr/>
        <w:tc>
          <w:tcPr>
            <w:tcW w:w="554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303" w:type="dxa"/>
            <w:tcBorders/>
            <w:shd w:fill="auto" w:val="clear"/>
            <w:vAlign w:val="center"/>
          </w:tcPr>
          <w:p>
            <w:pPr>
              <w:pStyle w:val="TableContents"/>
              <w:spacing w:before="0" w:after="283"/>
              <w:rPr>
                <w:sz w:val="4"/>
                <w:szCs w:val="4"/>
              </w:rPr>
            </w:pPr>
            <w:r>
              <w:rPr>
                <w:sz w:val="4"/>
                <w:szCs w:val="4"/>
              </w:rPr>
            </w:r>
          </w:p>
        </w:tc>
        <w:tc>
          <w:tcPr>
            <w:tcW w:w="1472"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64" w:type="dxa"/>
            <w:tcBorders/>
            <w:shd w:fill="auto" w:val="clear"/>
            <w:vAlign w:val="center"/>
          </w:tcPr>
          <w:p>
            <w:pPr>
              <w:pStyle w:val="TableContents"/>
              <w:spacing w:before="0" w:after="283"/>
              <w:rPr>
                <w:sz w:val="4"/>
                <w:szCs w:val="4"/>
              </w:rPr>
            </w:pPr>
            <w:r>
              <w:rPr>
                <w:sz w:val="4"/>
                <w:szCs w:val="4"/>
              </w:rPr>
            </w:r>
          </w:p>
        </w:tc>
        <w:tc>
          <w:tcPr>
            <w:tcW w:w="1511"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r>
      <w:tr>
        <w:trPr/>
        <w:tc>
          <w:tcPr>
            <w:tcW w:w="554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775"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January 31, 2021</w:t>
            </w:r>
          </w:p>
        </w:tc>
        <w:tc>
          <w:tcPr>
            <w:tcW w:w="21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775"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February 2, 2020</w:t>
            </w:r>
          </w:p>
        </w:tc>
        <w:tc>
          <w:tcPr>
            <w:tcW w:w="290" w:type="dxa"/>
            <w:tcBorders/>
            <w:shd w:fill="auto" w:val="clear"/>
            <w:vAlign w:val="center"/>
          </w:tcPr>
          <w:p>
            <w:pPr>
              <w:pStyle w:val="TableContents"/>
              <w:spacing w:before="0" w:after="283"/>
              <w:rPr/>
            </w:pPr>
            <w:r>
              <w:rPr/>
              <w:t> </w:t>
            </w:r>
          </w:p>
        </w:tc>
      </w:tr>
      <w:tr>
        <w:trPr/>
        <w:tc>
          <w:tcPr>
            <w:tcW w:w="554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Cash paid for operating lease liabilities</w:t>
            </w:r>
          </w:p>
        </w:tc>
        <w:tc>
          <w:tcPr>
            <w:tcW w:w="120" w:type="dxa"/>
            <w:tcBorders/>
            <w:shd w:fill="CCEEFF" w:val="clear"/>
            <w:vAlign w:val="center"/>
          </w:tcPr>
          <w:p>
            <w:pPr>
              <w:pStyle w:val="TableContents"/>
              <w:spacing w:before="0" w:after="283"/>
              <w:rPr/>
            </w:pPr>
            <w:r>
              <w:rPr/>
              <w:t>  </w:t>
            </w:r>
          </w:p>
        </w:tc>
        <w:tc>
          <w:tcPr>
            <w:tcW w:w="303" w:type="dxa"/>
            <w:tcBorders/>
            <w:shd w:fill="CCEEFF" w:val="clear"/>
            <w:vAlign w:val="center"/>
          </w:tcPr>
          <w:p>
            <w:pPr>
              <w:pStyle w:val="TableContents"/>
              <w:spacing w:before="0" w:after="283"/>
              <w:rPr/>
            </w:pPr>
            <w:r>
              <w:rPr/>
              <w:t>$</w:t>
            </w:r>
          </w:p>
        </w:tc>
        <w:tc>
          <w:tcPr>
            <w:tcW w:w="1472" w:type="dxa"/>
            <w:tcBorders/>
            <w:shd w:fill="CCEEFF" w:val="clear"/>
            <w:vAlign w:val="center"/>
          </w:tcPr>
          <w:p>
            <w:pPr>
              <w:pStyle w:val="TableContents"/>
              <w:spacing w:before="0" w:after="0"/>
              <w:jc w:val="right"/>
              <w:rPr/>
            </w:pPr>
            <w:r>
              <w:rPr/>
              <w:t>   </w:t>
            </w:r>
          </w:p>
          <w:p>
            <w:pPr>
              <w:pStyle w:val="TableContents"/>
              <w:spacing w:before="0" w:after="0"/>
              <w:jc w:val="right"/>
              <w:rPr>
                <w:spacing w:val="0"/>
              </w:rPr>
            </w:pPr>
            <w:r>
              <w:rPr>
                <w:spacing w:val="0"/>
              </w:rPr>
              <w:t>77,292</w:t>
            </w:r>
          </w:p>
        </w:tc>
        <w:tc>
          <w:tcPr>
            <w:tcW w:w="21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264" w:type="dxa"/>
            <w:tcBorders/>
            <w:shd w:fill="CCEEFF" w:val="clear"/>
            <w:vAlign w:val="center"/>
          </w:tcPr>
          <w:p>
            <w:pPr>
              <w:pStyle w:val="TableContents"/>
              <w:spacing w:before="0" w:after="283"/>
              <w:rPr/>
            </w:pPr>
            <w:r>
              <w:rPr/>
              <w:t>$</w:t>
            </w:r>
          </w:p>
        </w:tc>
        <w:tc>
          <w:tcPr>
            <w:tcW w:w="1511" w:type="dxa"/>
            <w:tcBorders/>
            <w:shd w:fill="CCEEFF" w:val="clear"/>
            <w:vAlign w:val="center"/>
          </w:tcPr>
          <w:p>
            <w:pPr>
              <w:pStyle w:val="TableContents"/>
              <w:spacing w:before="0" w:after="283"/>
              <w:jc w:val="right"/>
              <w:rPr/>
            </w:pPr>
            <w:r>
              <w:rPr/>
              <w:t>123,748</w:t>
            </w:r>
          </w:p>
        </w:tc>
        <w:tc>
          <w:tcPr>
            <w:tcW w:w="290" w:type="dxa"/>
            <w:tcBorders/>
            <w:shd w:fill="CCEEFF" w:val="clear"/>
            <w:vAlign w:val="center"/>
          </w:tcPr>
          <w:p>
            <w:pPr>
              <w:pStyle w:val="TableContents"/>
              <w:spacing w:before="0" w:after="283"/>
              <w:rPr/>
            </w:pPr>
            <w:r>
              <w:rPr/>
              <w:t> </w:t>
            </w:r>
          </w:p>
        </w:tc>
      </w:tr>
      <w:tr>
        <w:trPr/>
        <w:tc>
          <w:tcPr>
            <w:tcW w:w="554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 xml:space="preserve">ROU assets obtained in exchange for new operating lease liabilities </w:t>
            </w:r>
          </w:p>
          <w:p>
            <w:pPr>
              <w:pStyle w:val="TableContents"/>
              <w:spacing w:before="0" w:after="0"/>
              <w:rPr>
                <w:rFonts w:ascii="Times New Roman" w:hAnsi="Times New Roman"/>
                <w:spacing w:val="0"/>
                <w:sz w:val="14"/>
              </w:rPr>
            </w:pPr>
            <w:r>
              <w:rPr>
                <w:rFonts w:ascii="Times New Roman" w:hAnsi="Times New Roman"/>
                <w:spacing w:val="0"/>
                <w:sz w:val="14"/>
              </w:rPr>
              <w:t>(1)</w:t>
            </w:r>
          </w:p>
        </w:tc>
        <w:tc>
          <w:tcPr>
            <w:tcW w:w="120" w:type="dxa"/>
            <w:tcBorders/>
            <w:shd w:fill="auto" w:val="clear"/>
            <w:vAlign w:val="center"/>
          </w:tcPr>
          <w:p>
            <w:pPr>
              <w:pStyle w:val="TableContents"/>
              <w:spacing w:before="0" w:after="283"/>
              <w:rPr/>
            </w:pPr>
            <w:r>
              <w:rPr/>
              <w:t>  </w:t>
            </w:r>
          </w:p>
        </w:tc>
        <w:tc>
          <w:tcPr>
            <w:tcW w:w="303" w:type="dxa"/>
            <w:tcBorders/>
            <w:shd w:fill="auto" w:val="clear"/>
            <w:vAlign w:val="center"/>
          </w:tcPr>
          <w:p>
            <w:pPr>
              <w:pStyle w:val="TableContents"/>
              <w:spacing w:before="0" w:after="283"/>
              <w:rPr/>
            </w:pPr>
            <w:r>
              <w:rPr/>
              <w:t>$</w:t>
            </w:r>
          </w:p>
        </w:tc>
        <w:tc>
          <w:tcPr>
            <w:tcW w:w="1472" w:type="dxa"/>
            <w:tcBorders/>
            <w:shd w:fill="auto" w:val="clear"/>
            <w:vAlign w:val="center"/>
          </w:tcPr>
          <w:p>
            <w:pPr>
              <w:pStyle w:val="TableContents"/>
              <w:spacing w:before="0" w:after="0"/>
              <w:jc w:val="right"/>
              <w:rPr>
                <w:spacing w:val="0"/>
              </w:rPr>
            </w:pPr>
            <w:r>
              <w:rPr>
                <w:spacing w:val="0"/>
              </w:rPr>
              <w:t>98,218</w:t>
            </w:r>
          </w:p>
        </w:tc>
        <w:tc>
          <w:tcPr>
            <w:tcW w:w="21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64" w:type="dxa"/>
            <w:tcBorders/>
            <w:shd w:fill="auto" w:val="clear"/>
            <w:vAlign w:val="center"/>
          </w:tcPr>
          <w:p>
            <w:pPr>
              <w:pStyle w:val="TableContents"/>
              <w:spacing w:before="0" w:after="283"/>
              <w:rPr/>
            </w:pPr>
            <w:r>
              <w:rPr/>
              <w:t>$</w:t>
            </w:r>
          </w:p>
        </w:tc>
        <w:tc>
          <w:tcPr>
            <w:tcW w:w="1511" w:type="dxa"/>
            <w:tcBorders/>
            <w:shd w:fill="auto" w:val="clear"/>
            <w:vAlign w:val="center"/>
          </w:tcPr>
          <w:p>
            <w:pPr>
              <w:pStyle w:val="TableContents"/>
              <w:spacing w:before="0" w:after="283"/>
              <w:jc w:val="right"/>
              <w:rPr/>
            </w:pPr>
            <w:r>
              <w:rPr/>
              <w:t>220,648</w:t>
            </w:r>
          </w:p>
        </w:tc>
        <w:tc>
          <w:tcPr>
            <w:tcW w:w="290" w:type="dxa"/>
            <w:tcBorders/>
            <w:shd w:fill="auto" w:val="clear"/>
            <w:vAlign w:val="center"/>
          </w:tcPr>
          <w:p>
            <w:pPr>
              <w:pStyle w:val="TableContents"/>
              <w:spacing w:before="0" w:after="283"/>
              <w:rPr/>
            </w:pPr>
            <w:r>
              <w:rPr/>
              <w:t> </w:t>
            </w:r>
          </w:p>
        </w:tc>
      </w:tr>
      <w:tr>
        <w:trPr/>
        <w:tc>
          <w:tcPr>
            <w:tcW w:w="554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Weighted-average remaining lease term - operating leases (in years)</w:t>
            </w:r>
          </w:p>
        </w:tc>
        <w:tc>
          <w:tcPr>
            <w:tcW w:w="120" w:type="dxa"/>
            <w:tcBorders/>
            <w:shd w:fill="CCEEFF" w:val="clear"/>
            <w:vAlign w:val="center"/>
          </w:tcPr>
          <w:p>
            <w:pPr>
              <w:pStyle w:val="TableContents"/>
              <w:spacing w:before="0" w:after="283"/>
              <w:rPr/>
            </w:pPr>
            <w:r>
              <w:rPr/>
              <w:t>  </w:t>
            </w:r>
          </w:p>
        </w:tc>
        <w:tc>
          <w:tcPr>
            <w:tcW w:w="303" w:type="dxa"/>
            <w:tcBorders/>
            <w:shd w:fill="CCEEFF" w:val="clear"/>
            <w:vAlign w:val="center"/>
          </w:tcPr>
          <w:p>
            <w:pPr>
              <w:pStyle w:val="TableContents"/>
              <w:spacing w:before="0" w:after="283"/>
              <w:rPr/>
            </w:pPr>
            <w:r>
              <w:rPr/>
              <w:t> </w:t>
            </w:r>
          </w:p>
        </w:tc>
        <w:tc>
          <w:tcPr>
            <w:tcW w:w="1472" w:type="dxa"/>
            <w:tcBorders/>
            <w:shd w:fill="CCEEFF" w:val="clear"/>
            <w:vAlign w:val="center"/>
          </w:tcPr>
          <w:p>
            <w:pPr>
              <w:pStyle w:val="TableContents"/>
              <w:spacing w:before="0" w:after="0"/>
              <w:jc w:val="right"/>
              <w:rPr>
                <w:rFonts w:ascii="Times New Roman" w:hAnsi="Times New Roman"/>
                <w:spacing w:val="0"/>
              </w:rPr>
            </w:pPr>
            <w:r>
              <w:rPr>
                <w:rFonts w:ascii="Times New Roman" w:hAnsi="Times New Roman"/>
                <w:spacing w:val="0"/>
              </w:rPr>
              <w:t>14.8</w:t>
            </w:r>
          </w:p>
        </w:tc>
        <w:tc>
          <w:tcPr>
            <w:tcW w:w="21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264" w:type="dxa"/>
            <w:tcBorders/>
            <w:shd w:fill="CCEEFF" w:val="clear"/>
            <w:vAlign w:val="center"/>
          </w:tcPr>
          <w:p>
            <w:pPr>
              <w:pStyle w:val="TableContents"/>
              <w:spacing w:before="0" w:after="283"/>
              <w:rPr/>
            </w:pPr>
            <w:r>
              <w:rPr/>
              <w:t> </w:t>
            </w:r>
          </w:p>
        </w:tc>
        <w:tc>
          <w:tcPr>
            <w:tcW w:w="1511" w:type="dxa"/>
            <w:tcBorders/>
            <w:shd w:fill="CCEEFF" w:val="clear"/>
            <w:vAlign w:val="center"/>
          </w:tcPr>
          <w:p>
            <w:pPr>
              <w:pStyle w:val="TableContents"/>
              <w:spacing w:before="0" w:after="283"/>
              <w:jc w:val="right"/>
              <w:rPr/>
            </w:pPr>
            <w:r>
              <w:rPr/>
              <w:t>15.7</w:t>
            </w:r>
          </w:p>
        </w:tc>
        <w:tc>
          <w:tcPr>
            <w:tcW w:w="290" w:type="dxa"/>
            <w:tcBorders/>
            <w:shd w:fill="CCEEFF" w:val="clear"/>
            <w:vAlign w:val="center"/>
          </w:tcPr>
          <w:p>
            <w:pPr>
              <w:pStyle w:val="TableContents"/>
              <w:spacing w:before="0" w:after="283"/>
              <w:rPr/>
            </w:pPr>
            <w:r>
              <w:rPr/>
              <w:t> </w:t>
            </w:r>
          </w:p>
        </w:tc>
      </w:tr>
      <w:tr>
        <w:trPr/>
        <w:tc>
          <w:tcPr>
            <w:tcW w:w="554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Weighted-average discount rate - operating leases</w:t>
            </w:r>
          </w:p>
        </w:tc>
        <w:tc>
          <w:tcPr>
            <w:tcW w:w="120" w:type="dxa"/>
            <w:tcBorders/>
            <w:shd w:fill="auto" w:val="clear"/>
            <w:vAlign w:val="center"/>
          </w:tcPr>
          <w:p>
            <w:pPr>
              <w:pStyle w:val="TableContents"/>
              <w:spacing w:before="0" w:after="283"/>
              <w:rPr/>
            </w:pPr>
            <w:r>
              <w:rPr/>
              <w:t>  </w:t>
            </w:r>
          </w:p>
        </w:tc>
        <w:tc>
          <w:tcPr>
            <w:tcW w:w="303" w:type="dxa"/>
            <w:tcBorders/>
            <w:shd w:fill="auto" w:val="clear"/>
            <w:vAlign w:val="center"/>
          </w:tcPr>
          <w:p>
            <w:pPr>
              <w:pStyle w:val="TableContents"/>
              <w:spacing w:before="0" w:after="283"/>
              <w:rPr/>
            </w:pPr>
            <w:r>
              <w:rPr/>
              <w:t> </w:t>
            </w:r>
          </w:p>
        </w:tc>
        <w:tc>
          <w:tcPr>
            <w:tcW w:w="1472" w:type="dxa"/>
            <w:tcBorders/>
            <w:shd w:fill="auto" w:val="clear"/>
            <w:vAlign w:val="center"/>
          </w:tcPr>
          <w:p>
            <w:pPr>
              <w:pStyle w:val="TableContents"/>
              <w:spacing w:before="0" w:after="0"/>
              <w:jc w:val="right"/>
              <w:rPr>
                <w:rFonts w:ascii="Times New Roman" w:hAnsi="Times New Roman"/>
                <w:spacing w:val="0"/>
              </w:rPr>
            </w:pPr>
            <w:r>
              <w:rPr>
                <w:rFonts w:ascii="Times New Roman" w:hAnsi="Times New Roman"/>
                <w:spacing w:val="0"/>
              </w:rPr>
              <w:t xml:space="preserve">5.94 </w:t>
            </w:r>
          </w:p>
        </w:tc>
        <w:tc>
          <w:tcPr>
            <w:tcW w:w="215" w:type="dxa"/>
            <w:tcBorders/>
            <w:shd w:fill="auto" w:val="clear"/>
            <w:vAlign w:val="center"/>
          </w:tcPr>
          <w:p>
            <w:pPr>
              <w:pStyle w:val="TableContents"/>
              <w:spacing w:before="0" w:after="0"/>
              <w:rPr>
                <w:rFonts w:ascii="Times New Roman" w:hAnsi="Times New Roman"/>
                <w:spacing w:val="0"/>
              </w:rPr>
            </w:pPr>
            <w:r>
              <w:rPr>
                <w:rFonts w:ascii="Times New Roman" w:hAnsi="Times New Roman"/>
                <w:spacing w:val="0"/>
              </w:rPr>
              <w:t>%</w:t>
            </w:r>
          </w:p>
        </w:tc>
        <w:tc>
          <w:tcPr>
            <w:tcW w:w="120" w:type="dxa"/>
            <w:tcBorders/>
            <w:shd w:fill="auto" w:val="clear"/>
            <w:vAlign w:val="center"/>
          </w:tcPr>
          <w:p>
            <w:pPr>
              <w:pStyle w:val="TableContents"/>
              <w:spacing w:before="0" w:after="283"/>
              <w:rPr/>
            </w:pPr>
            <w:r>
              <w:rPr/>
              <w:t>  </w:t>
            </w:r>
          </w:p>
        </w:tc>
        <w:tc>
          <w:tcPr>
            <w:tcW w:w="264" w:type="dxa"/>
            <w:tcBorders/>
            <w:shd w:fill="auto" w:val="clear"/>
            <w:vAlign w:val="center"/>
          </w:tcPr>
          <w:p>
            <w:pPr>
              <w:pStyle w:val="TableContents"/>
              <w:spacing w:before="0" w:after="283"/>
              <w:rPr/>
            </w:pPr>
            <w:r>
              <w:rPr/>
              <w:t> </w:t>
            </w:r>
          </w:p>
        </w:tc>
        <w:tc>
          <w:tcPr>
            <w:tcW w:w="1511" w:type="dxa"/>
            <w:tcBorders/>
            <w:shd w:fill="auto" w:val="clear"/>
            <w:vAlign w:val="center"/>
          </w:tcPr>
          <w:p>
            <w:pPr>
              <w:pStyle w:val="TableContents"/>
              <w:spacing w:before="0" w:after="283"/>
              <w:jc w:val="right"/>
              <w:rPr/>
            </w:pPr>
            <w:r>
              <w:rPr/>
              <w:t>5.90</w:t>
            </w:r>
          </w:p>
        </w:tc>
        <w:tc>
          <w:tcPr>
            <w:tcW w:w="290" w:type="dxa"/>
            <w:tcBorders/>
            <w:shd w:fill="auto" w:val="clear"/>
            <w:vAlign w:val="center"/>
          </w:tcPr>
          <w:p>
            <w:pPr>
              <w:pStyle w:val="TableContents"/>
              <w:spacing w:before="0" w:after="283"/>
              <w:rPr/>
            </w:pPr>
            <w:r>
              <w:rPr/>
              <w:t>% </w:t>
            </w:r>
          </w:p>
        </w:tc>
      </w:tr>
    </w:tbl>
    <w:p>
      <w:pPr>
        <w:pStyle w:val="TextBody"/>
        <w:spacing w:before="0" w:after="0"/>
        <w:jc w:val="left"/>
        <w:rPr>
          <w:spacing w:val="0"/>
        </w:rPr>
      </w:pPr>
      <w:r>
        <w:rPr>
          <w:spacing w:val="0"/>
        </w:rPr>
        <w:t> </w:t>
      </w:r>
    </w:p>
    <w:tbl>
      <w:tblPr>
        <w:tblW w:w="6370" w:type="dxa"/>
        <w:jc w:val="left"/>
        <w:tblInd w:w="0" w:type="dxa"/>
        <w:tblCellMar>
          <w:top w:w="0" w:type="dxa"/>
          <w:left w:w="0" w:type="dxa"/>
          <w:bottom w:w="0" w:type="dxa"/>
          <w:right w:w="0" w:type="dxa"/>
        </w:tblCellMar>
      </w:tblPr>
      <w:tblGrid>
        <w:gridCol w:w="200"/>
        <w:gridCol w:w="6170"/>
      </w:tblGrid>
      <w:tr>
        <w:trPr/>
        <w:tc>
          <w:tcPr>
            <w:tcW w:w="200" w:type="dxa"/>
            <w:tcBorders/>
            <w:shd w:fill="auto" w:val="clear"/>
            <w:vAlign w:val="center"/>
          </w:tcPr>
          <w:p>
            <w:pPr>
              <w:pStyle w:val="TableContents"/>
              <w:spacing w:before="0" w:after="0"/>
              <w:jc w:val="left"/>
              <w:rPr>
                <w:sz w:val="14"/>
              </w:rPr>
            </w:pPr>
            <w:r>
              <w:rPr>
                <w:sz w:val="14"/>
              </w:rPr>
              <w:t>(1)</w:t>
            </w:r>
          </w:p>
          <w:p>
            <w:pPr>
              <w:pStyle w:val="TableContents"/>
              <w:spacing w:before="0" w:after="0"/>
              <w:jc w:val="left"/>
              <w:rPr/>
            </w:pPr>
            <w:r>
              <w:rPr/>
              <w:t> </w:t>
            </w:r>
          </w:p>
        </w:tc>
        <w:tc>
          <w:tcPr>
            <w:tcW w:w="6170" w:type="dxa"/>
            <w:tcBorders/>
            <w:shd w:fill="auto" w:val="clear"/>
            <w:vAlign w:val="center"/>
          </w:tcPr>
          <w:p>
            <w:pPr>
              <w:pStyle w:val="TableContents"/>
              <w:spacing w:before="0" w:after="0"/>
              <w:jc w:val="left"/>
              <w:rPr>
                <w:rFonts w:ascii="Times New Roman" w:hAnsi="Times New Roman"/>
                <w:spacing w:val="0"/>
                <w:sz w:val="20"/>
              </w:rPr>
            </w:pPr>
            <w:r>
              <w:rPr>
                <w:rFonts w:ascii="Times New Roman" w:hAnsi="Times New Roman"/>
                <w:spacing w:val="0"/>
                <w:sz w:val="20"/>
              </w:rPr>
              <w:t xml:space="preserve">Excludes the transition adjustment at adoption of Topic 842 in fiscal 2019. </w:t>
            </w:r>
          </w:p>
        </w:tc>
      </w:tr>
    </w:tbl>
    <w:p>
      <w:pPr>
        <w:pStyle w:val="TextBody"/>
        <w:spacing w:before="120" w:after="0"/>
        <w:jc w:val="left"/>
        <w:rPr>
          <w:rFonts w:ascii="Times New Roman" w:hAnsi="Times New Roman"/>
          <w:spacing w:val="0"/>
          <w:sz w:val="20"/>
        </w:rPr>
      </w:pPr>
      <w:r>
        <w:rPr>
          <w:rFonts w:ascii="Times New Roman" w:hAnsi="Times New Roman"/>
          <w:spacing w:val="0"/>
          <w:sz w:val="20"/>
        </w:rPr>
        <w:t xml:space="preserve">Maturities of our operating lease liabilities were as follows as of January 31, 2021: </w:t>
      </w:r>
    </w:p>
    <w:p>
      <w:pPr>
        <w:pStyle w:val="TextBody"/>
        <w:spacing w:before="0" w:after="0"/>
        <w:jc w:val="left"/>
        <w:rPr>
          <w:spacing w:val="0"/>
        </w:rPr>
      </w:pPr>
      <w:r>
        <w:rPr>
          <w:spacing w:val="0"/>
        </w:rPr>
        <w:t> </w:t>
      </w:r>
    </w:p>
    <w:tbl>
      <w:tblPr>
        <w:tblW w:w="4775" w:type="dxa"/>
        <w:jc w:val="left"/>
        <w:tblInd w:w="0" w:type="dxa"/>
        <w:tblCellMar>
          <w:top w:w="0" w:type="dxa"/>
          <w:left w:w="0" w:type="dxa"/>
          <w:bottom w:w="0" w:type="dxa"/>
          <w:right w:w="0" w:type="dxa"/>
        </w:tblCellMar>
      </w:tblPr>
      <w:tblGrid>
        <w:gridCol w:w="3425"/>
        <w:gridCol w:w="120"/>
        <w:gridCol w:w="140"/>
        <w:gridCol w:w="980"/>
        <w:gridCol w:w="110"/>
      </w:tblGrid>
      <w:tr>
        <w:trPr/>
        <w:tc>
          <w:tcPr>
            <w:tcW w:w="342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r>
      <w:tr>
        <w:trPr/>
        <w:tc>
          <w:tcPr>
            <w:tcW w:w="342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2022</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980" w:type="dxa"/>
            <w:tcBorders/>
            <w:shd w:fill="CCEEFF" w:val="clear"/>
            <w:vAlign w:val="center"/>
          </w:tcPr>
          <w:p>
            <w:pPr>
              <w:pStyle w:val="TableContents"/>
              <w:spacing w:before="0" w:after="0"/>
              <w:jc w:val="right"/>
              <w:rPr/>
            </w:pPr>
            <w:r>
              <w:rPr/>
              <w:t>  </w:t>
            </w:r>
          </w:p>
          <w:p>
            <w:pPr>
              <w:pStyle w:val="TableContents"/>
              <w:spacing w:before="0" w:after="0"/>
              <w:jc w:val="right"/>
              <w:rPr>
                <w:spacing w:val="0"/>
              </w:rPr>
            </w:pPr>
            <w:r>
              <w:rPr>
                <w:spacing w:val="0"/>
              </w:rPr>
              <w:t>132,037</w:t>
            </w:r>
          </w:p>
        </w:tc>
        <w:tc>
          <w:tcPr>
            <w:tcW w:w="110" w:type="dxa"/>
            <w:tcBorders/>
            <w:shd w:fill="CCEEFF" w:val="clear"/>
            <w:vAlign w:val="center"/>
          </w:tcPr>
          <w:p>
            <w:pPr>
              <w:pStyle w:val="TableContents"/>
              <w:spacing w:before="0" w:after="283"/>
              <w:rPr/>
            </w:pPr>
            <w:r>
              <w:rPr/>
              <w:t> </w:t>
            </w:r>
          </w:p>
        </w:tc>
      </w:tr>
      <w:tr>
        <w:trPr/>
        <w:tc>
          <w:tcPr>
            <w:tcW w:w="342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2023</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0"/>
              <w:jc w:val="right"/>
              <w:rPr>
                <w:rFonts w:ascii="Times New Roman" w:hAnsi="Times New Roman"/>
                <w:spacing w:val="0"/>
              </w:rPr>
            </w:pPr>
            <w:r>
              <w:rPr>
                <w:rFonts w:ascii="Times New Roman" w:hAnsi="Times New Roman"/>
                <w:spacing w:val="0"/>
              </w:rPr>
              <w:t>138,413</w:t>
            </w:r>
          </w:p>
        </w:tc>
        <w:tc>
          <w:tcPr>
            <w:tcW w:w="110" w:type="dxa"/>
            <w:tcBorders/>
            <w:shd w:fill="auto" w:val="clear"/>
            <w:vAlign w:val="center"/>
          </w:tcPr>
          <w:p>
            <w:pPr>
              <w:pStyle w:val="TableContents"/>
              <w:spacing w:before="0" w:after="283"/>
              <w:jc w:val="right"/>
              <w:rPr/>
            </w:pPr>
            <w:r>
              <w:rPr/>
              <w:t> </w:t>
            </w:r>
          </w:p>
        </w:tc>
      </w:tr>
      <w:tr>
        <w:trPr/>
        <w:tc>
          <w:tcPr>
            <w:tcW w:w="342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2024</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0"/>
              <w:jc w:val="right"/>
              <w:rPr>
                <w:rFonts w:ascii="Times New Roman" w:hAnsi="Times New Roman"/>
                <w:spacing w:val="0"/>
              </w:rPr>
            </w:pPr>
            <w:r>
              <w:rPr>
                <w:rFonts w:ascii="Times New Roman" w:hAnsi="Times New Roman"/>
                <w:spacing w:val="0"/>
              </w:rPr>
              <w:t>135,388</w:t>
            </w:r>
          </w:p>
        </w:tc>
        <w:tc>
          <w:tcPr>
            <w:tcW w:w="110" w:type="dxa"/>
            <w:tcBorders/>
            <w:shd w:fill="CCEEFF" w:val="clear"/>
            <w:vAlign w:val="center"/>
          </w:tcPr>
          <w:p>
            <w:pPr>
              <w:pStyle w:val="TableContents"/>
              <w:spacing w:before="0" w:after="283"/>
              <w:rPr/>
            </w:pPr>
            <w:r>
              <w:rPr/>
              <w:t> </w:t>
            </w:r>
          </w:p>
        </w:tc>
      </w:tr>
      <w:tr>
        <w:trPr/>
        <w:tc>
          <w:tcPr>
            <w:tcW w:w="342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2025</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0"/>
              <w:jc w:val="right"/>
              <w:rPr>
                <w:rFonts w:ascii="Times New Roman" w:hAnsi="Times New Roman"/>
                <w:spacing w:val="0"/>
              </w:rPr>
            </w:pPr>
            <w:r>
              <w:rPr>
                <w:rFonts w:ascii="Times New Roman" w:hAnsi="Times New Roman"/>
                <w:spacing w:val="0"/>
              </w:rPr>
              <w:t>134,488</w:t>
            </w:r>
          </w:p>
        </w:tc>
        <w:tc>
          <w:tcPr>
            <w:tcW w:w="110" w:type="dxa"/>
            <w:tcBorders/>
            <w:shd w:fill="auto" w:val="clear"/>
            <w:vAlign w:val="center"/>
          </w:tcPr>
          <w:p>
            <w:pPr>
              <w:pStyle w:val="TableContents"/>
              <w:spacing w:before="0" w:after="283"/>
              <w:rPr/>
            </w:pPr>
            <w:r>
              <w:rPr/>
              <w:t> </w:t>
            </w:r>
          </w:p>
        </w:tc>
      </w:tr>
      <w:tr>
        <w:trPr/>
        <w:tc>
          <w:tcPr>
            <w:tcW w:w="342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2026</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0"/>
              <w:jc w:val="right"/>
              <w:rPr>
                <w:rFonts w:ascii="Times New Roman" w:hAnsi="Times New Roman"/>
                <w:spacing w:val="0"/>
              </w:rPr>
            </w:pPr>
            <w:r>
              <w:rPr>
                <w:rFonts w:ascii="Times New Roman" w:hAnsi="Times New Roman"/>
                <w:spacing w:val="0"/>
              </w:rPr>
              <w:t>134,915</w:t>
            </w:r>
          </w:p>
        </w:tc>
        <w:tc>
          <w:tcPr>
            <w:tcW w:w="110" w:type="dxa"/>
            <w:tcBorders/>
            <w:shd w:fill="CCEEFF" w:val="clear"/>
            <w:vAlign w:val="center"/>
          </w:tcPr>
          <w:p>
            <w:pPr>
              <w:pStyle w:val="TableContents"/>
              <w:spacing w:before="0" w:after="283"/>
              <w:rPr/>
            </w:pPr>
            <w:r>
              <w:rPr/>
              <w:t> </w:t>
            </w:r>
          </w:p>
        </w:tc>
      </w:tr>
      <w:tr>
        <w:trPr/>
        <w:tc>
          <w:tcPr>
            <w:tcW w:w="342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Thereafter</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rFonts w:ascii="Times New Roman" w:hAnsi="Times New Roman"/>
              </w:rPr>
            </w:pPr>
            <w:r>
              <w:rPr>
                <w:rFonts w:ascii="Times New Roman" w:hAnsi="Times New Roman"/>
              </w:rPr>
              <w:t>1,374,294</w:t>
            </w:r>
          </w:p>
        </w:tc>
        <w:tc>
          <w:tcPr>
            <w:tcW w:w="110" w:type="dxa"/>
            <w:tcBorders/>
            <w:shd w:fill="auto" w:val="clear"/>
            <w:vAlign w:val="center"/>
          </w:tcPr>
          <w:p>
            <w:pPr>
              <w:pStyle w:val="TableContents"/>
              <w:spacing w:before="0" w:after="283"/>
              <w:rPr/>
            </w:pPr>
            <w:r>
              <w:rPr/>
              <w:t> </w:t>
            </w:r>
          </w:p>
        </w:tc>
      </w:tr>
      <w:tr>
        <w:trPr/>
        <w:tc>
          <w:tcPr>
            <w:tcW w:w="342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single" w:sz="2" w:space="1" w:color="000000"/>
              </w:rPr>
            </w:pPr>
            <w:r>
              <w:rPr>
                <w:bdr w:val="single" w:sz="2" w:space="1" w:color="000000"/>
              </w:rPr>
              <w:t> </w:t>
            </w:r>
          </w:p>
        </w:tc>
        <w:tc>
          <w:tcPr>
            <w:tcW w:w="980" w:type="dxa"/>
            <w:tcBorders/>
            <w:shd w:fill="auto" w:val="clear"/>
            <w:vAlign w:val="center"/>
          </w:tcPr>
          <w:p>
            <w:pPr>
              <w:pStyle w:val="TableContents"/>
              <w:spacing w:before="0" w:after="0"/>
              <w:rPr>
                <w:bdr w:val="single" w:sz="2" w:space="1" w:color="000000"/>
              </w:rPr>
            </w:pPr>
            <w:r>
              <w:rPr>
                <w:bdr w:val="single" w:sz="2" w:space="1" w:color="000000"/>
              </w:rPr>
              <w:t> </w:t>
            </w:r>
          </w:p>
        </w:tc>
        <w:tc>
          <w:tcPr>
            <w:tcW w:w="110" w:type="dxa"/>
            <w:tcBorders/>
            <w:shd w:fill="auto" w:val="clear"/>
            <w:vAlign w:val="center"/>
          </w:tcPr>
          <w:p>
            <w:pPr>
              <w:pStyle w:val="TableContents"/>
              <w:spacing w:before="0" w:after="283"/>
              <w:rPr/>
            </w:pPr>
            <w:r>
              <w:rPr/>
              <w:t> </w:t>
            </w:r>
          </w:p>
        </w:tc>
      </w:tr>
      <w:tr>
        <w:trPr/>
        <w:tc>
          <w:tcPr>
            <w:tcW w:w="342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Total future operating lease liability</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980" w:type="dxa"/>
            <w:tcBorders/>
            <w:shd w:fill="CCEEFF" w:val="clear"/>
            <w:vAlign w:val="center"/>
          </w:tcPr>
          <w:p>
            <w:pPr>
              <w:pStyle w:val="TableContents"/>
              <w:spacing w:before="0" w:after="283"/>
              <w:jc w:val="right"/>
              <w:rPr/>
            </w:pPr>
            <w:r>
              <w:rPr/>
              <w:t>2,049,535</w:t>
            </w:r>
          </w:p>
        </w:tc>
        <w:tc>
          <w:tcPr>
            <w:tcW w:w="110" w:type="dxa"/>
            <w:tcBorders/>
            <w:shd w:fill="CCEEFF" w:val="clear"/>
            <w:vAlign w:val="center"/>
          </w:tcPr>
          <w:p>
            <w:pPr>
              <w:pStyle w:val="TableContents"/>
              <w:spacing w:before="0" w:after="283"/>
              <w:rPr/>
            </w:pPr>
            <w:r>
              <w:rPr/>
              <w:t> </w:t>
            </w:r>
          </w:p>
        </w:tc>
      </w:tr>
      <w:tr>
        <w:trPr/>
        <w:tc>
          <w:tcPr>
            <w:tcW w:w="3425" w:type="dxa"/>
            <w:tcBorders/>
            <w:shd w:fill="auto" w:val="clear"/>
            <w:vAlign w:val="center"/>
          </w:tcPr>
          <w:p>
            <w:pPr>
              <w:pStyle w:val="TableContents"/>
              <w:spacing w:before="0" w:after="0"/>
              <w:rPr>
                <w:rFonts w:ascii="Times New Roman" w:hAnsi="Times New Roman"/>
                <w:sz w:val="20"/>
              </w:rPr>
            </w:pPr>
            <w:r>
              <w:rPr>
                <w:rFonts w:ascii="Times New Roman" w:hAnsi="Times New Roman"/>
                <w:sz w:val="20"/>
              </w:rPr>
              <w:t>Less: interest</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0"/>
              <w:jc w:val="right"/>
              <w:rPr>
                <w:rFonts w:ascii="Times New Roman" w:hAnsi="Times New Roman"/>
                <w:spacing w:val="0"/>
              </w:rPr>
            </w:pPr>
            <w:r>
              <w:rPr>
                <w:rFonts w:ascii="Times New Roman" w:hAnsi="Times New Roman"/>
                <w:spacing w:val="0"/>
              </w:rPr>
              <w:t>(726,510</w:t>
            </w:r>
          </w:p>
        </w:tc>
        <w:tc>
          <w:tcPr>
            <w:tcW w:w="110" w:type="dxa"/>
            <w:tcBorders/>
            <w:shd w:fill="auto" w:val="clear"/>
            <w:vAlign w:val="center"/>
          </w:tcPr>
          <w:p>
            <w:pPr>
              <w:pStyle w:val="TableContents"/>
              <w:spacing w:before="0" w:after="0"/>
              <w:rPr>
                <w:rFonts w:ascii="Times New Roman" w:hAnsi="Times New Roman"/>
                <w:spacing w:val="0"/>
              </w:rPr>
            </w:pPr>
            <w:r>
              <w:rPr>
                <w:rFonts w:ascii="Times New Roman" w:hAnsi="Times New Roman"/>
                <w:spacing w:val="0"/>
              </w:rPr>
              <w:t>)</w:t>
            </w:r>
          </w:p>
        </w:tc>
      </w:tr>
      <w:tr>
        <w:trPr/>
        <w:tc>
          <w:tcPr>
            <w:tcW w:w="342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single" w:sz="2" w:space="1" w:color="000000"/>
              </w:rPr>
            </w:pPr>
            <w:r>
              <w:rPr>
                <w:bdr w:val="single" w:sz="2" w:space="1" w:color="000000"/>
              </w:rPr>
              <w:t> </w:t>
            </w:r>
          </w:p>
        </w:tc>
        <w:tc>
          <w:tcPr>
            <w:tcW w:w="980" w:type="dxa"/>
            <w:tcBorders/>
            <w:shd w:fill="auto" w:val="clear"/>
            <w:vAlign w:val="center"/>
          </w:tcPr>
          <w:p>
            <w:pPr>
              <w:pStyle w:val="TableContents"/>
              <w:spacing w:before="0" w:after="0"/>
              <w:rPr>
                <w:bdr w:val="single" w:sz="2" w:space="1" w:color="000000"/>
              </w:rPr>
            </w:pPr>
            <w:r>
              <w:rPr>
                <w:bdr w:val="single" w:sz="2" w:space="1" w:color="000000"/>
              </w:rPr>
              <w:t> </w:t>
            </w:r>
          </w:p>
        </w:tc>
        <w:tc>
          <w:tcPr>
            <w:tcW w:w="110" w:type="dxa"/>
            <w:tcBorders/>
            <w:shd w:fill="auto" w:val="clear"/>
            <w:vAlign w:val="center"/>
          </w:tcPr>
          <w:p>
            <w:pPr>
              <w:pStyle w:val="TableContents"/>
              <w:spacing w:before="0" w:after="283"/>
              <w:rPr/>
            </w:pPr>
            <w:r>
              <w:rPr/>
              <w:t> </w:t>
            </w:r>
          </w:p>
        </w:tc>
      </w:tr>
      <w:tr>
        <w:trPr/>
        <w:tc>
          <w:tcPr>
            <w:tcW w:w="342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Present value of operating lease liabilities</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980" w:type="dxa"/>
            <w:tcBorders/>
            <w:shd w:fill="CCEEFF" w:val="clear"/>
            <w:vAlign w:val="center"/>
          </w:tcPr>
          <w:p>
            <w:pPr>
              <w:pStyle w:val="TableContents"/>
              <w:spacing w:before="0" w:after="283"/>
              <w:jc w:val="right"/>
              <w:rPr/>
            </w:pPr>
            <w:r>
              <w:rPr/>
              <w:t>1,323,025</w:t>
            </w:r>
          </w:p>
        </w:tc>
        <w:tc>
          <w:tcPr>
            <w:tcW w:w="110" w:type="dxa"/>
            <w:tcBorders/>
            <w:shd w:fill="CCEEFF" w:val="clear"/>
            <w:vAlign w:val="center"/>
          </w:tcPr>
          <w:p>
            <w:pPr>
              <w:pStyle w:val="TableContents"/>
              <w:spacing w:before="0" w:after="283"/>
              <w:rPr/>
            </w:pPr>
            <w:r>
              <w:rPr/>
              <w:t> </w:t>
            </w:r>
          </w:p>
        </w:tc>
      </w:tr>
      <w:tr>
        <w:trPr/>
        <w:tc>
          <w:tcPr>
            <w:tcW w:w="342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0"/>
              <w:rPr>
                <w:bdr w:val="double" w:sz="6" w:space="1" w:color="000000"/>
              </w:rPr>
            </w:pPr>
            <w:r>
              <w:rPr>
                <w:bdr w:val="double" w:sz="6" w:space="1" w:color="000000"/>
              </w:rPr>
              <w:t> </w:t>
            </w:r>
          </w:p>
        </w:tc>
        <w:tc>
          <w:tcPr>
            <w:tcW w:w="980" w:type="dxa"/>
            <w:tcBorders/>
            <w:shd w:fill="auto" w:val="clear"/>
            <w:vAlign w:val="center"/>
          </w:tcPr>
          <w:p>
            <w:pPr>
              <w:pStyle w:val="TableContents"/>
              <w:spacing w:before="0" w:after="0"/>
              <w:rPr>
                <w:bdr w:val="double" w:sz="6" w:space="1" w:color="000000"/>
              </w:rPr>
            </w:pPr>
            <w:r>
              <w:rPr>
                <w:bdr w:val="double" w:sz="6" w:space="1" w:color="000000"/>
              </w:rPr>
              <w:t> </w:t>
            </w:r>
          </w:p>
        </w:tc>
        <w:tc>
          <w:tcPr>
            <w:tcW w:w="110" w:type="dxa"/>
            <w:tcBorders/>
            <w:shd w:fill="auto" w:val="clear"/>
            <w:vAlign w:val="center"/>
          </w:tcPr>
          <w:p>
            <w:pPr>
              <w:pStyle w:val="TableContents"/>
              <w:spacing w:before="0" w:after="283"/>
              <w:rPr/>
            </w:pPr>
            <w:r>
              <w:rPr/>
              <w:t> </w:t>
            </w:r>
          </w:p>
        </w:tc>
      </w:tr>
    </w:tbl>
    <w:p>
      <w:pPr>
        <w:pStyle w:val="TextBody"/>
        <w:spacing w:before="0" w:after="0"/>
        <w:jc w:val="left"/>
        <w:rPr>
          <w:spacing w:val="0"/>
        </w:rPr>
      </w:pPr>
      <w:r>
        <w:rPr>
          <w:spacing w:val="0"/>
        </w:rPr>
        <w:t>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F-22 </w:t>
      </w:r>
    </w:p>
    <w:p>
      <w:pPr>
        <w:pStyle w:val="HorizontalLine"/>
        <w:rPr/>
      </w:pPr>
      <w:r>
        <w:rPr/>
      </w:r>
    </w:p>
    <w:p>
      <w:pPr>
        <w:pStyle w:val="TextBody"/>
        <w:spacing w:before="0" w:after="0"/>
        <w:rPr/>
      </w:pPr>
      <w:hyperlink w:anchor="toc">
        <w:r>
          <w:rPr>
            <w:rStyle w:val="InternetLink"/>
            <w:b/>
            <w:sz w:val="20"/>
          </w:rPr>
          <w:t>Table of Contents</w:t>
        </w:r>
      </w:hyperlink>
    </w:p>
    <w:p>
      <w:pPr>
        <w:pStyle w:val="TextBody"/>
        <w:spacing w:before="0" w:after="0"/>
        <w:jc w:val="left"/>
        <w:rPr/>
      </w:pPr>
      <w:r>
        <w:rPr/>
        <w:t> </w:t>
      </w:r>
    </w:p>
    <w:p>
      <w:pPr>
        <w:pStyle w:val="TextBody"/>
        <w:widowControl/>
        <w:spacing w:before="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Operating lease payments in the table above includes minimum lease payments for three future sites for which the leases have commenced. Operating lease payments exclude approximately $173,000 of minimum lease payments for seven executed facility leases which have not yet commenced.</w:t>
      </w:r>
    </w:p>
    <w:p>
      <w:pPr>
        <w:pStyle w:val="TextBody"/>
        <w:spacing w:before="360" w:after="0"/>
        <w:jc w:val="left"/>
        <w:rPr>
          <w:rFonts w:ascii="Times New Roman" w:hAnsi="Times New Roman"/>
          <w:b/>
          <w:spacing w:val="0"/>
          <w:sz w:val="20"/>
        </w:rPr>
      </w:pPr>
      <w:r>
        <w:rPr>
          <w:rFonts w:ascii="Times New Roman" w:hAnsi="Times New Roman"/>
          <w:b/>
          <w:spacing w:val="0"/>
          <w:sz w:val="20"/>
        </w:rPr>
        <w:t xml:space="preserve">Note 8: Stockholders’ Equity </w:t>
      </w:r>
    </w:p>
    <w:p>
      <w:pPr>
        <w:pStyle w:val="TextBody"/>
        <w:spacing w:before="12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Shareholder rights plan </w:t>
      </w:r>
    </w:p>
    <w:p>
      <w:pPr>
        <w:pStyle w:val="TextBody"/>
        <w:spacing w:before="120" w:after="0"/>
        <w:jc w:val="left"/>
        <w:rPr>
          <w:rFonts w:ascii="Times New Roman" w:hAnsi="Times New Roman"/>
          <w:sz w:val="20"/>
        </w:rPr>
      </w:pPr>
      <w:r>
        <w:rPr>
          <w:rFonts w:ascii="Times New Roman" w:hAnsi="Times New Roman"/>
          <w:sz w:val="20"/>
        </w:rPr>
        <w:t xml:space="preserve">Effective March 18, 2020, the Board of Directors of the Company adopted a </w:t>
      </w:r>
    </w:p>
    <w:p>
      <w:pPr>
        <w:pStyle w:val="TextBody"/>
        <w:spacing w:before="120" w:after="0"/>
        <w:jc w:val="left"/>
        <w:rPr>
          <w:rFonts w:ascii="Times New Roman" w:hAnsi="Times New Roman"/>
          <w:spacing w:val="0"/>
          <w:sz w:val="20"/>
        </w:rPr>
      </w:pPr>
      <w:r>
        <w:rPr>
          <w:rFonts w:ascii="Times New Roman" w:hAnsi="Times New Roman"/>
          <w:spacing w:val="0"/>
          <w:sz w:val="20"/>
        </w:rPr>
        <w:t>364-day</w:t>
      </w:r>
    </w:p>
    <w:p>
      <w:pPr>
        <w:pStyle w:val="TextBody"/>
        <w:spacing w:before="120" w:after="0"/>
        <w:jc w:val="left"/>
        <w:rPr>
          <w:rFonts w:ascii="Times New Roman" w:hAnsi="Times New Roman"/>
          <w:sz w:val="20"/>
        </w:rPr>
      </w:pPr>
      <w:r>
        <w:rPr>
          <w:rFonts w:ascii="Times New Roman" w:hAnsi="Times New Roman"/>
          <w:sz w:val="20"/>
        </w:rPr>
        <w:t xml:space="preserve">duration Shareholder Rights Plan (the “Rights Plan”) and declared a dividend of one preferred share purchase right for each outstanding share of common stock to shareholders of record on March 30, 2020 to purchase from the Company one </w:t>
      </w:r>
    </w:p>
    <w:p>
      <w:pPr>
        <w:pStyle w:val="TextBody"/>
        <w:spacing w:before="120" w:after="0"/>
        <w:jc w:val="left"/>
        <w:rPr>
          <w:rFonts w:ascii="Times New Roman" w:hAnsi="Times New Roman"/>
          <w:spacing w:val="0"/>
          <w:sz w:val="20"/>
        </w:rPr>
      </w:pPr>
      <w:r>
        <w:rPr>
          <w:rFonts w:ascii="Times New Roman" w:hAnsi="Times New Roman"/>
          <w:spacing w:val="0"/>
          <w:sz w:val="20"/>
        </w:rPr>
        <w:t>one-ten</w:t>
      </w:r>
    </w:p>
    <w:p>
      <w:pPr>
        <w:pStyle w:val="TextBody"/>
        <w:spacing w:before="120" w:after="0"/>
        <w:jc w:val="left"/>
        <w:rPr>
          <w:rFonts w:ascii="Times New Roman" w:hAnsi="Times New Roman"/>
          <w:sz w:val="20"/>
        </w:rPr>
      </w:pPr>
      <w:r>
        <w:rPr>
          <w:rFonts w:ascii="Times New Roman" w:hAnsi="Times New Roman"/>
          <w:sz w:val="20"/>
        </w:rPr>
        <w:t>thousandth of a share of Series A Junior Participating Preferred Stock, par value $0.01 per share, of the Company for an exercise price of $45.00, once the rights become exercisable, subject to adjustment as provided in the related rights agreement. The Rights Plan expired on March 17, 2021.</w:t>
      </w:r>
    </w:p>
    <w:p>
      <w:pPr>
        <w:pStyle w:val="TextBody"/>
        <w:spacing w:before="120" w:after="0"/>
        <w:jc w:val="left"/>
        <w:rPr>
          <w:spacing w:val="0"/>
        </w:rPr>
      </w:pPr>
      <w:r>
        <w:rPr>
          <w:spacing w:val="0"/>
        </w:rPr>
        <w:t> </w:t>
      </w:r>
    </w:p>
    <w:p>
      <w:pPr>
        <w:pStyle w:val="TextBody"/>
        <w:spacing w:lineRule="atLeast" w:line="240"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Sale of common stock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On April 14, 2020, pursuant to an open market sale agreement, the Company sold 6,149,936 shares of its common stock at a price of $12.20 per share, for proceeds of $75,000, prior to deducting offering expenses related to the offering. </w:t>
      </w:r>
    </w:p>
    <w:p>
      <w:pPr>
        <w:pStyle w:val="TextBody"/>
        <w:spacing w:before="120" w:after="0"/>
        <w:jc w:val="left"/>
        <w:rPr>
          <w:rFonts w:ascii="Times New Roman" w:hAnsi="Times New Roman"/>
          <w:spacing w:val="0"/>
          <w:sz w:val="20"/>
        </w:rPr>
      </w:pPr>
      <w:r>
        <w:rPr>
          <w:rFonts w:ascii="Times New Roman" w:hAnsi="Times New Roman"/>
          <w:spacing w:val="0"/>
          <w:sz w:val="20"/>
        </w:rPr>
        <w:t>During May 2020, the Company entered into an underwriting agreement, pursuant to which it sold an additional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10,593,416 shares of its common stock </w:t>
      </w:r>
    </w:p>
    <w:p>
      <w:pPr>
        <w:pStyle w:val="TextBody"/>
        <w:spacing w:before="120" w:after="0"/>
        <w:jc w:val="left"/>
        <w:rPr>
          <w:rFonts w:ascii="Times New Roman" w:hAnsi="Times New Roman"/>
          <w:spacing w:val="0"/>
          <w:sz w:val="20"/>
        </w:rPr>
      </w:pPr>
      <w:r>
        <w:rPr>
          <w:rFonts w:ascii="Times New Roman" w:hAnsi="Times New Roman"/>
          <w:spacing w:val="0"/>
          <w:sz w:val="20"/>
        </w:rPr>
        <w:t>(including shares under an over-allotment option)</w:t>
      </w:r>
    </w:p>
    <w:p>
      <w:pPr>
        <w:pStyle w:val="TextBody"/>
        <w:spacing w:before="120" w:after="0"/>
        <w:jc w:val="left"/>
        <w:rPr>
          <w:spacing w:val="0"/>
        </w:rPr>
      </w:pPr>
      <w:r>
        <w:rPr>
          <w:spacing w:val="0"/>
        </w:rPr>
        <w:t> </w:t>
      </w:r>
    </w:p>
    <w:p>
      <w:pPr>
        <w:pStyle w:val="TextBody"/>
        <w:spacing w:before="120" w:after="0"/>
        <w:jc w:val="left"/>
        <w:rPr>
          <w:rFonts w:ascii="Times New Roman" w:hAnsi="Times New Roman"/>
          <w:spacing w:val="0"/>
          <w:sz w:val="20"/>
        </w:rPr>
      </w:pPr>
      <w:r>
        <w:rPr>
          <w:rFonts w:ascii="Times New Roman" w:hAnsi="Times New Roman"/>
          <w:spacing w:val="0"/>
          <w:sz w:val="20"/>
        </w:rPr>
        <w:t>at a price of $</w:t>
      </w:r>
    </w:p>
    <w:p>
      <w:pPr>
        <w:pStyle w:val="TextBody"/>
        <w:spacing w:before="120" w:after="0"/>
        <w:jc w:val="left"/>
        <w:rPr>
          <w:rFonts w:ascii="Times New Roman" w:hAnsi="Times New Roman"/>
          <w:sz w:val="20"/>
        </w:rPr>
      </w:pPr>
      <w:r>
        <w:rPr>
          <w:rFonts w:ascii="Times New Roman" w:hAnsi="Times New Roman"/>
          <w:sz w:val="20"/>
        </w:rPr>
        <w:t>10.44</w:t>
      </w:r>
    </w:p>
    <w:p>
      <w:pPr>
        <w:pStyle w:val="TextBody"/>
        <w:spacing w:before="120" w:after="0"/>
        <w:jc w:val="left"/>
        <w:rPr>
          <w:rFonts w:ascii="Times New Roman" w:hAnsi="Times New Roman"/>
          <w:spacing w:val="0"/>
          <w:sz w:val="20"/>
        </w:rPr>
      </w:pPr>
      <w:r>
        <w:rPr>
          <w:rFonts w:ascii="Times New Roman" w:hAnsi="Times New Roman"/>
          <w:spacing w:val="0"/>
          <w:sz w:val="20"/>
        </w:rPr>
        <w:t>per share,</w:t>
      </w:r>
    </w:p>
    <w:p>
      <w:pPr>
        <w:pStyle w:val="TextBody"/>
        <w:spacing w:before="120" w:after="0"/>
        <w:jc w:val="left"/>
        <w:rPr>
          <w:spacing w:val="0"/>
        </w:rPr>
      </w:pPr>
      <w:r>
        <w:rPr>
          <w:spacing w:val="0"/>
        </w:rPr>
        <w:t> </w:t>
      </w:r>
      <w:r>
        <w:rPr>
          <w:rFonts w:ascii="Times New Roman" w:hAnsi="Times New Roman"/>
          <w:spacing w:val="0"/>
          <w:sz w:val="20"/>
        </w:rPr>
        <w:t>for proceeds of $110,600, prior to deducting offering costs. </w:t>
      </w:r>
    </w:p>
    <w:p>
      <w:pPr>
        <w:pStyle w:val="TextBody"/>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Share repurchases and cash dividends </w:t>
      </w:r>
    </w:p>
    <w:p>
      <w:pPr>
        <w:pStyle w:val="TextBody"/>
        <w:spacing w:before="120" w:after="0"/>
        <w:jc w:val="left"/>
        <w:rPr>
          <w:rFonts w:ascii="Times New Roman" w:hAnsi="Times New Roman"/>
          <w:sz w:val="20"/>
        </w:rPr>
      </w:pPr>
      <w:r>
        <w:rPr>
          <w:rFonts w:ascii="Times New Roman" w:hAnsi="Times New Roman"/>
          <w:sz w:val="20"/>
        </w:rPr>
        <w:t xml:space="preserve">As a result of the impacts to our business arising from the </w:t>
      </w:r>
    </w:p>
    <w:p>
      <w:pPr>
        <w:pStyle w:val="TextBody"/>
        <w:spacing w:before="120" w:after="0"/>
        <w:jc w:val="left"/>
        <w:rPr>
          <w:rFonts w:ascii="Times New Roman" w:hAnsi="Times New Roman"/>
          <w:spacing w:val="0"/>
          <w:sz w:val="20"/>
        </w:rPr>
      </w:pPr>
      <w:r>
        <w:rPr>
          <w:rFonts w:ascii="Times New Roman" w:hAnsi="Times New Roman"/>
          <w:spacing w:val="0"/>
          <w:sz w:val="20"/>
        </w:rPr>
        <w:t>COVID-19</w:t>
      </w:r>
    </w:p>
    <w:p>
      <w:pPr>
        <w:pStyle w:val="TextBody"/>
        <w:spacing w:before="120" w:after="0"/>
        <w:jc w:val="left"/>
        <w:rPr>
          <w:rFonts w:ascii="Times New Roman" w:hAnsi="Times New Roman"/>
          <w:sz w:val="20"/>
        </w:rPr>
      </w:pPr>
      <w:r>
        <w:rPr>
          <w:rFonts w:ascii="Times New Roman" w:hAnsi="Times New Roman"/>
          <w:sz w:val="20"/>
        </w:rPr>
        <w:t xml:space="preserve">pandemic, share purchases and dividend payments were indefinitely suspended, and at the end of fiscal 2020, the Company’s share repurchase program expired. During fiscal 2019 and fiscal 2018, the Company purchased 7,116,585 and 3,080,419 shares of stock for $297,317 and $149,125, respectively. Our Board of Directors authorized and declared quarterly cash dividends totaling $0.62 and $0.30 per share of common stock during fiscal 2019 and fiscal 2018, respectively. The fiscal 2019 fourth quarter dividend was paid in the first quarter of fiscal 2020. </w:t>
      </w:r>
    </w:p>
    <w:p>
      <w:pPr>
        <w:pStyle w:val="TextBody"/>
        <w:spacing w:before="240" w:after="0"/>
        <w:jc w:val="left"/>
        <w:rPr>
          <w:rFonts w:ascii="Times New Roman" w:hAnsi="Times New Roman"/>
          <w:spacing w:val="0"/>
          <w:sz w:val="20"/>
        </w:rPr>
      </w:pPr>
      <w:r>
        <w:rPr>
          <w:rFonts w:ascii="Times New Roman" w:hAnsi="Times New Roman"/>
          <w:spacing w:val="0"/>
          <w:sz w:val="20"/>
        </w:rPr>
        <w:t>The Company treats shares withheld for tax purposes on behalf of our employees in connection with the vesting of restricted stock units as common stock repurchases because they reduce the number of shares that would have been issued upon vesting. These withheld shares of common stock were not considered common stock repurchases under the share repurchase plan. During the fiscal year ended 2020, 2019 and 2018, we withheld 58,715, 11,536 and 16,251 shares of common stock to satisfy $929, $595 and $673 of employees’ tax obligations, respectively. The share activity in fiscal 2020 includes the settlements of $2,517 cash obligations through the issuance of 160,540 shares of common stock.</w:t>
      </w:r>
    </w:p>
    <w:p>
      <w:pPr>
        <w:pStyle w:val="TextBody"/>
        <w:spacing w:before="36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Share-based compensation </w:t>
      </w:r>
    </w:p>
    <w:p>
      <w:pPr>
        <w:pStyle w:val="TextBody"/>
        <w:spacing w:before="120" w:after="0"/>
        <w:jc w:val="left"/>
        <w:rPr>
          <w:rFonts w:ascii="Times New Roman" w:hAnsi="Times New Roman"/>
          <w:spacing w:val="0"/>
          <w:sz w:val="20"/>
        </w:rPr>
      </w:pPr>
      <w:r>
        <w:rPr>
          <w:rFonts w:ascii="Times New Roman" w:hAnsi="Times New Roman"/>
          <w:spacing w:val="0"/>
          <w:sz w:val="20"/>
        </w:rPr>
        <w:t>The Company maintains an equity incentive plan under which it may grant awards denominated in the Company’s common stock or units of the Company’s common stock, as well as cash variable compensation awards. The Company’s long-term incentive compensation provides awards to executive and management personnel as well as directors. Prior to October 2014, we issued share-based awards under our 2010 Stock Incentive Plan, and all outstanding grants under this plan were fully vested as of the end of fiscal 2018. Share-based awards granted after October 2014 were issued pursuant to the terms of our 2014 Stock Incentive Plan. We may grant stock option or restricted stock units to executive and management personnel as well as directors. Time-based options granted to employees generally become exercisable ratably over a three-year period from the grant date. Performance-based restricted stock units awarded to employees fully vest after three years, subject to the achievement of specified performance conditions. Market stock units (“MSU’s”) awarded to employees vest ratably over a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three-year period from the grant date, subject to the achievement of specific market conditions. Time-based </w:t>
      </w:r>
    </w:p>
    <w:p>
      <w:pPr>
        <w:pStyle w:val="TextBody"/>
        <w:spacing w:before="120" w:after="0"/>
        <w:jc w:val="left"/>
        <w:rPr>
          <w:rFonts w:ascii="Times New Roman" w:hAnsi="Times New Roman"/>
          <w:spacing w:val="0"/>
          <w:sz w:val="20"/>
        </w:rPr>
      </w:pPr>
      <w:r>
        <w:rPr>
          <w:rFonts w:ascii="Times New Roman" w:hAnsi="Times New Roman"/>
          <w:spacing w:val="0"/>
          <w:sz w:val="20"/>
        </w:rPr>
        <w:t xml:space="preserve">restricted stock units </w:t>
      </w:r>
    </w:p>
    <w:p>
      <w:pPr>
        <w:pStyle w:val="TextBody"/>
        <w:spacing w:before="120" w:after="0"/>
        <w:jc w:val="left"/>
        <w:rPr>
          <w:rFonts w:ascii="Times New Roman" w:hAnsi="Times New Roman"/>
          <w:spacing w:val="0"/>
          <w:sz w:val="20"/>
        </w:rPr>
      </w:pPr>
      <w:r>
        <w:rPr>
          <w:rFonts w:ascii="Times New Roman" w:hAnsi="Times New Roman"/>
          <w:spacing w:val="0"/>
          <w:sz w:val="20"/>
        </w:rPr>
        <w:t>have various service periods not exceeding five years.</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F-23 </w:t>
      </w:r>
    </w:p>
    <w:p>
      <w:pPr>
        <w:pStyle w:val="HorizontalLine"/>
        <w:rPr/>
      </w:pPr>
      <w:r>
        <w:rPr/>
      </w:r>
    </w:p>
    <w:p>
      <w:pPr>
        <w:pStyle w:val="TextBody"/>
        <w:spacing w:before="0" w:after="0"/>
        <w:rPr/>
      </w:pPr>
      <w:hyperlink w:anchor="toc">
        <w:r>
          <w:rPr>
            <w:rStyle w:val="InternetLink"/>
            <w:b/>
            <w:sz w:val="20"/>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Options granted under both plans terminate on the </w:t>
      </w:r>
    </w:p>
    <w:p>
      <w:pPr>
        <w:pStyle w:val="TextBody"/>
        <w:spacing w:before="0" w:after="0"/>
        <w:jc w:val="left"/>
        <w:rPr>
          <w:rFonts w:ascii="Times New Roman" w:hAnsi="Times New Roman"/>
          <w:spacing w:val="0"/>
          <w:sz w:val="20"/>
        </w:rPr>
      </w:pPr>
      <w:r>
        <w:rPr>
          <w:rFonts w:ascii="Times New Roman" w:hAnsi="Times New Roman"/>
          <w:spacing w:val="0"/>
          <w:sz w:val="20"/>
        </w:rPr>
        <w:t>ten-year</w:t>
      </w:r>
    </w:p>
    <w:p>
      <w:pPr>
        <w:pStyle w:val="TextBody"/>
        <w:spacing w:before="0" w:after="0"/>
        <w:jc w:val="left"/>
        <w:rPr>
          <w:rFonts w:ascii="Times New Roman" w:hAnsi="Times New Roman"/>
          <w:sz w:val="20"/>
        </w:rPr>
      </w:pPr>
      <w:r>
        <w:rPr>
          <w:rFonts w:ascii="Times New Roman" w:hAnsi="Times New Roman"/>
          <w:sz w:val="20"/>
        </w:rPr>
        <w:t xml:space="preserve">anniversary of the grants. Stock option awards generally provide continued vesting, in the event of termination, for employees that reach age 60 or greater and have at least ten years of service or for employees that reach age 65 </w:t>
      </w:r>
    </w:p>
    <w:p>
      <w:pPr>
        <w:pStyle w:val="TextBody"/>
        <w:spacing w:before="0" w:after="0"/>
        <w:jc w:val="left"/>
        <w:rPr>
          <w:rFonts w:ascii="Times New Roman" w:hAnsi="Times New Roman"/>
          <w:spacing w:val="0"/>
          <w:sz w:val="20"/>
        </w:rPr>
      </w:pPr>
      <w:r>
        <w:rPr>
          <w:rFonts w:ascii="Times New Roman" w:hAnsi="Times New Roman"/>
          <w:spacing w:val="0"/>
          <w:sz w:val="20"/>
        </w:rPr>
        <w:t>(“retired employees”). Unvested stock options, and restricted stock units are generally forfeited by employees who terminate prior to vesting and prorated for retired employees.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Each share granted subject to a stock option award or time-based </w:t>
      </w:r>
    </w:p>
    <w:p>
      <w:pPr>
        <w:pStyle w:val="TextBody"/>
        <w:spacing w:before="240" w:after="0"/>
        <w:jc w:val="left"/>
        <w:rPr>
          <w:rFonts w:ascii="Times New Roman" w:hAnsi="Times New Roman"/>
          <w:spacing w:val="0"/>
          <w:sz w:val="20"/>
        </w:rPr>
      </w:pPr>
      <w:r>
        <w:rPr>
          <w:rFonts w:ascii="Times New Roman" w:hAnsi="Times New Roman"/>
          <w:spacing w:val="0"/>
          <w:sz w:val="20"/>
        </w:rPr>
        <w:t>restricted stock unit</w:t>
      </w:r>
    </w:p>
    <w:p>
      <w:pPr>
        <w:pStyle w:val="TextBody"/>
        <w:spacing w:before="240" w:after="0"/>
        <w:jc w:val="left"/>
        <w:rPr>
          <w:spacing w:val="0"/>
        </w:rPr>
      </w:pPr>
      <w:r>
        <w:rPr>
          <w:spacing w:val="0"/>
        </w:rPr>
        <w:t> </w:t>
      </w:r>
      <w:r>
        <w:rPr>
          <w:rFonts w:ascii="Times New Roman" w:hAnsi="Times New Roman"/>
          <w:spacing w:val="0"/>
          <w:sz w:val="20"/>
        </w:rPr>
        <w:t>award reduces the number of shares available under our stock incentive plans by one share. Each share granted subject to a performance restricted stock unit or market stock unit award reduces the number of shares available under our stock incentive plans by a range of </w:t>
      </w:r>
    </w:p>
    <w:p>
      <w:pPr>
        <w:pStyle w:val="TextBody"/>
        <w:spacing w:before="240" w:after="0"/>
        <w:jc w:val="left"/>
        <w:rPr>
          <w:rFonts w:ascii="Times New Roman" w:hAnsi="Times New Roman"/>
          <w:spacing w:val="0"/>
          <w:sz w:val="20"/>
        </w:rPr>
      </w:pPr>
      <w:r>
        <w:rPr>
          <w:rFonts w:ascii="Times New Roman" w:hAnsi="Times New Roman"/>
          <w:spacing w:val="0"/>
          <w:sz w:val="20"/>
        </w:rPr>
        <w:t>one share if the target performance or market condition is achieved, up to a maximum of two shares for performance or market condition achieved above target and a minimum of no shares if performance or market condition achieved is</w:t>
      </w:r>
    </w:p>
    <w:p>
      <w:pPr>
        <w:pStyle w:val="TextBody"/>
        <w:spacing w:before="240" w:after="0"/>
        <w:jc w:val="left"/>
        <w:rPr>
          <w:spacing w:val="0"/>
        </w:rPr>
      </w:pPr>
      <w:r>
        <w:rPr>
          <w:spacing w:val="0"/>
        </w:rPr>
        <w:t> </w:t>
      </w:r>
    </w:p>
    <w:p>
      <w:pPr>
        <w:pStyle w:val="TextBody"/>
        <w:spacing w:before="240" w:after="0"/>
        <w:jc w:val="left"/>
        <w:rPr>
          <w:rFonts w:ascii="Times New Roman" w:hAnsi="Times New Roman"/>
          <w:spacing w:val="0"/>
          <w:sz w:val="20"/>
        </w:rPr>
      </w:pPr>
      <w:r>
        <w:rPr>
          <w:rFonts w:ascii="Times New Roman" w:hAnsi="Times New Roman"/>
          <w:spacing w:val="0"/>
          <w:sz w:val="20"/>
        </w:rPr>
        <w:t>below a minimum threshold target. On June </w:t>
      </w:r>
    </w:p>
    <w:p>
      <w:pPr>
        <w:pStyle w:val="TextBody"/>
        <w:spacing w:before="240" w:after="0"/>
        <w:jc w:val="left"/>
        <w:rPr>
          <w:rFonts w:ascii="Times New Roman" w:hAnsi="Times New Roman"/>
          <w:sz w:val="20"/>
        </w:rPr>
      </w:pPr>
      <w:r>
        <w:rPr>
          <w:rFonts w:ascii="Times New Roman" w:hAnsi="Times New Roman"/>
          <w:sz w:val="20"/>
        </w:rPr>
        <w:t>23</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 </w:t>
      </w:r>
    </w:p>
    <w:p>
      <w:pPr>
        <w:pStyle w:val="TextBody"/>
        <w:spacing w:before="240" w:after="0"/>
        <w:jc w:val="left"/>
        <w:rPr>
          <w:rFonts w:ascii="Times New Roman" w:hAnsi="Times New Roman"/>
          <w:sz w:val="20"/>
        </w:rPr>
      </w:pPr>
      <w:r>
        <w:rPr>
          <w:rFonts w:ascii="Times New Roman" w:hAnsi="Times New Roman"/>
          <w:sz w:val="20"/>
        </w:rPr>
        <w:t>2020</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 shareholders approved a proposal to amend the </w:t>
      </w:r>
    </w:p>
    <w:p>
      <w:pPr>
        <w:pStyle w:val="TextBody"/>
        <w:spacing w:before="240" w:after="0"/>
        <w:jc w:val="left"/>
        <w:rPr>
          <w:rFonts w:ascii="Times New Roman" w:hAnsi="Times New Roman"/>
          <w:sz w:val="20"/>
        </w:rPr>
      </w:pPr>
      <w:r>
        <w:rPr>
          <w:rFonts w:ascii="Times New Roman" w:hAnsi="Times New Roman"/>
          <w:sz w:val="20"/>
        </w:rPr>
        <w:t>2014</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Stock Incentive Plan to increase the number of shares available for awards to </w:t>
      </w:r>
    </w:p>
    <w:p>
      <w:pPr>
        <w:pStyle w:val="TextBody"/>
        <w:spacing w:before="240" w:after="0"/>
        <w:jc w:val="left"/>
        <w:rPr>
          <w:rFonts w:ascii="Times New Roman" w:hAnsi="Times New Roman"/>
          <w:sz w:val="20"/>
        </w:rPr>
      </w:pPr>
      <w:r>
        <w:rPr>
          <w:rFonts w:ascii="Times New Roman" w:hAnsi="Times New Roman"/>
          <w:sz w:val="20"/>
        </w:rPr>
        <w:t>6,100,000</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shares. The number of unissued common shares reserved for future grants under the </w:t>
      </w:r>
    </w:p>
    <w:p>
      <w:pPr>
        <w:pStyle w:val="TextBody"/>
        <w:spacing w:before="240" w:after="0"/>
        <w:jc w:val="left"/>
        <w:rPr>
          <w:rFonts w:ascii="Times New Roman" w:hAnsi="Times New Roman"/>
          <w:sz w:val="20"/>
        </w:rPr>
      </w:pPr>
      <w:r>
        <w:rPr>
          <w:rFonts w:ascii="Times New Roman" w:hAnsi="Times New Roman"/>
          <w:sz w:val="20"/>
        </w:rPr>
        <w:t>2014</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Stock Incentive Plan is approximately </w:t>
      </w:r>
    </w:p>
    <w:p>
      <w:pPr>
        <w:pStyle w:val="TextBody"/>
        <w:spacing w:before="240" w:after="0"/>
        <w:jc w:val="left"/>
        <w:rPr>
          <w:rFonts w:ascii="Times New Roman" w:hAnsi="Times New Roman"/>
          <w:sz w:val="20"/>
        </w:rPr>
      </w:pPr>
      <w:r>
        <w:rPr>
          <w:rFonts w:ascii="Times New Roman" w:hAnsi="Times New Roman"/>
          <w:sz w:val="20"/>
        </w:rPr>
        <w:t>3,300,000</w:t>
      </w:r>
    </w:p>
    <w:p>
      <w:pPr>
        <w:pStyle w:val="TextBody"/>
        <w:spacing w:before="240" w:after="0"/>
        <w:jc w:val="left"/>
        <w:rPr>
          <w:rFonts w:ascii="Times New Roman" w:hAnsi="Times New Roman"/>
          <w:spacing w:val="0"/>
          <w:sz w:val="20"/>
        </w:rPr>
      </w:pPr>
      <w:r>
        <w:rPr>
          <w:rFonts w:ascii="Times New Roman" w:hAnsi="Times New Roman"/>
          <w:spacing w:val="0"/>
          <w:sz w:val="20"/>
        </w:rPr>
        <w:t>as of January 31, 2021. The Company satisfies stock option exercises and vesting of restricted stock units with newly issued shares. </w:t>
      </w:r>
    </w:p>
    <w:p>
      <w:pPr>
        <w:pStyle w:val="TextBody"/>
        <w:spacing w:before="240" w:after="0"/>
        <w:jc w:val="left"/>
        <w:rPr>
          <w:rFonts w:ascii="Times New Roman" w:hAnsi="Times New Roman"/>
          <w:sz w:val="20"/>
        </w:rPr>
      </w:pPr>
      <w:r>
        <w:rPr>
          <w:rFonts w:ascii="Times New Roman" w:hAnsi="Times New Roman"/>
          <w:sz w:val="20"/>
        </w:rPr>
        <w:t xml:space="preserve">The grant date fair value of our stock option awards has been determined using the Black-Scholes option valuation model. The Black-Scholes option valuation model uses assumptions of expected volatility, the expected dividend yield of our stock, the expected term of the awards and the risk-free interest rate, as well as an estimated fair value of our common stock. Fair value valuation analyses were prepared by an independent third-party valuation firm, utilizing the market-determined share price. Since our stock had not been publicly traded prior to our IPO, the expected volatility was based on an average of the historical volatility of certain of our competitors’ stocks over the expected term of the share-based awards with the calculation placing more weight on company-specific volatilities each year thereafter. The dividend yield assumption was based on our history. The simplified method was used to estimate the expected term of share-based awards. This method was used because the Company does not have enough historical option activity to derive an expected life. The risk-free interest rate was based on the implied yield on U.S. Treasury </w:t>
      </w:r>
    </w:p>
    <w:p>
      <w:pPr>
        <w:pStyle w:val="TextBody"/>
        <w:spacing w:before="240" w:after="0"/>
        <w:jc w:val="left"/>
        <w:rPr>
          <w:rFonts w:ascii="Times New Roman" w:hAnsi="Times New Roman"/>
          <w:spacing w:val="0"/>
          <w:sz w:val="20"/>
        </w:rPr>
      </w:pPr>
      <w:r>
        <w:rPr>
          <w:rFonts w:ascii="Times New Roman" w:hAnsi="Times New Roman"/>
          <w:spacing w:val="0"/>
          <w:sz w:val="20"/>
        </w:rPr>
        <w:t>zero-coupon</w:t>
      </w:r>
    </w:p>
    <w:p>
      <w:pPr>
        <w:pStyle w:val="TextBody"/>
        <w:spacing w:before="240" w:after="0"/>
        <w:jc w:val="left"/>
        <w:rPr>
          <w:rFonts w:ascii="Times New Roman" w:hAnsi="Times New Roman"/>
          <w:sz w:val="20"/>
        </w:rPr>
      </w:pPr>
      <w:r>
        <w:rPr>
          <w:rFonts w:ascii="Times New Roman" w:hAnsi="Times New Roman"/>
          <w:sz w:val="20"/>
        </w:rPr>
        <w:t>issues with a remaining term equivalent to the expected term. No options were granted during fiscal 2020.</w:t>
      </w:r>
    </w:p>
    <w:p>
      <w:pPr>
        <w:pStyle w:val="TextBody"/>
        <w:spacing w:before="240" w:after="0"/>
        <w:jc w:val="left"/>
        <w:rPr/>
      </w:pPr>
      <w:r>
        <w:rPr/>
        <w:t> </w:t>
      </w:r>
    </w:p>
    <w:p>
      <w:pPr>
        <w:pStyle w:val="TextBody"/>
        <w:spacing w:before="240" w:after="0"/>
        <w:jc w:val="left"/>
        <w:rPr>
          <w:rFonts w:ascii="Times New Roman" w:hAnsi="Times New Roman"/>
          <w:sz w:val="20"/>
        </w:rPr>
      </w:pPr>
      <w:r>
        <w:rPr>
          <w:rFonts w:ascii="Times New Roman" w:hAnsi="Times New Roman"/>
          <w:sz w:val="20"/>
        </w:rPr>
        <w:t xml:space="preserve">The significant assumptions used in determining the underlying fair value of the weighted-average options granted in fiscal 2019 and 2018 were as follows: </w:t>
      </w:r>
    </w:p>
    <w:p>
      <w:pPr>
        <w:pStyle w:val="TextBody"/>
        <w:spacing w:before="0" w:after="0"/>
        <w:jc w:val="left"/>
        <w:rPr>
          <w:spacing w:val="0"/>
        </w:rPr>
      </w:pPr>
      <w:r>
        <w:rPr>
          <w:spacing w:val="0"/>
        </w:rPr>
        <w:t> </w:t>
      </w:r>
    </w:p>
    <w:tbl>
      <w:tblPr>
        <w:tblW w:w="6220" w:type="dxa"/>
        <w:jc w:val="left"/>
        <w:tblInd w:w="0" w:type="dxa"/>
        <w:tblCellMar>
          <w:top w:w="0" w:type="dxa"/>
          <w:left w:w="0" w:type="dxa"/>
          <w:bottom w:w="0" w:type="dxa"/>
          <w:right w:w="0" w:type="dxa"/>
        </w:tblCellMar>
      </w:tblPr>
      <w:tblGrid>
        <w:gridCol w:w="3185"/>
        <w:gridCol w:w="120"/>
        <w:gridCol w:w="229"/>
        <w:gridCol w:w="916"/>
        <w:gridCol w:w="275"/>
        <w:gridCol w:w="60"/>
        <w:gridCol w:w="229"/>
        <w:gridCol w:w="916"/>
        <w:gridCol w:w="290"/>
      </w:tblGrid>
      <w:tr>
        <w:trPr/>
        <w:tc>
          <w:tcPr>
            <w:tcW w:w="318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rPr>
                <w:sz w:val="4"/>
                <w:szCs w:val="4"/>
              </w:rPr>
            </w:pPr>
            <w:r>
              <w:rPr>
                <w:sz w:val="4"/>
                <w:szCs w:val="4"/>
              </w:rPr>
            </w:r>
          </w:p>
        </w:tc>
        <w:tc>
          <w:tcPr>
            <w:tcW w:w="916"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rPr>
                <w:sz w:val="4"/>
                <w:szCs w:val="4"/>
              </w:rPr>
            </w:pPr>
            <w:r>
              <w:rPr>
                <w:sz w:val="4"/>
                <w:szCs w:val="4"/>
              </w:rPr>
            </w:r>
          </w:p>
        </w:tc>
        <w:tc>
          <w:tcPr>
            <w:tcW w:w="916"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r>
      <w:tr>
        <w:trPr/>
        <w:tc>
          <w:tcPr>
            <w:tcW w:w="318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145"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Fiscal 2019</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145"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Fiscal 2018</w:t>
            </w:r>
          </w:p>
        </w:tc>
        <w:tc>
          <w:tcPr>
            <w:tcW w:w="290" w:type="dxa"/>
            <w:tcBorders/>
            <w:shd w:fill="auto" w:val="clear"/>
            <w:vAlign w:val="center"/>
          </w:tcPr>
          <w:p>
            <w:pPr>
              <w:pStyle w:val="TableContents"/>
              <w:spacing w:before="0" w:after="283"/>
              <w:rPr/>
            </w:pPr>
            <w:r>
              <w:rPr/>
              <w:t> </w:t>
            </w:r>
          </w:p>
        </w:tc>
      </w:tr>
      <w:tr>
        <w:trPr/>
        <w:tc>
          <w:tcPr>
            <w:tcW w:w="318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Volatility</w:t>
            </w:r>
          </w:p>
        </w:tc>
        <w:tc>
          <w:tcPr>
            <w:tcW w:w="120" w:type="dxa"/>
            <w:tcBorders/>
            <w:shd w:fill="CCEEFF" w:val="clear"/>
            <w:vAlign w:val="center"/>
          </w:tcPr>
          <w:p>
            <w:pPr>
              <w:pStyle w:val="TableContents"/>
              <w:spacing w:before="0" w:after="283"/>
              <w:rPr/>
            </w:pPr>
            <w:r>
              <w:rPr/>
              <w:t>  </w:t>
            </w:r>
          </w:p>
        </w:tc>
        <w:tc>
          <w:tcPr>
            <w:tcW w:w="229" w:type="dxa"/>
            <w:tcBorders/>
            <w:shd w:fill="CCEEFF" w:val="clear"/>
            <w:vAlign w:val="center"/>
          </w:tcPr>
          <w:p>
            <w:pPr>
              <w:pStyle w:val="TableContents"/>
              <w:spacing w:before="0" w:after="283"/>
              <w:rPr/>
            </w:pPr>
            <w:r>
              <w:rPr/>
              <w:t> </w:t>
            </w:r>
          </w:p>
        </w:tc>
        <w:tc>
          <w:tcPr>
            <w:tcW w:w="916" w:type="dxa"/>
            <w:tcBorders/>
            <w:shd w:fill="CCEEFF" w:val="clear"/>
            <w:vAlign w:val="center"/>
          </w:tcPr>
          <w:p>
            <w:pPr>
              <w:pStyle w:val="TableContents"/>
              <w:spacing w:before="0" w:after="283"/>
              <w:jc w:val="right"/>
              <w:rPr/>
            </w:pPr>
            <w:r>
              <w:rPr/>
              <w:t>34.2</w:t>
            </w:r>
          </w:p>
        </w:tc>
        <w:tc>
          <w:tcPr>
            <w:tcW w:w="27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29" w:type="dxa"/>
            <w:tcBorders/>
            <w:shd w:fill="CCEEFF" w:val="clear"/>
            <w:vAlign w:val="center"/>
          </w:tcPr>
          <w:p>
            <w:pPr>
              <w:pStyle w:val="TableContents"/>
              <w:spacing w:before="0" w:after="283"/>
              <w:rPr/>
            </w:pPr>
            <w:r>
              <w:rPr/>
              <w:t> </w:t>
            </w:r>
          </w:p>
        </w:tc>
        <w:tc>
          <w:tcPr>
            <w:tcW w:w="916" w:type="dxa"/>
            <w:tcBorders/>
            <w:shd w:fill="CCEEFF" w:val="clear"/>
            <w:vAlign w:val="center"/>
          </w:tcPr>
          <w:p>
            <w:pPr>
              <w:pStyle w:val="TableContents"/>
              <w:spacing w:before="0" w:after="283"/>
              <w:jc w:val="right"/>
              <w:rPr/>
            </w:pPr>
            <w:r>
              <w:rPr/>
              <w:t>32.7</w:t>
            </w:r>
          </w:p>
        </w:tc>
        <w:tc>
          <w:tcPr>
            <w:tcW w:w="290" w:type="dxa"/>
            <w:tcBorders/>
            <w:shd w:fill="CCEEFF" w:val="clear"/>
            <w:vAlign w:val="center"/>
          </w:tcPr>
          <w:p>
            <w:pPr>
              <w:pStyle w:val="TableContents"/>
              <w:spacing w:before="0" w:after="283"/>
              <w:rPr/>
            </w:pPr>
            <w:r>
              <w:rPr/>
              <w:t>% </w:t>
            </w:r>
          </w:p>
        </w:tc>
      </w:tr>
      <w:tr>
        <w:trPr/>
        <w:tc>
          <w:tcPr>
            <w:tcW w:w="318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Risk free interest rate</w:t>
            </w:r>
          </w:p>
        </w:tc>
        <w:tc>
          <w:tcPr>
            <w:tcW w:w="120" w:type="dxa"/>
            <w:tcBorders/>
            <w:shd w:fill="auto" w:val="clear"/>
            <w:vAlign w:val="center"/>
          </w:tcPr>
          <w:p>
            <w:pPr>
              <w:pStyle w:val="TableContents"/>
              <w:spacing w:before="0" w:after="283"/>
              <w:rPr/>
            </w:pPr>
            <w:r>
              <w:rPr/>
              <w:t>  </w:t>
            </w:r>
          </w:p>
        </w:tc>
        <w:tc>
          <w:tcPr>
            <w:tcW w:w="229" w:type="dxa"/>
            <w:tcBorders/>
            <w:shd w:fill="auto" w:val="clear"/>
            <w:vAlign w:val="center"/>
          </w:tcPr>
          <w:p>
            <w:pPr>
              <w:pStyle w:val="TableContents"/>
              <w:spacing w:before="0" w:after="283"/>
              <w:rPr/>
            </w:pPr>
            <w:r>
              <w:rPr/>
              <w:t> </w:t>
            </w:r>
          </w:p>
        </w:tc>
        <w:tc>
          <w:tcPr>
            <w:tcW w:w="916" w:type="dxa"/>
            <w:tcBorders/>
            <w:shd w:fill="auto" w:val="clear"/>
            <w:vAlign w:val="center"/>
          </w:tcPr>
          <w:p>
            <w:pPr>
              <w:pStyle w:val="TableContents"/>
              <w:spacing w:before="0" w:after="283"/>
              <w:jc w:val="right"/>
              <w:rPr/>
            </w:pPr>
            <w:r>
              <w:rPr/>
              <w:t>2.34</w:t>
            </w:r>
          </w:p>
        </w:tc>
        <w:tc>
          <w:tcPr>
            <w:tcW w:w="275" w:type="dxa"/>
            <w:tcBorders/>
            <w:shd w:fill="auto" w:val="clear"/>
            <w:vAlign w:val="center"/>
          </w:tcPr>
          <w:p>
            <w:pPr>
              <w:pStyle w:val="TableContents"/>
              <w:spacing w:before="0" w:after="283"/>
              <w:rPr/>
            </w:pPr>
            <w:r>
              <w:rPr/>
              <w:t>%</w:t>
            </w:r>
          </w:p>
        </w:tc>
        <w:tc>
          <w:tcPr>
            <w:tcW w:w="60" w:type="dxa"/>
            <w:tcBorders/>
            <w:shd w:fill="auto" w:val="clear"/>
            <w:vAlign w:val="center"/>
          </w:tcPr>
          <w:p>
            <w:pPr>
              <w:pStyle w:val="TableContents"/>
              <w:spacing w:before="0" w:after="283"/>
              <w:rPr/>
            </w:pPr>
            <w:r>
              <w:rPr/>
              <w:t> </w:t>
            </w:r>
          </w:p>
        </w:tc>
        <w:tc>
          <w:tcPr>
            <w:tcW w:w="229" w:type="dxa"/>
            <w:tcBorders/>
            <w:shd w:fill="auto" w:val="clear"/>
            <w:vAlign w:val="center"/>
          </w:tcPr>
          <w:p>
            <w:pPr>
              <w:pStyle w:val="TableContents"/>
              <w:spacing w:before="0" w:after="283"/>
              <w:rPr/>
            </w:pPr>
            <w:r>
              <w:rPr/>
              <w:t> </w:t>
            </w:r>
          </w:p>
        </w:tc>
        <w:tc>
          <w:tcPr>
            <w:tcW w:w="916" w:type="dxa"/>
            <w:tcBorders/>
            <w:shd w:fill="auto" w:val="clear"/>
            <w:vAlign w:val="center"/>
          </w:tcPr>
          <w:p>
            <w:pPr>
              <w:pStyle w:val="TableContents"/>
              <w:spacing w:before="0" w:after="283"/>
              <w:jc w:val="right"/>
              <w:rPr/>
            </w:pPr>
            <w:r>
              <w:rPr/>
              <w:t>2.73</w:t>
            </w:r>
          </w:p>
        </w:tc>
        <w:tc>
          <w:tcPr>
            <w:tcW w:w="290" w:type="dxa"/>
            <w:tcBorders/>
            <w:shd w:fill="auto" w:val="clear"/>
            <w:vAlign w:val="center"/>
          </w:tcPr>
          <w:p>
            <w:pPr>
              <w:pStyle w:val="TableContents"/>
              <w:spacing w:before="0" w:after="283"/>
              <w:rPr/>
            </w:pPr>
            <w:r>
              <w:rPr/>
              <w:t>%</w:t>
            </w:r>
          </w:p>
        </w:tc>
      </w:tr>
      <w:tr>
        <w:trPr/>
        <w:tc>
          <w:tcPr>
            <w:tcW w:w="318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Expected dividend yield</w:t>
            </w:r>
          </w:p>
        </w:tc>
        <w:tc>
          <w:tcPr>
            <w:tcW w:w="120" w:type="dxa"/>
            <w:tcBorders/>
            <w:shd w:fill="CCEEFF" w:val="clear"/>
            <w:vAlign w:val="center"/>
          </w:tcPr>
          <w:p>
            <w:pPr>
              <w:pStyle w:val="TableContents"/>
              <w:spacing w:before="0" w:after="283"/>
              <w:rPr/>
            </w:pPr>
            <w:r>
              <w:rPr/>
              <w:t>  </w:t>
            </w:r>
          </w:p>
        </w:tc>
        <w:tc>
          <w:tcPr>
            <w:tcW w:w="229" w:type="dxa"/>
            <w:tcBorders/>
            <w:shd w:fill="CCEEFF" w:val="clear"/>
            <w:vAlign w:val="center"/>
          </w:tcPr>
          <w:p>
            <w:pPr>
              <w:pStyle w:val="TableContents"/>
              <w:spacing w:before="0" w:after="283"/>
              <w:rPr/>
            </w:pPr>
            <w:r>
              <w:rPr/>
              <w:t> </w:t>
            </w:r>
          </w:p>
        </w:tc>
        <w:tc>
          <w:tcPr>
            <w:tcW w:w="916" w:type="dxa"/>
            <w:tcBorders/>
            <w:shd w:fill="CCEEFF" w:val="clear"/>
            <w:vAlign w:val="center"/>
          </w:tcPr>
          <w:p>
            <w:pPr>
              <w:pStyle w:val="TableContents"/>
              <w:spacing w:before="0" w:after="283"/>
              <w:jc w:val="right"/>
              <w:rPr/>
            </w:pPr>
            <w:r>
              <w:rPr/>
              <w:t>1.15</w:t>
            </w:r>
          </w:p>
        </w:tc>
        <w:tc>
          <w:tcPr>
            <w:tcW w:w="275" w:type="dxa"/>
            <w:tcBorders/>
            <w:shd w:fill="CCEEFF" w:val="clear"/>
            <w:vAlign w:val="center"/>
          </w:tcPr>
          <w:p>
            <w:pPr>
              <w:pStyle w:val="TableContents"/>
              <w:spacing w:before="0" w:after="283"/>
              <w:rPr/>
            </w:pPr>
            <w:r>
              <w:rPr/>
              <w:t>%</w:t>
            </w:r>
          </w:p>
        </w:tc>
        <w:tc>
          <w:tcPr>
            <w:tcW w:w="60" w:type="dxa"/>
            <w:tcBorders/>
            <w:shd w:fill="CCEEFF" w:val="clear"/>
            <w:vAlign w:val="center"/>
          </w:tcPr>
          <w:p>
            <w:pPr>
              <w:pStyle w:val="TableContents"/>
              <w:spacing w:before="0" w:after="283"/>
              <w:rPr/>
            </w:pPr>
            <w:r>
              <w:rPr/>
              <w:t> </w:t>
            </w:r>
          </w:p>
        </w:tc>
        <w:tc>
          <w:tcPr>
            <w:tcW w:w="229" w:type="dxa"/>
            <w:tcBorders/>
            <w:shd w:fill="CCEEFF" w:val="clear"/>
            <w:vAlign w:val="center"/>
          </w:tcPr>
          <w:p>
            <w:pPr>
              <w:pStyle w:val="TableContents"/>
              <w:spacing w:before="0" w:after="283"/>
              <w:rPr/>
            </w:pPr>
            <w:r>
              <w:rPr/>
              <w:t> </w:t>
            </w:r>
          </w:p>
        </w:tc>
        <w:tc>
          <w:tcPr>
            <w:tcW w:w="916" w:type="dxa"/>
            <w:tcBorders/>
            <w:shd w:fill="CCEEFF" w:val="clear"/>
            <w:vAlign w:val="center"/>
          </w:tcPr>
          <w:p>
            <w:pPr>
              <w:pStyle w:val="TableContents"/>
              <w:spacing w:before="0" w:after="283"/>
              <w:jc w:val="right"/>
              <w:rPr/>
            </w:pPr>
            <w:r>
              <w:rPr/>
              <w:t>0.00</w:t>
            </w:r>
          </w:p>
        </w:tc>
        <w:tc>
          <w:tcPr>
            <w:tcW w:w="290" w:type="dxa"/>
            <w:tcBorders/>
            <w:shd w:fill="CCEEFF" w:val="clear"/>
            <w:vAlign w:val="center"/>
          </w:tcPr>
          <w:p>
            <w:pPr>
              <w:pStyle w:val="TableContents"/>
              <w:spacing w:before="0" w:after="283"/>
              <w:rPr/>
            </w:pPr>
            <w:r>
              <w:rPr/>
              <w:t>%</w:t>
            </w:r>
          </w:p>
        </w:tc>
      </w:tr>
      <w:tr>
        <w:trPr/>
        <w:tc>
          <w:tcPr>
            <w:tcW w:w="318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Expected term – in years</w:t>
            </w:r>
          </w:p>
        </w:tc>
        <w:tc>
          <w:tcPr>
            <w:tcW w:w="120" w:type="dxa"/>
            <w:tcBorders/>
            <w:shd w:fill="auto" w:val="clear"/>
            <w:vAlign w:val="center"/>
          </w:tcPr>
          <w:p>
            <w:pPr>
              <w:pStyle w:val="TableContents"/>
              <w:spacing w:before="0" w:after="283"/>
              <w:rPr/>
            </w:pPr>
            <w:r>
              <w:rPr/>
              <w:t>  </w:t>
            </w:r>
          </w:p>
        </w:tc>
        <w:tc>
          <w:tcPr>
            <w:tcW w:w="229" w:type="dxa"/>
            <w:tcBorders/>
            <w:shd w:fill="auto" w:val="clear"/>
            <w:vAlign w:val="center"/>
          </w:tcPr>
          <w:p>
            <w:pPr>
              <w:pStyle w:val="TableContents"/>
              <w:spacing w:before="0" w:after="283"/>
              <w:rPr/>
            </w:pPr>
            <w:r>
              <w:rPr/>
              <w:t> </w:t>
            </w:r>
          </w:p>
        </w:tc>
        <w:tc>
          <w:tcPr>
            <w:tcW w:w="916" w:type="dxa"/>
            <w:tcBorders/>
            <w:shd w:fill="auto" w:val="clear"/>
            <w:vAlign w:val="center"/>
          </w:tcPr>
          <w:p>
            <w:pPr>
              <w:pStyle w:val="TableContents"/>
              <w:spacing w:before="0" w:after="283"/>
              <w:jc w:val="right"/>
              <w:rPr/>
            </w:pPr>
            <w:r>
              <w:rPr/>
              <w:t>6.0</w:t>
            </w:r>
          </w:p>
        </w:tc>
        <w:tc>
          <w:tcPr>
            <w:tcW w:w="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29" w:type="dxa"/>
            <w:tcBorders/>
            <w:shd w:fill="auto" w:val="clear"/>
            <w:vAlign w:val="center"/>
          </w:tcPr>
          <w:p>
            <w:pPr>
              <w:pStyle w:val="TableContents"/>
              <w:spacing w:before="0" w:after="283"/>
              <w:rPr/>
            </w:pPr>
            <w:r>
              <w:rPr/>
              <w:t> </w:t>
            </w:r>
          </w:p>
        </w:tc>
        <w:tc>
          <w:tcPr>
            <w:tcW w:w="916" w:type="dxa"/>
            <w:tcBorders/>
            <w:shd w:fill="auto" w:val="clear"/>
            <w:vAlign w:val="center"/>
          </w:tcPr>
          <w:p>
            <w:pPr>
              <w:pStyle w:val="TableContents"/>
              <w:spacing w:before="0" w:after="283"/>
              <w:jc w:val="right"/>
              <w:rPr/>
            </w:pPr>
            <w:r>
              <w:rPr/>
              <w:t>6.0</w:t>
            </w:r>
          </w:p>
        </w:tc>
        <w:tc>
          <w:tcPr>
            <w:tcW w:w="290" w:type="dxa"/>
            <w:tcBorders/>
            <w:shd w:fill="auto" w:val="clear"/>
            <w:vAlign w:val="center"/>
          </w:tcPr>
          <w:p>
            <w:pPr>
              <w:pStyle w:val="TableContents"/>
              <w:spacing w:before="0" w:after="283"/>
              <w:rPr/>
            </w:pPr>
            <w:r>
              <w:rPr/>
              <w:t> </w:t>
            </w:r>
          </w:p>
        </w:tc>
      </w:tr>
      <w:tr>
        <w:trPr/>
        <w:tc>
          <w:tcPr>
            <w:tcW w:w="318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Weighted average grant-date fair value</w:t>
            </w:r>
          </w:p>
        </w:tc>
        <w:tc>
          <w:tcPr>
            <w:tcW w:w="120" w:type="dxa"/>
            <w:tcBorders/>
            <w:shd w:fill="CCEEFF" w:val="clear"/>
            <w:vAlign w:val="center"/>
          </w:tcPr>
          <w:p>
            <w:pPr>
              <w:pStyle w:val="TableContents"/>
              <w:spacing w:before="0" w:after="283"/>
              <w:rPr/>
            </w:pPr>
            <w:r>
              <w:rPr/>
              <w:t>  </w:t>
            </w:r>
          </w:p>
        </w:tc>
        <w:tc>
          <w:tcPr>
            <w:tcW w:w="229" w:type="dxa"/>
            <w:tcBorders/>
            <w:shd w:fill="CCEEFF" w:val="clear"/>
            <w:vAlign w:val="center"/>
          </w:tcPr>
          <w:p>
            <w:pPr>
              <w:pStyle w:val="TableContents"/>
              <w:spacing w:before="0" w:after="283"/>
              <w:rPr/>
            </w:pPr>
            <w:r>
              <w:rPr/>
              <w:t>$</w:t>
            </w:r>
          </w:p>
        </w:tc>
        <w:tc>
          <w:tcPr>
            <w:tcW w:w="916" w:type="dxa"/>
            <w:tcBorders/>
            <w:shd w:fill="CCEEFF" w:val="clear"/>
            <w:vAlign w:val="center"/>
          </w:tcPr>
          <w:p>
            <w:pPr>
              <w:pStyle w:val="TableContents"/>
              <w:spacing w:before="0" w:after="283"/>
              <w:jc w:val="right"/>
              <w:rPr/>
            </w:pPr>
            <w:r>
              <w:rPr/>
              <w:t>16.93</w:t>
            </w:r>
          </w:p>
        </w:tc>
        <w:tc>
          <w:tcPr>
            <w:tcW w:w="27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29" w:type="dxa"/>
            <w:tcBorders/>
            <w:shd w:fill="CCEEFF" w:val="clear"/>
            <w:vAlign w:val="center"/>
          </w:tcPr>
          <w:p>
            <w:pPr>
              <w:pStyle w:val="TableContents"/>
              <w:spacing w:before="0" w:after="283"/>
              <w:rPr/>
            </w:pPr>
            <w:r>
              <w:rPr/>
              <w:t>$</w:t>
            </w:r>
          </w:p>
        </w:tc>
        <w:tc>
          <w:tcPr>
            <w:tcW w:w="916" w:type="dxa"/>
            <w:tcBorders/>
            <w:shd w:fill="CCEEFF" w:val="clear"/>
            <w:vAlign w:val="center"/>
          </w:tcPr>
          <w:p>
            <w:pPr>
              <w:pStyle w:val="TableContents"/>
              <w:spacing w:before="0" w:after="283"/>
              <w:jc w:val="right"/>
              <w:rPr/>
            </w:pPr>
            <w:r>
              <w:rPr/>
              <w:t>15.36</w:t>
            </w:r>
          </w:p>
        </w:tc>
        <w:tc>
          <w:tcPr>
            <w:tcW w:w="290" w:type="dxa"/>
            <w:tcBorders/>
            <w:shd w:fill="CCEEFF" w:val="clear"/>
            <w:vAlign w:val="center"/>
          </w:tcPr>
          <w:p>
            <w:pPr>
              <w:pStyle w:val="TableContents"/>
              <w:spacing w:before="0" w:after="283"/>
              <w:rPr/>
            </w:pPr>
            <w:r>
              <w:rPr/>
              <w:t> </w:t>
            </w:r>
          </w:p>
        </w:tc>
      </w:tr>
    </w:tbl>
    <w:p>
      <w:pPr>
        <w:pStyle w:val="TextBody"/>
        <w:spacing w:before="240" w:after="0"/>
        <w:jc w:val="left"/>
        <w:rPr>
          <w:rFonts w:ascii="Times New Roman" w:hAnsi="Times New Roman"/>
          <w:sz w:val="20"/>
        </w:rPr>
      </w:pPr>
      <w:r>
        <w:rPr>
          <w:rFonts w:ascii="Times New Roman" w:hAnsi="Times New Roman"/>
          <w:sz w:val="20"/>
        </w:rPr>
        <w:t xml:space="preserve">Based on the terms and conditions of our MSU awards, the grant date fair value of the MSU’s was determined using a Monte-Carlo simulation model, which simulated the Company’s stock price over the performance period using a volatility assumption of 126.2%, and a risk-free interest rate of 0.16% to discount the value of the award. The dividend yield was zero as the Company has suspended dividends as a result of the </w:t>
      </w:r>
    </w:p>
    <w:p>
      <w:pPr>
        <w:pStyle w:val="TextBody"/>
        <w:spacing w:before="240" w:after="0"/>
        <w:jc w:val="left"/>
        <w:rPr>
          <w:rFonts w:ascii="Times New Roman" w:hAnsi="Times New Roman"/>
          <w:spacing w:val="0"/>
          <w:sz w:val="20"/>
        </w:rPr>
      </w:pPr>
      <w:r>
        <w:rPr>
          <w:rFonts w:ascii="Times New Roman" w:hAnsi="Times New Roman"/>
          <w:spacing w:val="0"/>
          <w:sz w:val="20"/>
        </w:rPr>
        <w:t>COVID-19</w:t>
      </w:r>
    </w:p>
    <w:p>
      <w:pPr>
        <w:pStyle w:val="TextBody"/>
        <w:spacing w:before="240" w:after="0"/>
        <w:jc w:val="left"/>
        <w:rPr>
          <w:rFonts w:ascii="Times New Roman" w:hAnsi="Times New Roman"/>
          <w:sz w:val="20"/>
        </w:rPr>
      </w:pPr>
      <w:r>
        <w:rPr>
          <w:rFonts w:ascii="Times New Roman" w:hAnsi="Times New Roman"/>
          <w:sz w:val="20"/>
        </w:rPr>
        <w:t xml:space="preserve">pandemic.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Compensation expense related to stock options with only service conditions (time-based) is recognized on a straight-line basis over the requisite service period for each separately vesting portion of the award or to the date on which retirement eligibility is achieved, if shorter. Compensation expense related to stock option plans was $1,318, $3,010, and $3,185 during the fiscal years ended January 31, 2021, February 2, 2020, and February 3, 2019, respectively.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Compensation expense for time-based restricted stock units is based on the market price of the shares underlying the awards on the grant date. Compensation expense for performance-based restricted stock units reflects the estimated probability that performance conditions at target or above will be met. Restricted stock units are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F-24 </w:t>
      </w:r>
    </w:p>
    <w:p>
      <w:pPr>
        <w:pStyle w:val="HorizontalLine"/>
        <w:rPr/>
      </w:pPr>
      <w:r>
        <w:rPr/>
      </w:r>
    </w:p>
    <w:p>
      <w:pPr>
        <w:pStyle w:val="TextBody"/>
        <w:spacing w:before="0" w:after="0"/>
        <w:rPr/>
      </w:pPr>
      <w:hyperlink w:anchor="toc">
        <w:r>
          <w:rPr>
            <w:rStyle w:val="InternetLink"/>
            <w:b/>
            <w:sz w:val="20"/>
          </w:rPr>
          <w:t>Table of Contents</w:t>
        </w:r>
      </w:hyperlink>
    </w:p>
    <w:p>
      <w:pPr>
        <w:pStyle w:val="TextBody"/>
        <w:spacing w:before="0" w:after="0"/>
        <w:jc w:val="left"/>
        <w:rPr>
          <w:rFonts w:ascii="Times New Roman" w:hAnsi="Times New Roman"/>
          <w:spacing w:val="0"/>
          <w:sz w:val="20"/>
        </w:rPr>
      </w:pPr>
      <w:r>
        <w:rPr>
          <w:rFonts w:ascii="Times New Roman" w:hAnsi="Times New Roman"/>
          <w:spacing w:val="0"/>
          <w:sz w:val="20"/>
        </w:rPr>
        <w:t>expensed ratably over the service period. The effect of market conditions is considered in determining the grant date fair value of MSU awards, which is not subsequently revised based on actual performance. We recorded compensation expense related to our restricted stock unit awards of $</w:t>
      </w:r>
    </w:p>
    <w:p>
      <w:pPr>
        <w:pStyle w:val="TextBody"/>
        <w:spacing w:before="0" w:after="0"/>
        <w:jc w:val="left"/>
        <w:rPr>
          <w:rFonts w:ascii="Times New Roman" w:hAnsi="Times New Roman"/>
          <w:sz w:val="20"/>
        </w:rPr>
      </w:pPr>
      <w:r>
        <w:rPr>
          <w:rFonts w:ascii="Times New Roman" w:hAnsi="Times New Roman"/>
          <w:sz w:val="20"/>
        </w:rPr>
        <w:t xml:space="preserve">5,667, $3,847, and $4,237 during the fiscal years ended January 31, 2021, February 2, 2020, and February 3, 2019, respectively.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Compensation expense related to stock options and restricted stock units is included in “General and administrative expenses” in the Consolidated Statements of Comprehensive Income (Loss). Forfeitures are estimated at the time of grant and adjusted, if necessary, in subsequent periods if actual forfeitures differ from those estimates. The forfeiture rate is based on historical experience.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Transactions related to stock option awards during fiscal 2020 were as follows: </w:t>
      </w:r>
    </w:p>
    <w:p>
      <w:pPr>
        <w:pStyle w:val="TextBody"/>
        <w:spacing w:before="0" w:after="0"/>
        <w:jc w:val="left"/>
        <w:rPr>
          <w:spacing w:val="0"/>
        </w:rPr>
      </w:pPr>
      <w:r>
        <w:rPr>
          <w:spacing w:val="0"/>
        </w:rPr>
        <w:t> </w:t>
      </w:r>
    </w:p>
    <w:tbl>
      <w:tblPr>
        <w:tblW w:w="8513" w:type="dxa"/>
        <w:jc w:val="left"/>
        <w:tblInd w:w="0" w:type="dxa"/>
        <w:tblCellMar>
          <w:top w:w="0" w:type="dxa"/>
          <w:left w:w="0" w:type="dxa"/>
          <w:bottom w:w="0" w:type="dxa"/>
          <w:right w:w="0" w:type="dxa"/>
        </w:tblCellMar>
      </w:tblPr>
      <w:tblGrid>
        <w:gridCol w:w="2675"/>
        <w:gridCol w:w="120"/>
        <w:gridCol w:w="78"/>
        <w:gridCol w:w="1286"/>
        <w:gridCol w:w="203"/>
        <w:gridCol w:w="157"/>
        <w:gridCol w:w="197"/>
        <w:gridCol w:w="798"/>
        <w:gridCol w:w="60"/>
        <w:gridCol w:w="120"/>
        <w:gridCol w:w="92"/>
        <w:gridCol w:w="1233"/>
        <w:gridCol w:w="239"/>
        <w:gridCol w:w="185"/>
        <w:gridCol w:w="238"/>
        <w:gridCol w:w="757"/>
        <w:gridCol w:w="75"/>
      </w:tblGrid>
      <w:tr>
        <w:trPr/>
        <w:tc>
          <w:tcPr>
            <w:tcW w:w="267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78" w:type="dxa"/>
            <w:tcBorders/>
            <w:shd w:fill="auto" w:val="clear"/>
            <w:vAlign w:val="center"/>
          </w:tcPr>
          <w:p>
            <w:pPr>
              <w:pStyle w:val="TableContents"/>
              <w:spacing w:before="0" w:after="283"/>
              <w:rPr>
                <w:sz w:val="4"/>
                <w:szCs w:val="4"/>
              </w:rPr>
            </w:pPr>
            <w:r>
              <w:rPr>
                <w:sz w:val="4"/>
                <w:szCs w:val="4"/>
              </w:rPr>
            </w:r>
          </w:p>
        </w:tc>
        <w:tc>
          <w:tcPr>
            <w:tcW w:w="1286"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79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92" w:type="dxa"/>
            <w:tcBorders/>
            <w:shd w:fill="auto" w:val="clear"/>
            <w:vAlign w:val="center"/>
          </w:tcPr>
          <w:p>
            <w:pPr>
              <w:pStyle w:val="TableContents"/>
              <w:spacing w:before="0" w:after="283"/>
              <w:rPr>
                <w:sz w:val="4"/>
                <w:szCs w:val="4"/>
              </w:rPr>
            </w:pPr>
            <w:r>
              <w:rPr>
                <w:sz w:val="4"/>
                <w:szCs w:val="4"/>
              </w:rPr>
            </w:r>
          </w:p>
        </w:tc>
        <w:tc>
          <w:tcPr>
            <w:tcW w:w="1233" w:type="dxa"/>
            <w:tcBorders/>
            <w:shd w:fill="auto" w:val="clear"/>
            <w:vAlign w:val="center"/>
          </w:tcPr>
          <w:p>
            <w:pPr>
              <w:pStyle w:val="TableContents"/>
              <w:spacing w:before="0" w:after="283"/>
              <w:rPr>
                <w:sz w:val="4"/>
                <w:szCs w:val="4"/>
              </w:rPr>
            </w:pPr>
            <w:r>
              <w:rPr>
                <w:sz w:val="4"/>
                <w:szCs w:val="4"/>
              </w:rPr>
            </w:r>
          </w:p>
        </w:tc>
        <w:tc>
          <w:tcPr>
            <w:tcW w:w="239"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sz w:val="4"/>
                <w:szCs w:val="4"/>
              </w:rPr>
            </w:pPr>
            <w:r>
              <w:rPr>
                <w:sz w:val="4"/>
                <w:szCs w:val="4"/>
              </w:rPr>
            </w:r>
          </w:p>
        </w:tc>
        <w:tc>
          <w:tcPr>
            <w:tcW w:w="238" w:type="dxa"/>
            <w:tcBorders/>
            <w:shd w:fill="auto" w:val="clear"/>
            <w:vAlign w:val="center"/>
          </w:tcPr>
          <w:p>
            <w:pPr>
              <w:pStyle w:val="TableContents"/>
              <w:spacing w:before="0" w:after="283"/>
              <w:rPr>
                <w:sz w:val="4"/>
                <w:szCs w:val="4"/>
              </w:rPr>
            </w:pPr>
            <w:r>
              <w:rPr>
                <w:sz w:val="4"/>
                <w:szCs w:val="4"/>
              </w:rPr>
            </w:r>
          </w:p>
        </w:tc>
        <w:tc>
          <w:tcPr>
            <w:tcW w:w="757"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267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719" w:type="dxa"/>
            <w:gridSpan w:val="6"/>
            <w:tcBorders/>
            <w:shd w:fill="auto" w:val="clear"/>
            <w:vAlign w:val="center"/>
          </w:tcPr>
          <w:p>
            <w:pPr>
              <w:pStyle w:val="TableContents"/>
              <w:spacing w:before="0" w:after="0"/>
              <w:jc w:val="center"/>
              <w:rPr>
                <w:b/>
                <w:spacing w:val="0"/>
              </w:rPr>
            </w:pPr>
            <w:r>
              <w:rPr>
                <w:b/>
                <w:spacing w:val="0"/>
              </w:rPr>
              <w:t>2014 Stock Incentive Plan</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744" w:type="dxa"/>
            <w:gridSpan w:val="6"/>
            <w:tcBorders/>
            <w:shd w:fill="auto" w:val="clear"/>
            <w:vAlign w:val="center"/>
          </w:tcPr>
          <w:p>
            <w:pPr>
              <w:pStyle w:val="TableContents"/>
              <w:spacing w:before="0" w:after="0"/>
              <w:jc w:val="center"/>
              <w:rPr>
                <w:b/>
                <w:spacing w:val="0"/>
              </w:rPr>
            </w:pPr>
            <w:r>
              <w:rPr>
                <w:b/>
                <w:spacing w:val="0"/>
              </w:rPr>
              <w:t>2010 Stock Incentive Plan</w:t>
            </w:r>
          </w:p>
        </w:tc>
        <w:tc>
          <w:tcPr>
            <w:tcW w:w="75" w:type="dxa"/>
            <w:tcBorders/>
            <w:shd w:fill="auto" w:val="clear"/>
            <w:vAlign w:val="center"/>
          </w:tcPr>
          <w:p>
            <w:pPr>
              <w:pStyle w:val="TableContents"/>
              <w:spacing w:before="0" w:after="283"/>
              <w:rPr/>
            </w:pPr>
            <w:r>
              <w:rPr/>
              <w:t> </w:t>
            </w:r>
          </w:p>
        </w:tc>
      </w:tr>
      <w:tr>
        <w:trPr/>
        <w:tc>
          <w:tcPr>
            <w:tcW w:w="267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364" w:type="dxa"/>
            <w:gridSpan w:val="2"/>
            <w:tcBorders/>
            <w:shd w:fill="auto" w:val="clear"/>
            <w:vAlign w:val="center"/>
          </w:tcPr>
          <w:p>
            <w:pPr>
              <w:pStyle w:val="TableContents"/>
              <w:spacing w:before="0" w:after="0"/>
              <w:jc w:val="center"/>
              <w:rPr>
                <w:b/>
                <w:spacing w:val="0"/>
              </w:rPr>
            </w:pPr>
            <w:r>
              <w:rPr>
                <w:b/>
                <w:spacing w:val="0"/>
              </w:rPr>
              <w:t>Number</w:t>
              <w:br/>
              <w:t>of Options</w:t>
            </w:r>
          </w:p>
        </w:tc>
        <w:tc>
          <w:tcPr>
            <w:tcW w:w="203" w:type="dxa"/>
            <w:tcBorders/>
            <w:shd w:fill="auto" w:val="clear"/>
            <w:vAlign w:val="center"/>
          </w:tcPr>
          <w:p>
            <w:pPr>
              <w:pStyle w:val="TableContents"/>
              <w:spacing w:before="0" w:after="283"/>
              <w:rPr/>
            </w:pPr>
            <w:r>
              <w:rPr/>
              <w:t> </w:t>
            </w:r>
          </w:p>
        </w:tc>
        <w:tc>
          <w:tcPr>
            <w:tcW w:w="157" w:type="dxa"/>
            <w:tcBorders/>
            <w:shd w:fill="auto" w:val="clear"/>
            <w:vAlign w:val="center"/>
          </w:tcPr>
          <w:p>
            <w:pPr>
              <w:pStyle w:val="TableContents"/>
              <w:spacing w:before="0" w:after="283"/>
              <w:rPr/>
            </w:pPr>
            <w:r>
              <w:rPr/>
              <w:t>  </w:t>
            </w:r>
          </w:p>
        </w:tc>
        <w:tc>
          <w:tcPr>
            <w:tcW w:w="995" w:type="dxa"/>
            <w:gridSpan w:val="2"/>
            <w:tcBorders/>
            <w:shd w:fill="auto" w:val="clear"/>
            <w:vAlign w:val="center"/>
          </w:tcPr>
          <w:p>
            <w:pPr>
              <w:pStyle w:val="TableContents"/>
              <w:spacing w:before="0" w:after="0"/>
              <w:jc w:val="center"/>
              <w:rPr>
                <w:b/>
                <w:spacing w:val="0"/>
              </w:rPr>
            </w:pPr>
            <w:r>
              <w:rPr>
                <w:b/>
                <w:spacing w:val="0"/>
              </w:rPr>
              <w:t>Weighted</w:t>
            </w:r>
          </w:p>
          <w:p>
            <w:pPr>
              <w:pStyle w:val="TableContents"/>
              <w:spacing w:before="0" w:after="0"/>
              <w:jc w:val="center"/>
              <w:rPr/>
            </w:pPr>
            <w:r>
              <w:rPr/>
            </w:r>
          </w:p>
          <w:p>
            <w:pPr>
              <w:pStyle w:val="TableContents"/>
              <w:spacing w:before="0" w:after="0"/>
              <w:jc w:val="center"/>
              <w:rPr>
                <w:b/>
                <w:spacing w:val="0"/>
              </w:rPr>
            </w:pPr>
            <w:r>
              <w:rPr>
                <w:b/>
                <w:spacing w:val="0"/>
              </w:rPr>
              <w:t>Average</w:t>
              <w:br/>
              <w:t>Exercise</w:t>
              <w:br/>
              <w:t>Price</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325" w:type="dxa"/>
            <w:gridSpan w:val="2"/>
            <w:tcBorders/>
            <w:shd w:fill="auto" w:val="clear"/>
            <w:vAlign w:val="center"/>
          </w:tcPr>
          <w:p>
            <w:pPr>
              <w:pStyle w:val="TableContents"/>
              <w:spacing w:before="0" w:after="0"/>
              <w:jc w:val="center"/>
              <w:rPr>
                <w:b/>
                <w:spacing w:val="0"/>
              </w:rPr>
            </w:pPr>
            <w:r>
              <w:rPr>
                <w:b/>
                <w:spacing w:val="0"/>
              </w:rPr>
              <w:t>Number</w:t>
              <w:br/>
              <w:t>of Options</w:t>
            </w:r>
          </w:p>
        </w:tc>
        <w:tc>
          <w:tcPr>
            <w:tcW w:w="239" w:type="dxa"/>
            <w:tcBorders/>
            <w:shd w:fill="auto" w:val="clear"/>
            <w:vAlign w:val="center"/>
          </w:tcPr>
          <w:p>
            <w:pPr>
              <w:pStyle w:val="TableContents"/>
              <w:spacing w:before="0" w:after="283"/>
              <w:rPr/>
            </w:pPr>
            <w:r>
              <w:rPr/>
              <w:t> </w:t>
            </w:r>
          </w:p>
        </w:tc>
        <w:tc>
          <w:tcPr>
            <w:tcW w:w="185" w:type="dxa"/>
            <w:tcBorders/>
            <w:shd w:fill="auto" w:val="clear"/>
            <w:vAlign w:val="center"/>
          </w:tcPr>
          <w:p>
            <w:pPr>
              <w:pStyle w:val="TableContents"/>
              <w:spacing w:before="0" w:after="283"/>
              <w:rPr/>
            </w:pPr>
            <w:r>
              <w:rPr/>
              <w:t>  </w:t>
            </w:r>
          </w:p>
        </w:tc>
        <w:tc>
          <w:tcPr>
            <w:tcW w:w="995" w:type="dxa"/>
            <w:gridSpan w:val="2"/>
            <w:tcBorders/>
            <w:shd w:fill="auto" w:val="clear"/>
            <w:vAlign w:val="center"/>
          </w:tcPr>
          <w:p>
            <w:pPr>
              <w:pStyle w:val="TableContents"/>
              <w:spacing w:before="0" w:after="0"/>
              <w:jc w:val="center"/>
              <w:rPr>
                <w:b/>
                <w:spacing w:val="0"/>
              </w:rPr>
            </w:pPr>
            <w:r>
              <w:rPr>
                <w:b/>
                <w:spacing w:val="0"/>
              </w:rPr>
              <w:t>Weighted</w:t>
              <w:br/>
              <w:t>Average</w:t>
              <w:br/>
              <w:t>Exercise</w:t>
              <w:br/>
              <w:t>Price</w:t>
            </w:r>
          </w:p>
        </w:tc>
        <w:tc>
          <w:tcPr>
            <w:tcW w:w="75" w:type="dxa"/>
            <w:tcBorders/>
            <w:shd w:fill="auto" w:val="clear"/>
            <w:vAlign w:val="center"/>
          </w:tcPr>
          <w:p>
            <w:pPr>
              <w:pStyle w:val="TableContents"/>
              <w:spacing w:before="0" w:after="283"/>
              <w:rPr/>
            </w:pPr>
            <w:r>
              <w:rPr/>
              <w:t> </w:t>
            </w:r>
          </w:p>
        </w:tc>
      </w:tr>
      <w:tr>
        <w:trPr/>
        <w:tc>
          <w:tcPr>
            <w:tcW w:w="267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Outstanding at February 2, 2020</w:t>
            </w:r>
          </w:p>
        </w:tc>
        <w:tc>
          <w:tcPr>
            <w:tcW w:w="120" w:type="dxa"/>
            <w:tcBorders/>
            <w:shd w:fill="CCEEFF" w:val="clear"/>
            <w:vAlign w:val="center"/>
          </w:tcPr>
          <w:p>
            <w:pPr>
              <w:pStyle w:val="TableContents"/>
              <w:spacing w:before="0" w:after="283"/>
              <w:rPr/>
            </w:pPr>
            <w:r>
              <w:rPr/>
              <w:t>  </w:t>
            </w:r>
          </w:p>
        </w:tc>
        <w:tc>
          <w:tcPr>
            <w:tcW w:w="78" w:type="dxa"/>
            <w:tcBorders/>
            <w:shd w:fill="CCEEFF" w:val="clear"/>
            <w:vAlign w:val="center"/>
          </w:tcPr>
          <w:p>
            <w:pPr>
              <w:pStyle w:val="TableContents"/>
              <w:spacing w:before="0" w:after="283"/>
              <w:rPr/>
            </w:pPr>
            <w:r>
              <w:rPr/>
              <w:t> </w:t>
            </w:r>
          </w:p>
        </w:tc>
        <w:tc>
          <w:tcPr>
            <w:tcW w:w="1286" w:type="dxa"/>
            <w:tcBorders/>
            <w:shd w:fill="CCEEFF" w:val="clear"/>
            <w:vAlign w:val="center"/>
          </w:tcPr>
          <w:p>
            <w:pPr>
              <w:pStyle w:val="TableContents"/>
              <w:spacing w:before="0" w:after="283"/>
              <w:jc w:val="right"/>
              <w:rPr/>
            </w:pPr>
            <w:r>
              <w:rPr/>
              <w:t>1,323,495</w:t>
            </w:r>
          </w:p>
        </w:tc>
        <w:tc>
          <w:tcPr>
            <w:tcW w:w="203" w:type="dxa"/>
            <w:tcBorders/>
            <w:shd w:fill="CCEEFF" w:val="clear"/>
            <w:vAlign w:val="center"/>
          </w:tcPr>
          <w:p>
            <w:pPr>
              <w:pStyle w:val="TableContents"/>
              <w:spacing w:before="0" w:after="283"/>
              <w:rPr/>
            </w:pPr>
            <w:r>
              <w:rPr/>
              <w:t> </w:t>
            </w:r>
          </w:p>
        </w:tc>
        <w:tc>
          <w:tcPr>
            <w:tcW w:w="157" w:type="dxa"/>
            <w:tcBorders/>
            <w:shd w:fill="CCEEFF" w:val="clear"/>
            <w:vAlign w:val="center"/>
          </w:tcPr>
          <w:p>
            <w:pPr>
              <w:pStyle w:val="TableContents"/>
              <w:spacing w:before="0" w:after="283"/>
              <w:rPr/>
            </w:pPr>
            <w:r>
              <w:rPr/>
              <w:t> </w:t>
            </w:r>
          </w:p>
        </w:tc>
        <w:tc>
          <w:tcPr>
            <w:tcW w:w="197" w:type="dxa"/>
            <w:tcBorders/>
            <w:shd w:fill="CCEEFF" w:val="clear"/>
            <w:vAlign w:val="center"/>
          </w:tcPr>
          <w:p>
            <w:pPr>
              <w:pStyle w:val="TableContents"/>
              <w:spacing w:before="0" w:after="283"/>
              <w:rPr/>
            </w:pPr>
            <w:r>
              <w:rPr/>
              <w:t>$</w:t>
            </w:r>
          </w:p>
        </w:tc>
        <w:tc>
          <w:tcPr>
            <w:tcW w:w="798" w:type="dxa"/>
            <w:tcBorders/>
            <w:shd w:fill="CCEEFF" w:val="clear"/>
            <w:vAlign w:val="center"/>
          </w:tcPr>
          <w:p>
            <w:pPr>
              <w:pStyle w:val="TableContents"/>
              <w:spacing w:before="0" w:after="283"/>
              <w:jc w:val="right"/>
              <w:rPr/>
            </w:pPr>
            <w:r>
              <w:rPr/>
              <w:t>36.97</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92" w:type="dxa"/>
            <w:tcBorders/>
            <w:shd w:fill="CCEEFF" w:val="clear"/>
            <w:vAlign w:val="center"/>
          </w:tcPr>
          <w:p>
            <w:pPr>
              <w:pStyle w:val="TableContents"/>
              <w:spacing w:before="0" w:after="283"/>
              <w:rPr/>
            </w:pPr>
            <w:r>
              <w:rPr/>
              <w:t> </w:t>
            </w:r>
          </w:p>
        </w:tc>
        <w:tc>
          <w:tcPr>
            <w:tcW w:w="1233" w:type="dxa"/>
            <w:tcBorders/>
            <w:shd w:fill="CCEEFF" w:val="clear"/>
            <w:vAlign w:val="center"/>
          </w:tcPr>
          <w:p>
            <w:pPr>
              <w:pStyle w:val="TableContents"/>
              <w:spacing w:before="0" w:after="283"/>
              <w:jc w:val="right"/>
              <w:rPr/>
            </w:pPr>
            <w:r>
              <w:rPr/>
              <w:t>266,900</w:t>
            </w:r>
          </w:p>
        </w:tc>
        <w:tc>
          <w:tcPr>
            <w:tcW w:w="239" w:type="dxa"/>
            <w:tcBorders/>
            <w:shd w:fill="CCEEFF" w:val="clear"/>
            <w:vAlign w:val="center"/>
          </w:tcPr>
          <w:p>
            <w:pPr>
              <w:pStyle w:val="TableContents"/>
              <w:spacing w:before="0" w:after="283"/>
              <w:rPr/>
            </w:pPr>
            <w:r>
              <w:rPr/>
              <w:t> </w:t>
            </w:r>
          </w:p>
        </w:tc>
        <w:tc>
          <w:tcPr>
            <w:tcW w:w="185" w:type="dxa"/>
            <w:tcBorders/>
            <w:shd w:fill="CCEEFF" w:val="clear"/>
            <w:vAlign w:val="center"/>
          </w:tcPr>
          <w:p>
            <w:pPr>
              <w:pStyle w:val="TableContents"/>
              <w:spacing w:before="0" w:after="283"/>
              <w:rPr/>
            </w:pPr>
            <w:r>
              <w:rPr/>
              <w:t> </w:t>
            </w:r>
          </w:p>
        </w:tc>
        <w:tc>
          <w:tcPr>
            <w:tcW w:w="238" w:type="dxa"/>
            <w:tcBorders/>
            <w:shd w:fill="CCEEFF" w:val="clear"/>
            <w:vAlign w:val="center"/>
          </w:tcPr>
          <w:p>
            <w:pPr>
              <w:pStyle w:val="TableContents"/>
              <w:spacing w:before="0" w:after="283"/>
              <w:rPr/>
            </w:pPr>
            <w:r>
              <w:rPr/>
              <w:t>$</w:t>
            </w:r>
          </w:p>
        </w:tc>
        <w:tc>
          <w:tcPr>
            <w:tcW w:w="757" w:type="dxa"/>
            <w:tcBorders/>
            <w:shd w:fill="CCEEFF" w:val="clear"/>
            <w:vAlign w:val="center"/>
          </w:tcPr>
          <w:p>
            <w:pPr>
              <w:pStyle w:val="TableContents"/>
              <w:spacing w:before="0" w:after="283"/>
              <w:jc w:val="right"/>
              <w:rPr/>
            </w:pPr>
            <w:r>
              <w:rPr/>
              <w:t>6.72</w:t>
            </w:r>
          </w:p>
        </w:tc>
        <w:tc>
          <w:tcPr>
            <w:tcW w:w="75" w:type="dxa"/>
            <w:tcBorders/>
            <w:shd w:fill="CCEEFF" w:val="clear"/>
            <w:vAlign w:val="center"/>
          </w:tcPr>
          <w:p>
            <w:pPr>
              <w:pStyle w:val="TableContents"/>
              <w:spacing w:before="0" w:after="283"/>
              <w:rPr/>
            </w:pPr>
            <w:r>
              <w:rPr/>
              <w:t> </w:t>
            </w:r>
          </w:p>
        </w:tc>
      </w:tr>
      <w:tr>
        <w:trPr/>
        <w:tc>
          <w:tcPr>
            <w:tcW w:w="267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Granted</w:t>
            </w:r>
          </w:p>
        </w:tc>
        <w:tc>
          <w:tcPr>
            <w:tcW w:w="120"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283"/>
              <w:rPr/>
            </w:pPr>
            <w:r>
              <w:rPr/>
              <w:t> </w:t>
            </w:r>
          </w:p>
        </w:tc>
        <w:tc>
          <w:tcPr>
            <w:tcW w:w="1286" w:type="dxa"/>
            <w:tcBorders/>
            <w:shd w:fill="auto" w:val="clear"/>
            <w:vAlign w:val="center"/>
          </w:tcPr>
          <w:p>
            <w:pPr>
              <w:pStyle w:val="TableContents"/>
              <w:spacing w:before="0" w:after="283"/>
              <w:jc w:val="right"/>
              <w:rPr/>
            </w:pPr>
            <w:r>
              <w:rPr/>
              <w:t>—  </w:t>
            </w:r>
          </w:p>
        </w:tc>
        <w:tc>
          <w:tcPr>
            <w:tcW w:w="203" w:type="dxa"/>
            <w:tcBorders/>
            <w:shd w:fill="auto" w:val="clear"/>
            <w:vAlign w:val="center"/>
          </w:tcPr>
          <w:p>
            <w:pPr>
              <w:pStyle w:val="TableContents"/>
              <w:spacing w:before="0" w:after="283"/>
              <w:rPr/>
            </w:pPr>
            <w:r>
              <w:rPr/>
              <w:t> </w:t>
            </w:r>
          </w:p>
        </w:tc>
        <w:tc>
          <w:tcPr>
            <w:tcW w:w="157" w:type="dxa"/>
            <w:tcBorders/>
            <w:shd w:fill="auto" w:val="clear"/>
            <w:vAlign w:val="center"/>
          </w:tcPr>
          <w:p>
            <w:pPr>
              <w:pStyle w:val="TableContents"/>
              <w:spacing w:before="0" w:after="283"/>
              <w:rPr/>
            </w:pPr>
            <w:r>
              <w:rPr/>
              <w:t> </w:t>
            </w:r>
          </w:p>
        </w:tc>
        <w:tc>
          <w:tcPr>
            <w:tcW w:w="197" w:type="dxa"/>
            <w:tcBorders/>
            <w:shd w:fill="auto" w:val="clear"/>
            <w:vAlign w:val="center"/>
          </w:tcPr>
          <w:p>
            <w:pPr>
              <w:pStyle w:val="TableContents"/>
              <w:spacing w:before="0" w:after="283"/>
              <w:rPr/>
            </w:pPr>
            <w:r>
              <w:rPr/>
              <w:t> </w:t>
            </w:r>
          </w:p>
        </w:tc>
        <w:tc>
          <w:tcPr>
            <w:tcW w:w="798" w:type="dxa"/>
            <w:tcBorders/>
            <w:shd w:fill="auto" w:val="clear"/>
            <w:vAlign w:val="center"/>
          </w:tcPr>
          <w:p>
            <w:pPr>
              <w:pStyle w:val="TableContents"/>
              <w:spacing w:before="0" w:after="283"/>
              <w:jc w:val="right"/>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92" w:type="dxa"/>
            <w:tcBorders/>
            <w:shd w:fill="auto" w:val="clear"/>
            <w:vAlign w:val="center"/>
          </w:tcPr>
          <w:p>
            <w:pPr>
              <w:pStyle w:val="TableContents"/>
              <w:spacing w:before="0" w:after="283"/>
              <w:rPr/>
            </w:pPr>
            <w:r>
              <w:rPr/>
              <w:t> </w:t>
            </w:r>
          </w:p>
        </w:tc>
        <w:tc>
          <w:tcPr>
            <w:tcW w:w="1233" w:type="dxa"/>
            <w:tcBorders/>
            <w:shd w:fill="auto" w:val="clear"/>
            <w:vAlign w:val="center"/>
          </w:tcPr>
          <w:p>
            <w:pPr>
              <w:pStyle w:val="TableContents"/>
              <w:spacing w:before="0" w:after="283"/>
              <w:jc w:val="right"/>
              <w:rPr/>
            </w:pPr>
            <w:r>
              <w:rPr/>
              <w:t>—  </w:t>
            </w:r>
          </w:p>
        </w:tc>
        <w:tc>
          <w:tcPr>
            <w:tcW w:w="239" w:type="dxa"/>
            <w:tcBorders/>
            <w:shd w:fill="auto" w:val="clear"/>
            <w:vAlign w:val="center"/>
          </w:tcPr>
          <w:p>
            <w:pPr>
              <w:pStyle w:val="TableContents"/>
              <w:spacing w:before="0" w:after="283"/>
              <w:rPr/>
            </w:pPr>
            <w:r>
              <w:rPr/>
              <w:t> </w:t>
            </w:r>
          </w:p>
        </w:tc>
        <w:tc>
          <w:tcPr>
            <w:tcW w:w="185" w:type="dxa"/>
            <w:tcBorders/>
            <w:shd w:fill="auto" w:val="clear"/>
            <w:vAlign w:val="center"/>
          </w:tcPr>
          <w:p>
            <w:pPr>
              <w:pStyle w:val="TableContents"/>
              <w:spacing w:before="0" w:after="283"/>
              <w:rPr/>
            </w:pPr>
            <w:r>
              <w:rPr/>
              <w:t> </w:t>
            </w:r>
          </w:p>
        </w:tc>
        <w:tc>
          <w:tcPr>
            <w:tcW w:w="238" w:type="dxa"/>
            <w:tcBorders/>
            <w:shd w:fill="auto" w:val="clear"/>
            <w:vAlign w:val="center"/>
          </w:tcPr>
          <w:p>
            <w:pPr>
              <w:pStyle w:val="TableContents"/>
              <w:spacing w:before="0" w:after="283"/>
              <w:rPr/>
            </w:pPr>
            <w:r>
              <w:rPr/>
              <w:t> </w:t>
            </w:r>
          </w:p>
        </w:tc>
        <w:tc>
          <w:tcPr>
            <w:tcW w:w="757" w:type="dxa"/>
            <w:tcBorders/>
            <w:shd w:fill="auto" w:val="clear"/>
            <w:vAlign w:val="center"/>
          </w:tcPr>
          <w:p>
            <w:pPr>
              <w:pStyle w:val="TableContents"/>
              <w:spacing w:before="0" w:after="283"/>
              <w:jc w:val="right"/>
              <w:rPr/>
            </w:pPr>
            <w:r>
              <w:rPr/>
              <w:t>—  </w:t>
            </w:r>
          </w:p>
        </w:tc>
        <w:tc>
          <w:tcPr>
            <w:tcW w:w="75" w:type="dxa"/>
            <w:tcBorders/>
            <w:shd w:fill="auto" w:val="clear"/>
            <w:vAlign w:val="center"/>
          </w:tcPr>
          <w:p>
            <w:pPr>
              <w:pStyle w:val="TableContents"/>
              <w:spacing w:before="0" w:after="283"/>
              <w:rPr/>
            </w:pPr>
            <w:r>
              <w:rPr/>
              <w:t> </w:t>
            </w:r>
          </w:p>
        </w:tc>
      </w:tr>
      <w:tr>
        <w:trPr/>
        <w:tc>
          <w:tcPr>
            <w:tcW w:w="267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Exercised</w:t>
            </w:r>
          </w:p>
        </w:tc>
        <w:tc>
          <w:tcPr>
            <w:tcW w:w="120" w:type="dxa"/>
            <w:tcBorders/>
            <w:shd w:fill="CCEEFF" w:val="clear"/>
            <w:vAlign w:val="center"/>
          </w:tcPr>
          <w:p>
            <w:pPr>
              <w:pStyle w:val="TableContents"/>
              <w:spacing w:before="0" w:after="283"/>
              <w:rPr/>
            </w:pPr>
            <w:r>
              <w:rPr/>
              <w:t>  </w:t>
            </w:r>
          </w:p>
        </w:tc>
        <w:tc>
          <w:tcPr>
            <w:tcW w:w="78" w:type="dxa"/>
            <w:tcBorders/>
            <w:shd w:fill="CCEEFF" w:val="clear"/>
            <w:vAlign w:val="center"/>
          </w:tcPr>
          <w:p>
            <w:pPr>
              <w:pStyle w:val="TableContents"/>
              <w:spacing w:before="0" w:after="283"/>
              <w:rPr/>
            </w:pPr>
            <w:r>
              <w:rPr/>
              <w:t> </w:t>
            </w:r>
          </w:p>
        </w:tc>
        <w:tc>
          <w:tcPr>
            <w:tcW w:w="1286" w:type="dxa"/>
            <w:tcBorders/>
            <w:shd w:fill="CCEEFF" w:val="clear"/>
            <w:vAlign w:val="center"/>
          </w:tcPr>
          <w:p>
            <w:pPr>
              <w:pStyle w:val="TableContents"/>
              <w:spacing w:before="0" w:after="283"/>
              <w:jc w:val="right"/>
              <w:rPr/>
            </w:pPr>
            <w:r>
              <w:rPr/>
              <w:t>—  </w:t>
            </w:r>
          </w:p>
        </w:tc>
        <w:tc>
          <w:tcPr>
            <w:tcW w:w="203" w:type="dxa"/>
            <w:tcBorders/>
            <w:shd w:fill="CCEEFF" w:val="clear"/>
            <w:vAlign w:val="center"/>
          </w:tcPr>
          <w:p>
            <w:pPr>
              <w:pStyle w:val="TableContents"/>
              <w:spacing w:before="0" w:after="283"/>
              <w:rPr/>
            </w:pPr>
            <w:r>
              <w:rPr/>
              <w:t> </w:t>
            </w:r>
          </w:p>
        </w:tc>
        <w:tc>
          <w:tcPr>
            <w:tcW w:w="157" w:type="dxa"/>
            <w:tcBorders/>
            <w:shd w:fill="CCEEFF" w:val="clear"/>
            <w:vAlign w:val="center"/>
          </w:tcPr>
          <w:p>
            <w:pPr>
              <w:pStyle w:val="TableContents"/>
              <w:spacing w:before="0" w:after="283"/>
              <w:rPr/>
            </w:pPr>
            <w:r>
              <w:rPr/>
              <w:t> </w:t>
            </w:r>
          </w:p>
        </w:tc>
        <w:tc>
          <w:tcPr>
            <w:tcW w:w="197" w:type="dxa"/>
            <w:tcBorders/>
            <w:shd w:fill="CCEEFF" w:val="clear"/>
            <w:vAlign w:val="center"/>
          </w:tcPr>
          <w:p>
            <w:pPr>
              <w:pStyle w:val="TableContents"/>
              <w:spacing w:before="0" w:after="283"/>
              <w:rPr/>
            </w:pPr>
            <w:r>
              <w:rPr/>
              <w:t> </w:t>
            </w:r>
          </w:p>
        </w:tc>
        <w:tc>
          <w:tcPr>
            <w:tcW w:w="798"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92" w:type="dxa"/>
            <w:tcBorders/>
            <w:shd w:fill="CCEEFF" w:val="clear"/>
            <w:vAlign w:val="center"/>
          </w:tcPr>
          <w:p>
            <w:pPr>
              <w:pStyle w:val="TableContents"/>
              <w:spacing w:before="0" w:after="283"/>
              <w:rPr/>
            </w:pPr>
            <w:r>
              <w:rPr/>
              <w:t> </w:t>
            </w:r>
          </w:p>
        </w:tc>
        <w:tc>
          <w:tcPr>
            <w:tcW w:w="1233" w:type="dxa"/>
            <w:tcBorders/>
            <w:shd w:fill="CCEEFF" w:val="clear"/>
            <w:vAlign w:val="center"/>
          </w:tcPr>
          <w:p>
            <w:pPr>
              <w:pStyle w:val="TableContents"/>
              <w:spacing w:before="0" w:after="283"/>
              <w:jc w:val="right"/>
              <w:rPr/>
            </w:pPr>
            <w:r>
              <w:rPr/>
              <w:t>(93,337</w:t>
            </w:r>
          </w:p>
        </w:tc>
        <w:tc>
          <w:tcPr>
            <w:tcW w:w="239" w:type="dxa"/>
            <w:tcBorders/>
            <w:shd w:fill="CCEEFF" w:val="clear"/>
            <w:vAlign w:val="center"/>
          </w:tcPr>
          <w:p>
            <w:pPr>
              <w:pStyle w:val="TableContents"/>
              <w:spacing w:before="0" w:after="283"/>
              <w:rPr/>
            </w:pPr>
            <w:r>
              <w:rPr/>
              <w:t>) </w:t>
            </w:r>
          </w:p>
        </w:tc>
        <w:tc>
          <w:tcPr>
            <w:tcW w:w="185" w:type="dxa"/>
            <w:tcBorders/>
            <w:shd w:fill="CCEEFF" w:val="clear"/>
            <w:vAlign w:val="center"/>
          </w:tcPr>
          <w:p>
            <w:pPr>
              <w:pStyle w:val="TableContents"/>
              <w:spacing w:before="0" w:after="283"/>
              <w:rPr/>
            </w:pPr>
            <w:r>
              <w:rPr/>
              <w:t> </w:t>
            </w:r>
          </w:p>
        </w:tc>
        <w:tc>
          <w:tcPr>
            <w:tcW w:w="238" w:type="dxa"/>
            <w:tcBorders/>
            <w:shd w:fill="CCEEFF" w:val="clear"/>
            <w:vAlign w:val="center"/>
          </w:tcPr>
          <w:p>
            <w:pPr>
              <w:pStyle w:val="TableContents"/>
              <w:spacing w:before="0" w:after="283"/>
              <w:rPr/>
            </w:pPr>
            <w:r>
              <w:rPr/>
              <w:t> </w:t>
            </w:r>
          </w:p>
        </w:tc>
        <w:tc>
          <w:tcPr>
            <w:tcW w:w="757" w:type="dxa"/>
            <w:tcBorders/>
            <w:shd w:fill="CCEEFF" w:val="clear"/>
            <w:vAlign w:val="center"/>
          </w:tcPr>
          <w:p>
            <w:pPr>
              <w:pStyle w:val="TableContents"/>
              <w:spacing w:before="0" w:after="283"/>
              <w:jc w:val="right"/>
              <w:rPr/>
            </w:pPr>
            <w:r>
              <w:rPr/>
              <w:t>5.27</w:t>
            </w:r>
          </w:p>
        </w:tc>
        <w:tc>
          <w:tcPr>
            <w:tcW w:w="75" w:type="dxa"/>
            <w:tcBorders/>
            <w:shd w:fill="CCEEFF" w:val="clear"/>
            <w:vAlign w:val="center"/>
          </w:tcPr>
          <w:p>
            <w:pPr>
              <w:pStyle w:val="TableContents"/>
              <w:spacing w:before="0" w:after="283"/>
              <w:rPr/>
            </w:pPr>
            <w:r>
              <w:rPr/>
              <w:t> </w:t>
            </w:r>
          </w:p>
        </w:tc>
      </w:tr>
      <w:tr>
        <w:trPr/>
        <w:tc>
          <w:tcPr>
            <w:tcW w:w="267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Forfeited</w:t>
            </w:r>
          </w:p>
        </w:tc>
        <w:tc>
          <w:tcPr>
            <w:tcW w:w="120"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283"/>
              <w:rPr/>
            </w:pPr>
            <w:r>
              <w:rPr/>
              <w:t> </w:t>
            </w:r>
          </w:p>
        </w:tc>
        <w:tc>
          <w:tcPr>
            <w:tcW w:w="1286" w:type="dxa"/>
            <w:tcBorders/>
            <w:shd w:fill="auto" w:val="clear"/>
            <w:vAlign w:val="center"/>
          </w:tcPr>
          <w:p>
            <w:pPr>
              <w:pStyle w:val="TableContents"/>
              <w:spacing w:before="0" w:after="283"/>
              <w:jc w:val="right"/>
              <w:rPr/>
            </w:pPr>
            <w:r>
              <w:rPr/>
              <w:t>(91,894</w:t>
            </w:r>
          </w:p>
        </w:tc>
        <w:tc>
          <w:tcPr>
            <w:tcW w:w="203" w:type="dxa"/>
            <w:tcBorders/>
            <w:shd w:fill="auto" w:val="clear"/>
            <w:vAlign w:val="center"/>
          </w:tcPr>
          <w:p>
            <w:pPr>
              <w:pStyle w:val="TableContents"/>
              <w:spacing w:before="0" w:after="283"/>
              <w:rPr/>
            </w:pPr>
            <w:r>
              <w:rPr/>
              <w:t>) </w:t>
            </w:r>
          </w:p>
        </w:tc>
        <w:tc>
          <w:tcPr>
            <w:tcW w:w="157" w:type="dxa"/>
            <w:tcBorders/>
            <w:shd w:fill="auto" w:val="clear"/>
            <w:vAlign w:val="center"/>
          </w:tcPr>
          <w:p>
            <w:pPr>
              <w:pStyle w:val="TableContents"/>
              <w:spacing w:before="0" w:after="283"/>
              <w:rPr/>
            </w:pPr>
            <w:r>
              <w:rPr/>
              <w:t> </w:t>
            </w:r>
          </w:p>
        </w:tc>
        <w:tc>
          <w:tcPr>
            <w:tcW w:w="197" w:type="dxa"/>
            <w:tcBorders/>
            <w:shd w:fill="auto" w:val="clear"/>
            <w:vAlign w:val="center"/>
          </w:tcPr>
          <w:p>
            <w:pPr>
              <w:pStyle w:val="TableContents"/>
              <w:spacing w:before="0" w:after="283"/>
              <w:rPr/>
            </w:pPr>
            <w:r>
              <w:rPr/>
              <w:t> </w:t>
            </w:r>
          </w:p>
        </w:tc>
        <w:tc>
          <w:tcPr>
            <w:tcW w:w="798" w:type="dxa"/>
            <w:tcBorders/>
            <w:shd w:fill="auto" w:val="clear"/>
            <w:vAlign w:val="center"/>
          </w:tcPr>
          <w:p>
            <w:pPr>
              <w:pStyle w:val="TableContents"/>
              <w:spacing w:before="0" w:after="283"/>
              <w:jc w:val="right"/>
              <w:rPr/>
            </w:pPr>
            <w:r>
              <w:rPr/>
              <w:t>39.56</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92" w:type="dxa"/>
            <w:tcBorders/>
            <w:shd w:fill="auto" w:val="clear"/>
            <w:vAlign w:val="center"/>
          </w:tcPr>
          <w:p>
            <w:pPr>
              <w:pStyle w:val="TableContents"/>
              <w:spacing w:before="0" w:after="283"/>
              <w:rPr/>
            </w:pPr>
            <w:r>
              <w:rPr/>
              <w:t> </w:t>
            </w:r>
          </w:p>
        </w:tc>
        <w:tc>
          <w:tcPr>
            <w:tcW w:w="1233" w:type="dxa"/>
            <w:tcBorders/>
            <w:shd w:fill="auto" w:val="clear"/>
            <w:vAlign w:val="center"/>
          </w:tcPr>
          <w:p>
            <w:pPr>
              <w:pStyle w:val="TableContents"/>
              <w:spacing w:before="0" w:after="283"/>
              <w:jc w:val="right"/>
              <w:rPr/>
            </w:pPr>
            <w:r>
              <w:rPr/>
              <w:t>—  </w:t>
            </w:r>
          </w:p>
        </w:tc>
        <w:tc>
          <w:tcPr>
            <w:tcW w:w="239" w:type="dxa"/>
            <w:tcBorders/>
            <w:shd w:fill="auto" w:val="clear"/>
            <w:vAlign w:val="center"/>
          </w:tcPr>
          <w:p>
            <w:pPr>
              <w:pStyle w:val="TableContents"/>
              <w:spacing w:before="0" w:after="283"/>
              <w:rPr/>
            </w:pPr>
            <w:r>
              <w:rPr/>
              <w:t> </w:t>
            </w:r>
          </w:p>
        </w:tc>
        <w:tc>
          <w:tcPr>
            <w:tcW w:w="185" w:type="dxa"/>
            <w:tcBorders/>
            <w:shd w:fill="auto" w:val="clear"/>
            <w:vAlign w:val="center"/>
          </w:tcPr>
          <w:p>
            <w:pPr>
              <w:pStyle w:val="TableContents"/>
              <w:spacing w:before="0" w:after="283"/>
              <w:rPr/>
            </w:pPr>
            <w:r>
              <w:rPr/>
              <w:t> </w:t>
            </w:r>
          </w:p>
        </w:tc>
        <w:tc>
          <w:tcPr>
            <w:tcW w:w="238" w:type="dxa"/>
            <w:tcBorders/>
            <w:shd w:fill="auto" w:val="clear"/>
            <w:vAlign w:val="center"/>
          </w:tcPr>
          <w:p>
            <w:pPr>
              <w:pStyle w:val="TableContents"/>
              <w:spacing w:before="0" w:after="283"/>
              <w:rPr/>
            </w:pPr>
            <w:r>
              <w:rPr/>
              <w:t> </w:t>
            </w:r>
          </w:p>
        </w:tc>
        <w:tc>
          <w:tcPr>
            <w:tcW w:w="757" w:type="dxa"/>
            <w:tcBorders/>
            <w:shd w:fill="auto" w:val="clear"/>
            <w:vAlign w:val="center"/>
          </w:tcPr>
          <w:p>
            <w:pPr>
              <w:pStyle w:val="TableContents"/>
              <w:spacing w:before="0" w:after="283"/>
              <w:jc w:val="right"/>
              <w:rPr/>
            </w:pPr>
            <w:r>
              <w:rPr/>
              <w:t>—  </w:t>
            </w:r>
          </w:p>
        </w:tc>
        <w:tc>
          <w:tcPr>
            <w:tcW w:w="75" w:type="dxa"/>
            <w:tcBorders/>
            <w:shd w:fill="auto" w:val="clear"/>
            <w:vAlign w:val="center"/>
          </w:tcPr>
          <w:p>
            <w:pPr>
              <w:pStyle w:val="TableContents"/>
              <w:spacing w:before="0" w:after="283"/>
              <w:rPr/>
            </w:pPr>
            <w:r>
              <w:rPr/>
              <w:t> </w:t>
            </w:r>
          </w:p>
        </w:tc>
      </w:tr>
      <w:tr>
        <w:trPr/>
        <w:tc>
          <w:tcPr>
            <w:tcW w:w="267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0"/>
              <w:rPr>
                <w:bdr w:val="single" w:sz="2" w:space="1" w:color="000000"/>
              </w:rPr>
            </w:pPr>
            <w:r>
              <w:rPr>
                <w:bdr w:val="single" w:sz="2" w:space="1" w:color="000000"/>
              </w:rPr>
              <w:t> </w:t>
            </w:r>
          </w:p>
        </w:tc>
        <w:tc>
          <w:tcPr>
            <w:tcW w:w="1286" w:type="dxa"/>
            <w:tcBorders/>
            <w:shd w:fill="auto" w:val="clear"/>
            <w:vAlign w:val="center"/>
          </w:tcPr>
          <w:p>
            <w:pPr>
              <w:pStyle w:val="TableContents"/>
              <w:spacing w:before="0" w:after="0"/>
              <w:rPr>
                <w:bdr w:val="single" w:sz="2" w:space="1" w:color="000000"/>
              </w:rPr>
            </w:pPr>
            <w:r>
              <w:rPr>
                <w:bdr w:val="single" w:sz="2" w:space="1" w:color="000000"/>
              </w:rPr>
              <w:t> </w:t>
            </w:r>
          </w:p>
        </w:tc>
        <w:tc>
          <w:tcPr>
            <w:tcW w:w="203" w:type="dxa"/>
            <w:tcBorders/>
            <w:shd w:fill="auto" w:val="clear"/>
            <w:vAlign w:val="center"/>
          </w:tcPr>
          <w:p>
            <w:pPr>
              <w:pStyle w:val="TableContents"/>
              <w:spacing w:before="0" w:after="283"/>
              <w:rPr/>
            </w:pPr>
            <w:r>
              <w:rPr/>
              <w:t> </w:t>
            </w:r>
          </w:p>
        </w:tc>
        <w:tc>
          <w:tcPr>
            <w:tcW w:w="157" w:type="dxa"/>
            <w:tcBorders/>
            <w:shd w:fill="auto" w:val="clear"/>
            <w:vAlign w:val="center"/>
          </w:tcPr>
          <w:p>
            <w:pPr>
              <w:pStyle w:val="TableContents"/>
              <w:spacing w:before="0" w:after="283"/>
              <w:rPr/>
            </w:pPr>
            <w:r>
              <w:rPr/>
              <w:t> </w:t>
            </w:r>
          </w:p>
        </w:tc>
        <w:tc>
          <w:tcPr>
            <w:tcW w:w="197" w:type="dxa"/>
            <w:tcBorders/>
            <w:shd w:fill="auto" w:val="clear"/>
            <w:vAlign w:val="center"/>
          </w:tcPr>
          <w:p>
            <w:pPr>
              <w:pStyle w:val="TableContents"/>
              <w:spacing w:before="0" w:after="0"/>
              <w:rPr>
                <w:bdr w:val="single" w:sz="2" w:space="1" w:color="000000"/>
              </w:rPr>
            </w:pPr>
            <w:r>
              <w:rPr>
                <w:bdr w:val="single" w:sz="2" w:space="1" w:color="000000"/>
              </w:rPr>
              <w:t> </w:t>
            </w:r>
          </w:p>
        </w:tc>
        <w:tc>
          <w:tcPr>
            <w:tcW w:w="798" w:type="dxa"/>
            <w:tcBorders/>
            <w:shd w:fill="auto" w:val="clear"/>
            <w:vAlign w:val="center"/>
          </w:tcPr>
          <w:p>
            <w:pPr>
              <w:pStyle w:val="TableContents"/>
              <w:spacing w:before="0" w:after="0"/>
              <w:rPr>
                <w:bdr w:val="single" w:sz="2" w:space="1" w:color="000000"/>
              </w:rPr>
            </w:pPr>
            <w:r>
              <w:rPr>
                <w:bdr w:val="single" w:sz="2"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92" w:type="dxa"/>
            <w:tcBorders/>
            <w:shd w:fill="auto" w:val="clear"/>
            <w:vAlign w:val="center"/>
          </w:tcPr>
          <w:p>
            <w:pPr>
              <w:pStyle w:val="TableContents"/>
              <w:spacing w:before="0" w:after="0"/>
              <w:rPr>
                <w:bdr w:val="single" w:sz="2" w:space="1" w:color="000000"/>
              </w:rPr>
            </w:pPr>
            <w:r>
              <w:rPr>
                <w:bdr w:val="single" w:sz="2" w:space="1" w:color="000000"/>
              </w:rPr>
              <w:t> </w:t>
            </w:r>
          </w:p>
        </w:tc>
        <w:tc>
          <w:tcPr>
            <w:tcW w:w="1233" w:type="dxa"/>
            <w:tcBorders/>
            <w:shd w:fill="auto" w:val="clear"/>
            <w:vAlign w:val="center"/>
          </w:tcPr>
          <w:p>
            <w:pPr>
              <w:pStyle w:val="TableContents"/>
              <w:spacing w:before="0" w:after="0"/>
              <w:rPr>
                <w:bdr w:val="single" w:sz="2" w:space="1" w:color="000000"/>
              </w:rPr>
            </w:pPr>
            <w:r>
              <w:rPr>
                <w:bdr w:val="single" w:sz="2" w:space="1" w:color="000000"/>
              </w:rPr>
              <w:t> </w:t>
            </w:r>
          </w:p>
        </w:tc>
        <w:tc>
          <w:tcPr>
            <w:tcW w:w="239" w:type="dxa"/>
            <w:tcBorders/>
            <w:shd w:fill="auto" w:val="clear"/>
            <w:vAlign w:val="center"/>
          </w:tcPr>
          <w:p>
            <w:pPr>
              <w:pStyle w:val="TableContents"/>
              <w:spacing w:before="0" w:after="283"/>
              <w:rPr/>
            </w:pPr>
            <w:r>
              <w:rPr/>
              <w:t> </w:t>
            </w:r>
          </w:p>
        </w:tc>
        <w:tc>
          <w:tcPr>
            <w:tcW w:w="185" w:type="dxa"/>
            <w:tcBorders/>
            <w:shd w:fill="auto" w:val="clear"/>
            <w:vAlign w:val="center"/>
          </w:tcPr>
          <w:p>
            <w:pPr>
              <w:pStyle w:val="TableContents"/>
              <w:spacing w:before="0" w:after="283"/>
              <w:rPr/>
            </w:pPr>
            <w:r>
              <w:rPr/>
              <w:t> </w:t>
            </w:r>
          </w:p>
        </w:tc>
        <w:tc>
          <w:tcPr>
            <w:tcW w:w="238" w:type="dxa"/>
            <w:tcBorders/>
            <w:shd w:fill="auto" w:val="clear"/>
            <w:vAlign w:val="center"/>
          </w:tcPr>
          <w:p>
            <w:pPr>
              <w:pStyle w:val="TableContents"/>
              <w:spacing w:before="0" w:after="0"/>
              <w:rPr>
                <w:bdr w:val="single" w:sz="2" w:space="1" w:color="000000"/>
              </w:rPr>
            </w:pPr>
            <w:r>
              <w:rPr>
                <w:bdr w:val="single" w:sz="2" w:space="1" w:color="000000"/>
              </w:rPr>
              <w:t> </w:t>
            </w:r>
          </w:p>
        </w:tc>
        <w:tc>
          <w:tcPr>
            <w:tcW w:w="757" w:type="dxa"/>
            <w:tcBorders/>
            <w:shd w:fill="auto" w:val="clear"/>
            <w:vAlign w:val="center"/>
          </w:tcPr>
          <w:p>
            <w:pPr>
              <w:pStyle w:val="TableContents"/>
              <w:spacing w:before="0" w:after="0"/>
              <w:rPr>
                <w:bdr w:val="single" w:sz="2" w:space="1" w:color="000000"/>
              </w:rPr>
            </w:pPr>
            <w:r>
              <w:rPr>
                <w:bdr w:val="single" w:sz="2" w:space="1" w:color="000000"/>
              </w:rPr>
              <w:t> </w:t>
            </w:r>
          </w:p>
        </w:tc>
        <w:tc>
          <w:tcPr>
            <w:tcW w:w="75" w:type="dxa"/>
            <w:tcBorders/>
            <w:shd w:fill="auto" w:val="clear"/>
            <w:vAlign w:val="center"/>
          </w:tcPr>
          <w:p>
            <w:pPr>
              <w:pStyle w:val="TableContents"/>
              <w:spacing w:before="0" w:after="283"/>
              <w:rPr/>
            </w:pPr>
            <w:r>
              <w:rPr/>
              <w:t> </w:t>
            </w:r>
          </w:p>
        </w:tc>
      </w:tr>
      <w:tr>
        <w:trPr/>
        <w:tc>
          <w:tcPr>
            <w:tcW w:w="267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Outstanding at January 31, 2021</w:t>
            </w:r>
          </w:p>
        </w:tc>
        <w:tc>
          <w:tcPr>
            <w:tcW w:w="120" w:type="dxa"/>
            <w:tcBorders/>
            <w:shd w:fill="CCEEFF" w:val="clear"/>
            <w:vAlign w:val="center"/>
          </w:tcPr>
          <w:p>
            <w:pPr>
              <w:pStyle w:val="TableContents"/>
              <w:spacing w:before="0" w:after="283"/>
              <w:rPr/>
            </w:pPr>
            <w:r>
              <w:rPr/>
              <w:t>  </w:t>
            </w:r>
          </w:p>
        </w:tc>
        <w:tc>
          <w:tcPr>
            <w:tcW w:w="78" w:type="dxa"/>
            <w:tcBorders/>
            <w:shd w:fill="CCEEFF" w:val="clear"/>
            <w:vAlign w:val="center"/>
          </w:tcPr>
          <w:p>
            <w:pPr>
              <w:pStyle w:val="TableContents"/>
              <w:spacing w:before="0" w:after="283"/>
              <w:rPr/>
            </w:pPr>
            <w:r>
              <w:rPr/>
              <w:t> </w:t>
            </w:r>
          </w:p>
        </w:tc>
        <w:tc>
          <w:tcPr>
            <w:tcW w:w="1286" w:type="dxa"/>
            <w:tcBorders/>
            <w:shd w:fill="CCEEFF" w:val="clear"/>
            <w:vAlign w:val="center"/>
          </w:tcPr>
          <w:p>
            <w:pPr>
              <w:pStyle w:val="TableContents"/>
              <w:spacing w:before="0" w:after="283"/>
              <w:jc w:val="right"/>
              <w:rPr/>
            </w:pPr>
            <w:r>
              <w:rPr/>
              <w:t>1,231,601</w:t>
            </w:r>
          </w:p>
        </w:tc>
        <w:tc>
          <w:tcPr>
            <w:tcW w:w="203" w:type="dxa"/>
            <w:tcBorders/>
            <w:shd w:fill="CCEEFF" w:val="clear"/>
            <w:vAlign w:val="center"/>
          </w:tcPr>
          <w:p>
            <w:pPr>
              <w:pStyle w:val="TableContents"/>
              <w:spacing w:before="0" w:after="283"/>
              <w:rPr/>
            </w:pPr>
            <w:r>
              <w:rPr/>
              <w:t> </w:t>
            </w:r>
          </w:p>
        </w:tc>
        <w:tc>
          <w:tcPr>
            <w:tcW w:w="157" w:type="dxa"/>
            <w:tcBorders/>
            <w:shd w:fill="CCEEFF" w:val="clear"/>
            <w:vAlign w:val="center"/>
          </w:tcPr>
          <w:p>
            <w:pPr>
              <w:pStyle w:val="TableContents"/>
              <w:spacing w:before="0" w:after="283"/>
              <w:rPr/>
            </w:pPr>
            <w:r>
              <w:rPr/>
              <w:t> </w:t>
            </w:r>
          </w:p>
        </w:tc>
        <w:tc>
          <w:tcPr>
            <w:tcW w:w="197" w:type="dxa"/>
            <w:tcBorders/>
            <w:shd w:fill="CCEEFF" w:val="clear"/>
            <w:vAlign w:val="center"/>
          </w:tcPr>
          <w:p>
            <w:pPr>
              <w:pStyle w:val="TableContents"/>
              <w:spacing w:before="0" w:after="283"/>
              <w:rPr/>
            </w:pPr>
            <w:r>
              <w:rPr/>
              <w:t> </w:t>
            </w:r>
          </w:p>
        </w:tc>
        <w:tc>
          <w:tcPr>
            <w:tcW w:w="798" w:type="dxa"/>
            <w:tcBorders/>
            <w:shd w:fill="CCEEFF" w:val="clear"/>
            <w:vAlign w:val="center"/>
          </w:tcPr>
          <w:p>
            <w:pPr>
              <w:pStyle w:val="TableContents"/>
              <w:spacing w:before="0" w:after="283"/>
              <w:jc w:val="right"/>
              <w:rPr/>
            </w:pPr>
            <w:r>
              <w:rPr/>
              <w:t>36.77</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92" w:type="dxa"/>
            <w:tcBorders/>
            <w:shd w:fill="CCEEFF" w:val="clear"/>
            <w:vAlign w:val="center"/>
          </w:tcPr>
          <w:p>
            <w:pPr>
              <w:pStyle w:val="TableContents"/>
              <w:spacing w:before="0" w:after="283"/>
              <w:rPr/>
            </w:pPr>
            <w:r>
              <w:rPr/>
              <w:t> </w:t>
            </w:r>
          </w:p>
        </w:tc>
        <w:tc>
          <w:tcPr>
            <w:tcW w:w="1233" w:type="dxa"/>
            <w:tcBorders/>
            <w:shd w:fill="CCEEFF" w:val="clear"/>
            <w:vAlign w:val="center"/>
          </w:tcPr>
          <w:p>
            <w:pPr>
              <w:pStyle w:val="TableContents"/>
              <w:spacing w:before="0" w:after="283"/>
              <w:jc w:val="right"/>
              <w:rPr/>
            </w:pPr>
            <w:r>
              <w:rPr/>
              <w:t>173,563</w:t>
            </w:r>
          </w:p>
        </w:tc>
        <w:tc>
          <w:tcPr>
            <w:tcW w:w="239" w:type="dxa"/>
            <w:tcBorders/>
            <w:shd w:fill="CCEEFF" w:val="clear"/>
            <w:vAlign w:val="center"/>
          </w:tcPr>
          <w:p>
            <w:pPr>
              <w:pStyle w:val="TableContents"/>
              <w:spacing w:before="0" w:after="283"/>
              <w:rPr/>
            </w:pPr>
            <w:r>
              <w:rPr/>
              <w:t> </w:t>
            </w:r>
          </w:p>
        </w:tc>
        <w:tc>
          <w:tcPr>
            <w:tcW w:w="185" w:type="dxa"/>
            <w:tcBorders/>
            <w:shd w:fill="CCEEFF" w:val="clear"/>
            <w:vAlign w:val="center"/>
          </w:tcPr>
          <w:p>
            <w:pPr>
              <w:pStyle w:val="TableContents"/>
              <w:spacing w:before="0" w:after="283"/>
              <w:rPr/>
            </w:pPr>
            <w:r>
              <w:rPr/>
              <w:t> </w:t>
            </w:r>
          </w:p>
        </w:tc>
        <w:tc>
          <w:tcPr>
            <w:tcW w:w="238" w:type="dxa"/>
            <w:tcBorders/>
            <w:shd w:fill="CCEEFF" w:val="clear"/>
            <w:vAlign w:val="center"/>
          </w:tcPr>
          <w:p>
            <w:pPr>
              <w:pStyle w:val="TableContents"/>
              <w:spacing w:before="0" w:after="283"/>
              <w:rPr/>
            </w:pPr>
            <w:r>
              <w:rPr/>
              <w:t> </w:t>
            </w:r>
          </w:p>
        </w:tc>
        <w:tc>
          <w:tcPr>
            <w:tcW w:w="757" w:type="dxa"/>
            <w:tcBorders/>
            <w:shd w:fill="CCEEFF" w:val="clear"/>
            <w:vAlign w:val="center"/>
          </w:tcPr>
          <w:p>
            <w:pPr>
              <w:pStyle w:val="TableContents"/>
              <w:spacing w:before="0" w:after="283"/>
              <w:jc w:val="right"/>
              <w:rPr/>
            </w:pPr>
            <w:r>
              <w:rPr/>
              <w:t>7.51</w:t>
            </w:r>
          </w:p>
        </w:tc>
        <w:tc>
          <w:tcPr>
            <w:tcW w:w="75" w:type="dxa"/>
            <w:tcBorders/>
            <w:shd w:fill="CCEEFF" w:val="clear"/>
            <w:vAlign w:val="center"/>
          </w:tcPr>
          <w:p>
            <w:pPr>
              <w:pStyle w:val="TableContents"/>
              <w:spacing w:before="0" w:after="283"/>
              <w:rPr/>
            </w:pPr>
            <w:r>
              <w:rPr/>
              <w:t> </w:t>
            </w:r>
          </w:p>
        </w:tc>
      </w:tr>
      <w:tr>
        <w:trPr/>
        <w:tc>
          <w:tcPr>
            <w:tcW w:w="267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0"/>
              <w:rPr>
                <w:bdr w:val="single" w:sz="2" w:space="1" w:color="000000"/>
              </w:rPr>
            </w:pPr>
            <w:r>
              <w:rPr>
                <w:bdr w:val="single" w:sz="2" w:space="1" w:color="000000"/>
              </w:rPr>
              <w:t> </w:t>
            </w:r>
          </w:p>
        </w:tc>
        <w:tc>
          <w:tcPr>
            <w:tcW w:w="1286" w:type="dxa"/>
            <w:tcBorders/>
            <w:shd w:fill="auto" w:val="clear"/>
            <w:vAlign w:val="center"/>
          </w:tcPr>
          <w:p>
            <w:pPr>
              <w:pStyle w:val="TableContents"/>
              <w:spacing w:before="0" w:after="0"/>
              <w:rPr>
                <w:bdr w:val="single" w:sz="2" w:space="1" w:color="000000"/>
              </w:rPr>
            </w:pPr>
            <w:r>
              <w:rPr>
                <w:bdr w:val="single" w:sz="2" w:space="1" w:color="000000"/>
              </w:rPr>
              <w:t> </w:t>
            </w:r>
          </w:p>
        </w:tc>
        <w:tc>
          <w:tcPr>
            <w:tcW w:w="203" w:type="dxa"/>
            <w:tcBorders/>
            <w:shd w:fill="auto" w:val="clear"/>
            <w:vAlign w:val="center"/>
          </w:tcPr>
          <w:p>
            <w:pPr>
              <w:pStyle w:val="TableContents"/>
              <w:spacing w:before="0" w:after="283"/>
              <w:rPr/>
            </w:pPr>
            <w:r>
              <w:rPr/>
              <w:t> </w:t>
            </w:r>
          </w:p>
        </w:tc>
        <w:tc>
          <w:tcPr>
            <w:tcW w:w="157" w:type="dxa"/>
            <w:tcBorders/>
            <w:shd w:fill="auto" w:val="clear"/>
            <w:vAlign w:val="center"/>
          </w:tcPr>
          <w:p>
            <w:pPr>
              <w:pStyle w:val="TableContents"/>
              <w:spacing w:before="0" w:after="283"/>
              <w:rPr/>
            </w:pPr>
            <w:r>
              <w:rPr/>
              <w:t> </w:t>
            </w:r>
          </w:p>
        </w:tc>
        <w:tc>
          <w:tcPr>
            <w:tcW w:w="197" w:type="dxa"/>
            <w:tcBorders/>
            <w:shd w:fill="auto" w:val="clear"/>
            <w:vAlign w:val="center"/>
          </w:tcPr>
          <w:p>
            <w:pPr>
              <w:pStyle w:val="TableContents"/>
              <w:spacing w:before="0" w:after="0"/>
              <w:rPr>
                <w:bdr w:val="single" w:sz="2" w:space="1" w:color="000000"/>
              </w:rPr>
            </w:pPr>
            <w:r>
              <w:rPr>
                <w:bdr w:val="single" w:sz="2" w:space="1" w:color="000000"/>
              </w:rPr>
              <w:t> </w:t>
            </w:r>
          </w:p>
        </w:tc>
        <w:tc>
          <w:tcPr>
            <w:tcW w:w="798" w:type="dxa"/>
            <w:tcBorders/>
            <w:shd w:fill="auto" w:val="clear"/>
            <w:vAlign w:val="center"/>
          </w:tcPr>
          <w:p>
            <w:pPr>
              <w:pStyle w:val="TableContents"/>
              <w:spacing w:before="0" w:after="0"/>
              <w:rPr>
                <w:bdr w:val="single" w:sz="2" w:space="1" w:color="000000"/>
              </w:rPr>
            </w:pPr>
            <w:r>
              <w:rPr>
                <w:bdr w:val="single" w:sz="2"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92" w:type="dxa"/>
            <w:tcBorders/>
            <w:shd w:fill="auto" w:val="clear"/>
            <w:vAlign w:val="center"/>
          </w:tcPr>
          <w:p>
            <w:pPr>
              <w:pStyle w:val="TableContents"/>
              <w:spacing w:before="0" w:after="0"/>
              <w:rPr>
                <w:bdr w:val="single" w:sz="2" w:space="1" w:color="000000"/>
              </w:rPr>
            </w:pPr>
            <w:r>
              <w:rPr>
                <w:bdr w:val="single" w:sz="2" w:space="1" w:color="000000"/>
              </w:rPr>
              <w:t> </w:t>
            </w:r>
          </w:p>
        </w:tc>
        <w:tc>
          <w:tcPr>
            <w:tcW w:w="1233" w:type="dxa"/>
            <w:tcBorders/>
            <w:shd w:fill="auto" w:val="clear"/>
            <w:vAlign w:val="center"/>
          </w:tcPr>
          <w:p>
            <w:pPr>
              <w:pStyle w:val="TableContents"/>
              <w:spacing w:before="0" w:after="0"/>
              <w:rPr>
                <w:bdr w:val="single" w:sz="2" w:space="1" w:color="000000"/>
              </w:rPr>
            </w:pPr>
            <w:r>
              <w:rPr>
                <w:bdr w:val="single" w:sz="2" w:space="1" w:color="000000"/>
              </w:rPr>
              <w:t> </w:t>
            </w:r>
          </w:p>
        </w:tc>
        <w:tc>
          <w:tcPr>
            <w:tcW w:w="239" w:type="dxa"/>
            <w:tcBorders/>
            <w:shd w:fill="auto" w:val="clear"/>
            <w:vAlign w:val="center"/>
          </w:tcPr>
          <w:p>
            <w:pPr>
              <w:pStyle w:val="TableContents"/>
              <w:spacing w:before="0" w:after="283"/>
              <w:rPr/>
            </w:pPr>
            <w:r>
              <w:rPr/>
              <w:t> </w:t>
            </w:r>
          </w:p>
        </w:tc>
        <w:tc>
          <w:tcPr>
            <w:tcW w:w="185" w:type="dxa"/>
            <w:tcBorders/>
            <w:shd w:fill="auto" w:val="clear"/>
            <w:vAlign w:val="center"/>
          </w:tcPr>
          <w:p>
            <w:pPr>
              <w:pStyle w:val="TableContents"/>
              <w:spacing w:before="0" w:after="283"/>
              <w:rPr/>
            </w:pPr>
            <w:r>
              <w:rPr/>
              <w:t> </w:t>
            </w:r>
          </w:p>
        </w:tc>
        <w:tc>
          <w:tcPr>
            <w:tcW w:w="238" w:type="dxa"/>
            <w:tcBorders/>
            <w:shd w:fill="auto" w:val="clear"/>
            <w:vAlign w:val="center"/>
          </w:tcPr>
          <w:p>
            <w:pPr>
              <w:pStyle w:val="TableContents"/>
              <w:spacing w:before="0" w:after="0"/>
              <w:rPr>
                <w:bdr w:val="single" w:sz="2" w:space="1" w:color="000000"/>
              </w:rPr>
            </w:pPr>
            <w:r>
              <w:rPr>
                <w:bdr w:val="single" w:sz="2" w:space="1" w:color="000000"/>
              </w:rPr>
              <w:t> </w:t>
            </w:r>
          </w:p>
        </w:tc>
        <w:tc>
          <w:tcPr>
            <w:tcW w:w="757" w:type="dxa"/>
            <w:tcBorders/>
            <w:shd w:fill="auto" w:val="clear"/>
            <w:vAlign w:val="center"/>
          </w:tcPr>
          <w:p>
            <w:pPr>
              <w:pStyle w:val="TableContents"/>
              <w:spacing w:before="0" w:after="0"/>
              <w:rPr>
                <w:bdr w:val="single" w:sz="2" w:space="1" w:color="000000"/>
              </w:rPr>
            </w:pPr>
            <w:r>
              <w:rPr>
                <w:bdr w:val="single" w:sz="2" w:space="1" w:color="000000"/>
              </w:rPr>
              <w:t> </w:t>
            </w:r>
          </w:p>
        </w:tc>
        <w:tc>
          <w:tcPr>
            <w:tcW w:w="75" w:type="dxa"/>
            <w:tcBorders/>
            <w:shd w:fill="auto" w:val="clear"/>
            <w:vAlign w:val="center"/>
          </w:tcPr>
          <w:p>
            <w:pPr>
              <w:pStyle w:val="TableContents"/>
              <w:spacing w:before="0" w:after="283"/>
              <w:rPr/>
            </w:pPr>
            <w:r>
              <w:rPr/>
              <w:t> </w:t>
            </w:r>
          </w:p>
        </w:tc>
      </w:tr>
      <w:tr>
        <w:trPr/>
        <w:tc>
          <w:tcPr>
            <w:tcW w:w="267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Exercisable at January 31, 2021</w:t>
            </w:r>
          </w:p>
        </w:tc>
        <w:tc>
          <w:tcPr>
            <w:tcW w:w="120"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283"/>
              <w:rPr/>
            </w:pPr>
            <w:r>
              <w:rPr/>
              <w:t> </w:t>
            </w:r>
          </w:p>
        </w:tc>
        <w:tc>
          <w:tcPr>
            <w:tcW w:w="1286" w:type="dxa"/>
            <w:tcBorders/>
            <w:shd w:fill="auto" w:val="clear"/>
            <w:vAlign w:val="center"/>
          </w:tcPr>
          <w:p>
            <w:pPr>
              <w:pStyle w:val="TableContents"/>
              <w:spacing w:before="0" w:after="283"/>
              <w:jc w:val="right"/>
              <w:rPr/>
            </w:pPr>
            <w:r>
              <w:rPr/>
              <w:t>1,043,759</w:t>
            </w:r>
          </w:p>
        </w:tc>
        <w:tc>
          <w:tcPr>
            <w:tcW w:w="203" w:type="dxa"/>
            <w:tcBorders/>
            <w:shd w:fill="auto" w:val="clear"/>
            <w:vAlign w:val="center"/>
          </w:tcPr>
          <w:p>
            <w:pPr>
              <w:pStyle w:val="TableContents"/>
              <w:spacing w:before="0" w:after="283"/>
              <w:rPr/>
            </w:pPr>
            <w:r>
              <w:rPr/>
              <w:t> </w:t>
            </w:r>
          </w:p>
        </w:tc>
        <w:tc>
          <w:tcPr>
            <w:tcW w:w="157" w:type="dxa"/>
            <w:tcBorders/>
            <w:shd w:fill="auto" w:val="clear"/>
            <w:vAlign w:val="center"/>
          </w:tcPr>
          <w:p>
            <w:pPr>
              <w:pStyle w:val="TableContents"/>
              <w:spacing w:before="0" w:after="283"/>
              <w:rPr/>
            </w:pPr>
            <w:r>
              <w:rPr/>
              <w:t> </w:t>
            </w:r>
          </w:p>
        </w:tc>
        <w:tc>
          <w:tcPr>
            <w:tcW w:w="197" w:type="dxa"/>
            <w:tcBorders/>
            <w:shd w:fill="auto" w:val="clear"/>
            <w:vAlign w:val="center"/>
          </w:tcPr>
          <w:p>
            <w:pPr>
              <w:pStyle w:val="TableContents"/>
              <w:spacing w:before="0" w:after="283"/>
              <w:rPr/>
            </w:pPr>
            <w:r>
              <w:rPr/>
              <w:t>$</w:t>
            </w:r>
          </w:p>
        </w:tc>
        <w:tc>
          <w:tcPr>
            <w:tcW w:w="798" w:type="dxa"/>
            <w:tcBorders/>
            <w:shd w:fill="auto" w:val="clear"/>
            <w:vAlign w:val="center"/>
          </w:tcPr>
          <w:p>
            <w:pPr>
              <w:pStyle w:val="TableContents"/>
              <w:spacing w:before="0" w:after="283"/>
              <w:jc w:val="right"/>
              <w:rPr/>
            </w:pPr>
            <w:r>
              <w:rPr/>
              <w:t>34.60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92" w:type="dxa"/>
            <w:tcBorders/>
            <w:shd w:fill="auto" w:val="clear"/>
            <w:vAlign w:val="center"/>
          </w:tcPr>
          <w:p>
            <w:pPr>
              <w:pStyle w:val="TableContents"/>
              <w:spacing w:before="0" w:after="283"/>
              <w:rPr/>
            </w:pPr>
            <w:r>
              <w:rPr/>
              <w:t> </w:t>
            </w:r>
          </w:p>
        </w:tc>
        <w:tc>
          <w:tcPr>
            <w:tcW w:w="1233" w:type="dxa"/>
            <w:tcBorders/>
            <w:shd w:fill="auto" w:val="clear"/>
            <w:vAlign w:val="center"/>
          </w:tcPr>
          <w:p>
            <w:pPr>
              <w:pStyle w:val="TableContents"/>
              <w:spacing w:before="0" w:after="283"/>
              <w:jc w:val="right"/>
              <w:rPr/>
            </w:pPr>
            <w:r>
              <w:rPr/>
              <w:t>173,563</w:t>
            </w:r>
          </w:p>
        </w:tc>
        <w:tc>
          <w:tcPr>
            <w:tcW w:w="239" w:type="dxa"/>
            <w:tcBorders/>
            <w:shd w:fill="auto" w:val="clear"/>
            <w:vAlign w:val="center"/>
          </w:tcPr>
          <w:p>
            <w:pPr>
              <w:pStyle w:val="TableContents"/>
              <w:spacing w:before="0" w:after="283"/>
              <w:rPr/>
            </w:pPr>
            <w:r>
              <w:rPr/>
              <w:t> </w:t>
            </w:r>
          </w:p>
        </w:tc>
        <w:tc>
          <w:tcPr>
            <w:tcW w:w="185" w:type="dxa"/>
            <w:tcBorders/>
            <w:shd w:fill="auto" w:val="clear"/>
            <w:vAlign w:val="center"/>
          </w:tcPr>
          <w:p>
            <w:pPr>
              <w:pStyle w:val="TableContents"/>
              <w:spacing w:before="0" w:after="283"/>
              <w:rPr/>
            </w:pPr>
            <w:r>
              <w:rPr/>
              <w:t> </w:t>
            </w:r>
          </w:p>
        </w:tc>
        <w:tc>
          <w:tcPr>
            <w:tcW w:w="238" w:type="dxa"/>
            <w:tcBorders/>
            <w:shd w:fill="auto" w:val="clear"/>
            <w:vAlign w:val="center"/>
          </w:tcPr>
          <w:p>
            <w:pPr>
              <w:pStyle w:val="TableContents"/>
              <w:spacing w:before="0" w:after="283"/>
              <w:rPr/>
            </w:pPr>
            <w:r>
              <w:rPr/>
              <w:t>$</w:t>
            </w:r>
          </w:p>
        </w:tc>
        <w:tc>
          <w:tcPr>
            <w:tcW w:w="757" w:type="dxa"/>
            <w:tcBorders/>
            <w:shd w:fill="auto" w:val="clear"/>
            <w:vAlign w:val="center"/>
          </w:tcPr>
          <w:p>
            <w:pPr>
              <w:pStyle w:val="TableContents"/>
              <w:spacing w:before="0" w:after="283"/>
              <w:jc w:val="right"/>
              <w:rPr/>
            </w:pPr>
            <w:r>
              <w:rPr/>
              <w:t>7.51</w:t>
            </w:r>
          </w:p>
        </w:tc>
        <w:tc>
          <w:tcPr>
            <w:tcW w:w="75" w:type="dxa"/>
            <w:tcBorders/>
            <w:shd w:fill="auto" w:val="clear"/>
            <w:vAlign w:val="center"/>
          </w:tcPr>
          <w:p>
            <w:pPr>
              <w:pStyle w:val="TableContents"/>
              <w:spacing w:before="0" w:after="283"/>
              <w:rPr/>
            </w:pPr>
            <w:r>
              <w:rPr/>
              <w:t> </w:t>
            </w:r>
          </w:p>
        </w:tc>
      </w:tr>
      <w:tr>
        <w:trPr/>
        <w:tc>
          <w:tcPr>
            <w:tcW w:w="267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0"/>
              <w:rPr>
                <w:bdr w:val="single" w:sz="2" w:space="1" w:color="000000"/>
              </w:rPr>
            </w:pPr>
            <w:r>
              <w:rPr>
                <w:bdr w:val="single" w:sz="2" w:space="1" w:color="000000"/>
              </w:rPr>
              <w:t> </w:t>
            </w:r>
          </w:p>
        </w:tc>
        <w:tc>
          <w:tcPr>
            <w:tcW w:w="1286" w:type="dxa"/>
            <w:tcBorders/>
            <w:shd w:fill="auto" w:val="clear"/>
            <w:vAlign w:val="center"/>
          </w:tcPr>
          <w:p>
            <w:pPr>
              <w:pStyle w:val="TableContents"/>
              <w:spacing w:before="0" w:after="0"/>
              <w:rPr>
                <w:bdr w:val="single" w:sz="2" w:space="1" w:color="000000"/>
              </w:rPr>
            </w:pPr>
            <w:r>
              <w:rPr>
                <w:bdr w:val="single" w:sz="2" w:space="1" w:color="000000"/>
              </w:rPr>
              <w:t> </w:t>
            </w:r>
          </w:p>
        </w:tc>
        <w:tc>
          <w:tcPr>
            <w:tcW w:w="203" w:type="dxa"/>
            <w:tcBorders/>
            <w:shd w:fill="auto" w:val="clear"/>
            <w:vAlign w:val="center"/>
          </w:tcPr>
          <w:p>
            <w:pPr>
              <w:pStyle w:val="TableContents"/>
              <w:spacing w:before="0" w:after="283"/>
              <w:rPr/>
            </w:pPr>
            <w:r>
              <w:rPr/>
              <w:t> </w:t>
            </w:r>
          </w:p>
        </w:tc>
        <w:tc>
          <w:tcPr>
            <w:tcW w:w="157" w:type="dxa"/>
            <w:tcBorders/>
            <w:shd w:fill="auto" w:val="clear"/>
            <w:vAlign w:val="center"/>
          </w:tcPr>
          <w:p>
            <w:pPr>
              <w:pStyle w:val="TableContents"/>
              <w:spacing w:before="0" w:after="283"/>
              <w:rPr/>
            </w:pPr>
            <w:r>
              <w:rPr/>
              <w:t> </w:t>
            </w:r>
          </w:p>
        </w:tc>
        <w:tc>
          <w:tcPr>
            <w:tcW w:w="197" w:type="dxa"/>
            <w:tcBorders/>
            <w:shd w:fill="auto" w:val="clear"/>
            <w:vAlign w:val="center"/>
          </w:tcPr>
          <w:p>
            <w:pPr>
              <w:pStyle w:val="TableContents"/>
              <w:spacing w:before="0" w:after="0"/>
              <w:rPr>
                <w:bdr w:val="single" w:sz="2" w:space="1" w:color="000000"/>
              </w:rPr>
            </w:pPr>
            <w:r>
              <w:rPr>
                <w:bdr w:val="single" w:sz="2" w:space="1" w:color="000000"/>
              </w:rPr>
              <w:t> </w:t>
            </w:r>
          </w:p>
        </w:tc>
        <w:tc>
          <w:tcPr>
            <w:tcW w:w="798" w:type="dxa"/>
            <w:tcBorders/>
            <w:shd w:fill="auto" w:val="clear"/>
            <w:vAlign w:val="center"/>
          </w:tcPr>
          <w:p>
            <w:pPr>
              <w:pStyle w:val="TableContents"/>
              <w:spacing w:before="0" w:after="0"/>
              <w:rPr>
                <w:bdr w:val="single" w:sz="2" w:space="1" w:color="000000"/>
              </w:rPr>
            </w:pPr>
            <w:r>
              <w:rPr>
                <w:bdr w:val="single" w:sz="2" w:space="1" w:color="000000"/>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92" w:type="dxa"/>
            <w:tcBorders/>
            <w:shd w:fill="auto" w:val="clear"/>
            <w:vAlign w:val="center"/>
          </w:tcPr>
          <w:p>
            <w:pPr>
              <w:pStyle w:val="TableContents"/>
              <w:spacing w:before="0" w:after="0"/>
              <w:rPr>
                <w:bdr w:val="single" w:sz="2" w:space="1" w:color="000000"/>
              </w:rPr>
            </w:pPr>
            <w:r>
              <w:rPr>
                <w:bdr w:val="single" w:sz="2" w:space="1" w:color="000000"/>
              </w:rPr>
              <w:t> </w:t>
            </w:r>
          </w:p>
        </w:tc>
        <w:tc>
          <w:tcPr>
            <w:tcW w:w="1233" w:type="dxa"/>
            <w:tcBorders/>
            <w:shd w:fill="auto" w:val="clear"/>
            <w:vAlign w:val="center"/>
          </w:tcPr>
          <w:p>
            <w:pPr>
              <w:pStyle w:val="TableContents"/>
              <w:spacing w:before="0" w:after="0"/>
              <w:rPr>
                <w:bdr w:val="single" w:sz="2" w:space="1" w:color="000000"/>
              </w:rPr>
            </w:pPr>
            <w:r>
              <w:rPr>
                <w:bdr w:val="single" w:sz="2" w:space="1" w:color="000000"/>
              </w:rPr>
              <w:t> </w:t>
            </w:r>
          </w:p>
        </w:tc>
        <w:tc>
          <w:tcPr>
            <w:tcW w:w="239" w:type="dxa"/>
            <w:tcBorders/>
            <w:shd w:fill="auto" w:val="clear"/>
            <w:vAlign w:val="center"/>
          </w:tcPr>
          <w:p>
            <w:pPr>
              <w:pStyle w:val="TableContents"/>
              <w:spacing w:before="0" w:after="283"/>
              <w:rPr/>
            </w:pPr>
            <w:r>
              <w:rPr/>
              <w:t> </w:t>
            </w:r>
          </w:p>
        </w:tc>
        <w:tc>
          <w:tcPr>
            <w:tcW w:w="185" w:type="dxa"/>
            <w:tcBorders/>
            <w:shd w:fill="auto" w:val="clear"/>
            <w:vAlign w:val="center"/>
          </w:tcPr>
          <w:p>
            <w:pPr>
              <w:pStyle w:val="TableContents"/>
              <w:spacing w:before="0" w:after="283"/>
              <w:rPr/>
            </w:pPr>
            <w:r>
              <w:rPr/>
              <w:t> </w:t>
            </w:r>
          </w:p>
        </w:tc>
        <w:tc>
          <w:tcPr>
            <w:tcW w:w="238" w:type="dxa"/>
            <w:tcBorders/>
            <w:shd w:fill="auto" w:val="clear"/>
            <w:vAlign w:val="center"/>
          </w:tcPr>
          <w:p>
            <w:pPr>
              <w:pStyle w:val="TableContents"/>
              <w:spacing w:before="0" w:after="0"/>
              <w:rPr>
                <w:bdr w:val="single" w:sz="2" w:space="1" w:color="000000"/>
              </w:rPr>
            </w:pPr>
            <w:r>
              <w:rPr>
                <w:bdr w:val="single" w:sz="2" w:space="1" w:color="000000"/>
              </w:rPr>
              <w:t> </w:t>
            </w:r>
          </w:p>
        </w:tc>
        <w:tc>
          <w:tcPr>
            <w:tcW w:w="757" w:type="dxa"/>
            <w:tcBorders/>
            <w:shd w:fill="auto" w:val="clear"/>
            <w:vAlign w:val="center"/>
          </w:tcPr>
          <w:p>
            <w:pPr>
              <w:pStyle w:val="TableContents"/>
              <w:spacing w:before="0" w:after="0"/>
              <w:rPr>
                <w:bdr w:val="single" w:sz="2" w:space="1" w:color="000000"/>
              </w:rPr>
            </w:pPr>
            <w:r>
              <w:rPr>
                <w:bdr w:val="single" w:sz="2" w:space="1" w:color="000000"/>
              </w:rPr>
              <w:t> </w:t>
            </w:r>
          </w:p>
        </w:tc>
        <w:tc>
          <w:tcPr>
            <w:tcW w:w="75" w:type="dxa"/>
            <w:tcBorders/>
            <w:shd w:fill="auto" w:val="clear"/>
            <w:vAlign w:val="center"/>
          </w:tcPr>
          <w:p>
            <w:pPr>
              <w:pStyle w:val="TableContents"/>
              <w:spacing w:before="0" w:after="283"/>
              <w:rPr/>
            </w:pPr>
            <w:r>
              <w:rPr/>
              <w:t> </w:t>
            </w:r>
          </w:p>
        </w:tc>
      </w:tr>
    </w:tbl>
    <w:p>
      <w:pPr>
        <w:pStyle w:val="TextBody"/>
        <w:spacing w:before="240" w:after="0"/>
        <w:jc w:val="left"/>
        <w:rPr>
          <w:rFonts w:ascii="Times New Roman" w:hAnsi="Times New Roman"/>
          <w:spacing w:val="0"/>
          <w:sz w:val="20"/>
        </w:rPr>
      </w:pPr>
      <w:r>
        <w:rPr>
          <w:rFonts w:ascii="Times New Roman" w:hAnsi="Times New Roman"/>
          <w:spacing w:val="0"/>
          <w:sz w:val="20"/>
        </w:rPr>
        <w:t>The total intrinsic value of options exercised during fiscal 2020, 2019, and 2018 was $963, $3,968, and $19,524, respectively. The unrecognized expense related to our stock option plan totaled approximately $583 as of January 31, 2021 and will be expensed over a weighted average of 1.0 years. For options outstanding at January 31, 2021, the weighted average remaining contractual life was 5.1 years and the aggregate intrinsic value was $11,000. For options exercisable at January 31, 2021, the weighted average remaining contractual life was 4.7 years and the aggregate intrinsic value was $11,000.</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Transactions related to restricted stock unit awards during fiscal 2020 were as follows: </w:t>
      </w:r>
    </w:p>
    <w:p>
      <w:pPr>
        <w:pStyle w:val="TextBody"/>
        <w:spacing w:before="0" w:after="0"/>
        <w:jc w:val="left"/>
        <w:rPr>
          <w:spacing w:val="0"/>
        </w:rPr>
      </w:pPr>
      <w:r>
        <w:rPr>
          <w:spacing w:val="0"/>
        </w:rPr>
        <w:t> </w:t>
      </w:r>
    </w:p>
    <w:tbl>
      <w:tblPr>
        <w:tblW w:w="5825" w:type="dxa"/>
        <w:jc w:val="left"/>
        <w:tblInd w:w="0" w:type="dxa"/>
        <w:tblCellMar>
          <w:top w:w="0" w:type="dxa"/>
          <w:left w:w="0" w:type="dxa"/>
          <w:bottom w:w="0" w:type="dxa"/>
          <w:right w:w="0" w:type="dxa"/>
        </w:tblCellMar>
      </w:tblPr>
      <w:tblGrid>
        <w:gridCol w:w="3140"/>
        <w:gridCol w:w="120"/>
        <w:gridCol w:w="60"/>
        <w:gridCol w:w="980"/>
        <w:gridCol w:w="155"/>
        <w:gridCol w:w="120"/>
        <w:gridCol w:w="235"/>
        <w:gridCol w:w="940"/>
        <w:gridCol w:w="75"/>
      </w:tblGrid>
      <w:tr>
        <w:trPr/>
        <w:tc>
          <w:tcPr>
            <w:tcW w:w="314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c>
          <w:tcPr>
            <w:tcW w:w="940"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314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040"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Shares</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175"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Weighted</w:t>
              <w:br/>
              <w:t>Avg</w:t>
              <w:br/>
              <w:t>Grant Date</w:t>
              <w:br/>
              <w:t>Fair Value</w:t>
            </w:r>
          </w:p>
        </w:tc>
        <w:tc>
          <w:tcPr>
            <w:tcW w:w="75" w:type="dxa"/>
            <w:tcBorders/>
            <w:shd w:fill="auto" w:val="clear"/>
            <w:vAlign w:val="center"/>
          </w:tcPr>
          <w:p>
            <w:pPr>
              <w:pStyle w:val="TableContents"/>
              <w:spacing w:before="0" w:after="283"/>
              <w:rPr/>
            </w:pPr>
            <w:r>
              <w:rPr/>
              <w:t> </w:t>
            </w:r>
          </w:p>
        </w:tc>
      </w:tr>
      <w:tr>
        <w:trPr/>
        <w:tc>
          <w:tcPr>
            <w:tcW w:w="314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Outstanding at February 2, 2020</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216,815</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235" w:type="dxa"/>
            <w:tcBorders/>
            <w:shd w:fill="CCEEFF" w:val="clear"/>
            <w:vAlign w:val="center"/>
          </w:tcPr>
          <w:p>
            <w:pPr>
              <w:pStyle w:val="TableContents"/>
              <w:spacing w:before="0" w:after="283"/>
              <w:rPr/>
            </w:pPr>
            <w:r>
              <w:rPr/>
              <w:t>$</w:t>
            </w:r>
          </w:p>
        </w:tc>
        <w:tc>
          <w:tcPr>
            <w:tcW w:w="940" w:type="dxa"/>
            <w:tcBorders/>
            <w:shd w:fill="CCEEFF" w:val="clear"/>
            <w:vAlign w:val="center"/>
          </w:tcPr>
          <w:p>
            <w:pPr>
              <w:pStyle w:val="TableContents"/>
              <w:spacing w:before="0" w:after="283"/>
              <w:jc w:val="right"/>
              <w:rPr/>
            </w:pPr>
            <w:r>
              <w:rPr/>
              <w:t>51.58</w:t>
            </w:r>
          </w:p>
        </w:tc>
        <w:tc>
          <w:tcPr>
            <w:tcW w:w="75" w:type="dxa"/>
            <w:tcBorders/>
            <w:shd w:fill="CCEEFF" w:val="clear"/>
            <w:vAlign w:val="center"/>
          </w:tcPr>
          <w:p>
            <w:pPr>
              <w:pStyle w:val="TableContents"/>
              <w:spacing w:before="0" w:after="283"/>
              <w:rPr/>
            </w:pPr>
            <w:r>
              <w:rPr/>
              <w:t> </w:t>
            </w:r>
          </w:p>
        </w:tc>
      </w:tr>
      <w:tr>
        <w:trPr/>
        <w:tc>
          <w:tcPr>
            <w:tcW w:w="314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Granted</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1,064,336</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35" w:type="dxa"/>
            <w:tcBorders/>
            <w:shd w:fill="auto" w:val="clear"/>
            <w:vAlign w:val="center"/>
          </w:tcPr>
          <w:p>
            <w:pPr>
              <w:pStyle w:val="TableContents"/>
              <w:spacing w:before="0" w:after="283"/>
              <w:rPr/>
            </w:pPr>
            <w:r>
              <w:rPr/>
              <w:t> </w:t>
            </w:r>
          </w:p>
        </w:tc>
        <w:tc>
          <w:tcPr>
            <w:tcW w:w="940" w:type="dxa"/>
            <w:tcBorders/>
            <w:shd w:fill="auto" w:val="clear"/>
            <w:vAlign w:val="center"/>
          </w:tcPr>
          <w:p>
            <w:pPr>
              <w:pStyle w:val="TableContents"/>
              <w:spacing w:before="0" w:after="283"/>
              <w:jc w:val="right"/>
              <w:rPr/>
            </w:pPr>
            <w:r>
              <w:rPr/>
              <w:t>12.75</w:t>
            </w:r>
          </w:p>
        </w:tc>
        <w:tc>
          <w:tcPr>
            <w:tcW w:w="75" w:type="dxa"/>
            <w:tcBorders/>
            <w:shd w:fill="auto" w:val="clear"/>
            <w:vAlign w:val="center"/>
          </w:tcPr>
          <w:p>
            <w:pPr>
              <w:pStyle w:val="TableContents"/>
              <w:spacing w:before="0" w:after="283"/>
              <w:rPr/>
            </w:pPr>
            <w:r>
              <w:rPr/>
              <w:t> </w:t>
            </w:r>
          </w:p>
        </w:tc>
      </w:tr>
      <w:tr>
        <w:trPr/>
        <w:tc>
          <w:tcPr>
            <w:tcW w:w="314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Change in units based on performance</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4,352</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235" w:type="dxa"/>
            <w:tcBorders/>
            <w:shd w:fill="CCEEFF" w:val="clear"/>
            <w:vAlign w:val="center"/>
          </w:tcPr>
          <w:p>
            <w:pPr>
              <w:pStyle w:val="TableContents"/>
              <w:spacing w:before="0" w:after="283"/>
              <w:rPr/>
            </w:pPr>
            <w:r>
              <w:rPr/>
              <w:t> </w:t>
            </w:r>
          </w:p>
        </w:tc>
        <w:tc>
          <w:tcPr>
            <w:tcW w:w="940" w:type="dxa"/>
            <w:tcBorders/>
            <w:shd w:fill="CCEEFF" w:val="clear"/>
            <w:vAlign w:val="center"/>
          </w:tcPr>
          <w:p>
            <w:pPr>
              <w:pStyle w:val="TableContents"/>
              <w:spacing w:before="0" w:after="283"/>
              <w:jc w:val="right"/>
              <w:rPr/>
            </w:pPr>
            <w:r>
              <w:rPr/>
              <w:t>59.67</w:t>
            </w:r>
          </w:p>
        </w:tc>
        <w:tc>
          <w:tcPr>
            <w:tcW w:w="75" w:type="dxa"/>
            <w:tcBorders/>
            <w:shd w:fill="CCEEFF" w:val="clear"/>
            <w:vAlign w:val="center"/>
          </w:tcPr>
          <w:p>
            <w:pPr>
              <w:pStyle w:val="TableContents"/>
              <w:spacing w:before="0" w:after="283"/>
              <w:rPr/>
            </w:pPr>
            <w:r>
              <w:rPr/>
              <w:t> </w:t>
            </w:r>
          </w:p>
        </w:tc>
      </w:tr>
      <w:tr>
        <w:trPr/>
        <w:tc>
          <w:tcPr>
            <w:tcW w:w="314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Vested</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(104,752</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35" w:type="dxa"/>
            <w:tcBorders/>
            <w:shd w:fill="auto" w:val="clear"/>
            <w:vAlign w:val="center"/>
          </w:tcPr>
          <w:p>
            <w:pPr>
              <w:pStyle w:val="TableContents"/>
              <w:spacing w:before="0" w:after="283"/>
              <w:rPr/>
            </w:pPr>
            <w:r>
              <w:rPr/>
              <w:t> </w:t>
            </w:r>
          </w:p>
        </w:tc>
        <w:tc>
          <w:tcPr>
            <w:tcW w:w="940" w:type="dxa"/>
            <w:tcBorders/>
            <w:shd w:fill="auto" w:val="clear"/>
            <w:vAlign w:val="center"/>
          </w:tcPr>
          <w:p>
            <w:pPr>
              <w:pStyle w:val="TableContents"/>
              <w:spacing w:before="0" w:after="283"/>
              <w:jc w:val="right"/>
              <w:rPr/>
            </w:pPr>
            <w:r>
              <w:rPr/>
              <w:t>38.50</w:t>
            </w:r>
          </w:p>
        </w:tc>
        <w:tc>
          <w:tcPr>
            <w:tcW w:w="75" w:type="dxa"/>
            <w:tcBorders/>
            <w:shd w:fill="auto" w:val="clear"/>
            <w:vAlign w:val="center"/>
          </w:tcPr>
          <w:p>
            <w:pPr>
              <w:pStyle w:val="TableContents"/>
              <w:spacing w:before="0" w:after="283"/>
              <w:rPr/>
            </w:pPr>
            <w:r>
              <w:rPr/>
              <w:t> </w:t>
            </w:r>
          </w:p>
        </w:tc>
      </w:tr>
      <w:tr>
        <w:trPr/>
        <w:tc>
          <w:tcPr>
            <w:tcW w:w="3140"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Forfeited</w:t>
            </w:r>
          </w:p>
        </w:tc>
        <w:tc>
          <w:tcPr>
            <w:tcW w:w="12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980" w:type="dxa"/>
            <w:tcBorders/>
            <w:shd w:fill="CCEEFF" w:val="clear"/>
            <w:vAlign w:val="center"/>
          </w:tcPr>
          <w:p>
            <w:pPr>
              <w:pStyle w:val="TableContents"/>
              <w:spacing w:before="0" w:after="283"/>
              <w:jc w:val="right"/>
              <w:rPr/>
            </w:pPr>
            <w:r>
              <w:rPr/>
              <w:t>(64,410</w:t>
            </w:r>
          </w:p>
        </w:tc>
        <w:tc>
          <w:tcPr>
            <w:tcW w:w="155"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235" w:type="dxa"/>
            <w:tcBorders/>
            <w:shd w:fill="CCEEFF" w:val="clear"/>
            <w:vAlign w:val="center"/>
          </w:tcPr>
          <w:p>
            <w:pPr>
              <w:pStyle w:val="TableContents"/>
              <w:spacing w:before="0" w:after="283"/>
              <w:rPr/>
            </w:pPr>
            <w:r>
              <w:rPr/>
              <w:t> </w:t>
            </w:r>
          </w:p>
        </w:tc>
        <w:tc>
          <w:tcPr>
            <w:tcW w:w="940" w:type="dxa"/>
            <w:tcBorders/>
            <w:shd w:fill="CCEEFF" w:val="clear"/>
            <w:vAlign w:val="center"/>
          </w:tcPr>
          <w:p>
            <w:pPr>
              <w:pStyle w:val="TableContents"/>
              <w:spacing w:before="0" w:after="283"/>
              <w:jc w:val="right"/>
              <w:rPr/>
            </w:pPr>
            <w:r>
              <w:rPr/>
              <w:t>25.58</w:t>
            </w:r>
          </w:p>
        </w:tc>
        <w:tc>
          <w:tcPr>
            <w:tcW w:w="75" w:type="dxa"/>
            <w:tcBorders/>
            <w:shd w:fill="CCEEFF" w:val="clear"/>
            <w:vAlign w:val="center"/>
          </w:tcPr>
          <w:p>
            <w:pPr>
              <w:pStyle w:val="TableContents"/>
              <w:spacing w:before="0" w:after="283"/>
              <w:rPr/>
            </w:pPr>
            <w:r>
              <w:rPr/>
              <w:t> </w:t>
            </w:r>
          </w:p>
        </w:tc>
      </w:tr>
      <w:tr>
        <w:trPr/>
        <w:tc>
          <w:tcPr>
            <w:tcW w:w="314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single" w:sz="2" w:space="1" w:color="000000"/>
              </w:rPr>
            </w:pPr>
            <w:r>
              <w:rPr>
                <w:bdr w:val="single" w:sz="2" w:space="1" w:color="000000"/>
              </w:rPr>
              <w:t> </w:t>
            </w:r>
          </w:p>
        </w:tc>
        <w:tc>
          <w:tcPr>
            <w:tcW w:w="980" w:type="dxa"/>
            <w:tcBorders/>
            <w:shd w:fill="auto" w:val="clear"/>
            <w:vAlign w:val="center"/>
          </w:tcPr>
          <w:p>
            <w:pPr>
              <w:pStyle w:val="TableContents"/>
              <w:spacing w:before="0" w:after="0"/>
              <w:rPr>
                <w:bdr w:val="single" w:sz="2" w:space="1" w:color="000000"/>
              </w:rPr>
            </w:pPr>
            <w:r>
              <w:rPr>
                <w:bdr w:val="single" w:sz="2" w:space="1" w:color="000000"/>
              </w:rPr>
              <w:t> </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35" w:type="dxa"/>
            <w:tcBorders/>
            <w:shd w:fill="auto" w:val="clear"/>
            <w:vAlign w:val="center"/>
          </w:tcPr>
          <w:p>
            <w:pPr>
              <w:pStyle w:val="TableContents"/>
              <w:spacing w:before="0" w:after="0"/>
              <w:rPr>
                <w:bdr w:val="single" w:sz="2" w:space="1" w:color="000000"/>
              </w:rPr>
            </w:pPr>
            <w:r>
              <w:rPr>
                <w:bdr w:val="single" w:sz="2" w:space="1" w:color="000000"/>
              </w:rPr>
              <w:t> </w:t>
            </w:r>
          </w:p>
        </w:tc>
        <w:tc>
          <w:tcPr>
            <w:tcW w:w="940" w:type="dxa"/>
            <w:tcBorders/>
            <w:shd w:fill="auto" w:val="clear"/>
            <w:vAlign w:val="center"/>
          </w:tcPr>
          <w:p>
            <w:pPr>
              <w:pStyle w:val="TableContents"/>
              <w:spacing w:before="0" w:after="0"/>
              <w:rPr>
                <w:bdr w:val="single" w:sz="2" w:space="1" w:color="000000"/>
              </w:rPr>
            </w:pPr>
            <w:r>
              <w:rPr>
                <w:bdr w:val="single" w:sz="2" w:space="1" w:color="000000"/>
              </w:rPr>
              <w:t> </w:t>
            </w:r>
          </w:p>
        </w:tc>
        <w:tc>
          <w:tcPr>
            <w:tcW w:w="75" w:type="dxa"/>
            <w:tcBorders/>
            <w:shd w:fill="auto" w:val="clear"/>
            <w:vAlign w:val="center"/>
          </w:tcPr>
          <w:p>
            <w:pPr>
              <w:pStyle w:val="TableContents"/>
              <w:spacing w:before="0" w:after="283"/>
              <w:rPr/>
            </w:pPr>
            <w:r>
              <w:rPr/>
              <w:t> </w:t>
            </w:r>
          </w:p>
        </w:tc>
      </w:tr>
      <w:tr>
        <w:trPr/>
        <w:tc>
          <w:tcPr>
            <w:tcW w:w="3140"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 xml:space="preserve">Outstanding at January 31, </w:t>
            </w:r>
          </w:p>
          <w:p>
            <w:pPr>
              <w:pStyle w:val="TableContents"/>
              <w:spacing w:before="0" w:after="0"/>
              <w:rPr>
                <w:rFonts w:ascii="Times New Roman" w:hAnsi="Times New Roman"/>
                <w:spacing w:val="0"/>
                <w:sz w:val="20"/>
              </w:rPr>
            </w:pPr>
            <w:r>
              <w:rPr>
                <w:rFonts w:ascii="Times New Roman" w:hAnsi="Times New Roman"/>
                <w:spacing w:val="0"/>
                <w:sz w:val="20"/>
              </w:rPr>
              <w:t>202</w:t>
            </w:r>
          </w:p>
          <w:p>
            <w:pPr>
              <w:pStyle w:val="TableContents"/>
              <w:spacing w:before="0" w:after="0"/>
              <w:rPr>
                <w:rFonts w:ascii="Times New Roman" w:hAnsi="Times New Roman"/>
                <w:spacing w:val="0"/>
                <w:sz w:val="20"/>
              </w:rPr>
            </w:pPr>
            <w:r>
              <w:rPr>
                <w:rFonts w:ascii="Times New Roman" w:hAnsi="Times New Roman"/>
                <w:spacing w:val="0"/>
                <w:sz w:val="20"/>
              </w:rPr>
              <w:t>1</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80" w:type="dxa"/>
            <w:tcBorders/>
            <w:shd w:fill="auto" w:val="clear"/>
            <w:vAlign w:val="center"/>
          </w:tcPr>
          <w:p>
            <w:pPr>
              <w:pStyle w:val="TableContents"/>
              <w:spacing w:before="0" w:after="283"/>
              <w:jc w:val="right"/>
              <w:rPr/>
            </w:pPr>
            <w:r>
              <w:rPr/>
              <w:t>1,116,341</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35" w:type="dxa"/>
            <w:tcBorders/>
            <w:shd w:fill="auto" w:val="clear"/>
            <w:vAlign w:val="center"/>
          </w:tcPr>
          <w:p>
            <w:pPr>
              <w:pStyle w:val="TableContents"/>
              <w:spacing w:before="0" w:after="283"/>
              <w:rPr/>
            </w:pPr>
            <w:r>
              <w:rPr/>
              <w:t>$</w:t>
            </w:r>
          </w:p>
        </w:tc>
        <w:tc>
          <w:tcPr>
            <w:tcW w:w="940" w:type="dxa"/>
            <w:tcBorders/>
            <w:shd w:fill="auto" w:val="clear"/>
            <w:vAlign w:val="center"/>
          </w:tcPr>
          <w:p>
            <w:pPr>
              <w:pStyle w:val="TableContents"/>
              <w:spacing w:before="0" w:after="283"/>
              <w:jc w:val="right"/>
              <w:rPr/>
            </w:pPr>
            <w:r>
              <w:rPr/>
              <w:t>17.32</w:t>
            </w:r>
          </w:p>
        </w:tc>
        <w:tc>
          <w:tcPr>
            <w:tcW w:w="75" w:type="dxa"/>
            <w:tcBorders/>
            <w:shd w:fill="auto" w:val="clear"/>
            <w:vAlign w:val="center"/>
          </w:tcPr>
          <w:p>
            <w:pPr>
              <w:pStyle w:val="TableContents"/>
              <w:spacing w:before="0" w:after="283"/>
              <w:rPr/>
            </w:pPr>
            <w:r>
              <w:rPr/>
              <w:t> </w:t>
            </w:r>
          </w:p>
        </w:tc>
      </w:tr>
      <w:tr>
        <w:trPr/>
        <w:tc>
          <w:tcPr>
            <w:tcW w:w="314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0"/>
              <w:rPr>
                <w:bdr w:val="double" w:sz="6" w:space="1" w:color="000000"/>
              </w:rPr>
            </w:pPr>
            <w:r>
              <w:rPr>
                <w:bdr w:val="double" w:sz="6" w:space="1" w:color="000000"/>
              </w:rPr>
              <w:t> </w:t>
            </w:r>
          </w:p>
        </w:tc>
        <w:tc>
          <w:tcPr>
            <w:tcW w:w="980" w:type="dxa"/>
            <w:tcBorders/>
            <w:shd w:fill="auto" w:val="clear"/>
            <w:vAlign w:val="center"/>
          </w:tcPr>
          <w:p>
            <w:pPr>
              <w:pStyle w:val="TableContents"/>
              <w:spacing w:before="0" w:after="0"/>
              <w:rPr>
                <w:bdr w:val="double" w:sz="6" w:space="1" w:color="000000"/>
              </w:rPr>
            </w:pPr>
            <w:r>
              <w:rPr>
                <w:bdr w:val="double" w:sz="6" w:space="1" w:color="000000"/>
              </w:rPr>
              <w:t> </w:t>
            </w:r>
          </w:p>
        </w:tc>
        <w:tc>
          <w:tcPr>
            <w:tcW w:w="15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235" w:type="dxa"/>
            <w:tcBorders/>
            <w:shd w:fill="auto" w:val="clear"/>
            <w:vAlign w:val="center"/>
          </w:tcPr>
          <w:p>
            <w:pPr>
              <w:pStyle w:val="TableContents"/>
              <w:spacing w:before="0" w:after="0"/>
              <w:rPr>
                <w:bdr w:val="double" w:sz="6" w:space="1" w:color="000000"/>
              </w:rPr>
            </w:pPr>
            <w:r>
              <w:rPr>
                <w:bdr w:val="double" w:sz="6" w:space="1" w:color="000000"/>
              </w:rPr>
              <w:t> </w:t>
            </w:r>
          </w:p>
        </w:tc>
        <w:tc>
          <w:tcPr>
            <w:tcW w:w="940" w:type="dxa"/>
            <w:tcBorders/>
            <w:shd w:fill="auto" w:val="clear"/>
            <w:vAlign w:val="center"/>
          </w:tcPr>
          <w:p>
            <w:pPr>
              <w:pStyle w:val="TableContents"/>
              <w:spacing w:before="0" w:after="0"/>
              <w:rPr>
                <w:bdr w:val="double" w:sz="6" w:space="1" w:color="000000"/>
              </w:rPr>
            </w:pPr>
            <w:r>
              <w:rPr>
                <w:bdr w:val="double" w:sz="6" w:space="1" w:color="000000"/>
              </w:rPr>
              <w:t> </w:t>
            </w:r>
          </w:p>
        </w:tc>
        <w:tc>
          <w:tcPr>
            <w:tcW w:w="75" w:type="dxa"/>
            <w:tcBorders/>
            <w:shd w:fill="auto" w:val="clear"/>
            <w:vAlign w:val="center"/>
          </w:tcPr>
          <w:p>
            <w:pPr>
              <w:pStyle w:val="TableContents"/>
              <w:spacing w:before="0" w:after="283"/>
              <w:rPr/>
            </w:pPr>
            <w:r>
              <w:rPr/>
              <w:t> </w:t>
            </w:r>
          </w:p>
        </w:tc>
      </w:tr>
    </w:tbl>
    <w:p>
      <w:pPr>
        <w:pStyle w:val="TextBody"/>
        <w:spacing w:before="240" w:after="0"/>
        <w:jc w:val="left"/>
        <w:rPr>
          <w:rFonts w:ascii="Times New Roman" w:hAnsi="Times New Roman"/>
          <w:spacing w:val="0"/>
          <w:sz w:val="20"/>
        </w:rPr>
      </w:pPr>
      <w:r>
        <w:rPr>
          <w:rFonts w:ascii="Times New Roman" w:hAnsi="Times New Roman"/>
          <w:spacing w:val="0"/>
          <w:sz w:val="20"/>
        </w:rPr>
        <w:t>The weighted average grant-date fair values of restricted stock units granted during fiscal 2020, 2019 and 2018 were $12.75, $51.44, and $46.50, respectively. The total fair value of restricted stock units vested during fiscal 2020, 2019, and 2018 was approximately $1,518,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5,259, and $4,812, </w:t>
      </w:r>
    </w:p>
    <w:p>
      <w:pPr>
        <w:pStyle w:val="TextBody"/>
        <w:spacing w:before="240" w:after="0"/>
        <w:jc w:val="left"/>
        <w:rPr>
          <w:rFonts w:ascii="Times New Roman" w:hAnsi="Times New Roman"/>
          <w:spacing w:val="0"/>
          <w:sz w:val="20"/>
        </w:rPr>
      </w:pPr>
      <w:r>
        <w:rPr>
          <w:rFonts w:ascii="Times New Roman" w:hAnsi="Times New Roman"/>
          <w:spacing w:val="0"/>
          <w:sz w:val="20"/>
        </w:rPr>
        <w:t>respectively. The unrecognized expense related to our restricted stock units was approximately $</w:t>
      </w:r>
    </w:p>
    <w:p>
      <w:pPr>
        <w:pStyle w:val="TextBody"/>
        <w:spacing w:before="240" w:after="0"/>
        <w:jc w:val="left"/>
        <w:rPr>
          <w:rFonts w:ascii="Times New Roman" w:hAnsi="Times New Roman"/>
          <w:spacing w:val="0"/>
          <w:sz w:val="20"/>
        </w:rPr>
      </w:pPr>
      <w:r>
        <w:rPr>
          <w:rFonts w:ascii="Times New Roman" w:hAnsi="Times New Roman"/>
          <w:spacing w:val="0"/>
          <w:sz w:val="20"/>
        </w:rPr>
        <w:t xml:space="preserve">7,009 as of January 31, 2021 and will be expensed over a weighted average of 2.0 years. </w:t>
      </w:r>
    </w:p>
    <w:p>
      <w:pPr>
        <w:pStyle w:val="TextBody"/>
        <w:spacing w:before="360" w:after="0"/>
        <w:jc w:val="left"/>
        <w:rPr>
          <w:rFonts w:ascii="Times New Roman" w:hAnsi="Times New Roman"/>
          <w:b/>
          <w:spacing w:val="0"/>
          <w:sz w:val="20"/>
        </w:rPr>
      </w:pPr>
      <w:r>
        <w:rPr>
          <w:rFonts w:ascii="Times New Roman" w:hAnsi="Times New Roman"/>
          <w:b/>
          <w:spacing w:val="0"/>
          <w:sz w:val="20"/>
        </w:rPr>
        <w:t xml:space="preserve">Note 9: Employee Benefit Plans </w:t>
      </w:r>
    </w:p>
    <w:p>
      <w:pPr>
        <w:pStyle w:val="TextBody"/>
        <w:spacing w:before="120" w:after="0"/>
        <w:jc w:val="left"/>
        <w:rPr>
          <w:rFonts w:ascii="Times New Roman" w:hAnsi="Times New Roman"/>
          <w:sz w:val="20"/>
        </w:rPr>
      </w:pPr>
      <w:r>
        <w:rPr>
          <w:rFonts w:ascii="Times New Roman" w:hAnsi="Times New Roman"/>
          <w:sz w:val="20"/>
        </w:rPr>
        <w:t>We sponsor a defined contribution plan to provide retirement benefits under the provisions of Section 401(k) of the Internal Revenue Code (the “401(k) Savings Plan”) for all employees who have completed a specified term of service. Employees may elect to contribute up to 50% of their eligible compensation on a pretax basis. Under the</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F-25 </w:t>
      </w:r>
    </w:p>
    <w:p>
      <w:pPr>
        <w:pStyle w:val="HorizontalLine"/>
        <w:rPr/>
      </w:pPr>
      <w:r>
        <w:rPr/>
      </w:r>
    </w:p>
    <w:p>
      <w:pPr>
        <w:pStyle w:val="TextBody"/>
        <w:spacing w:before="0" w:after="0"/>
        <w:rPr/>
      </w:pPr>
      <w:hyperlink w:anchor="toc">
        <w:r>
          <w:rPr>
            <w:rStyle w:val="InternetLink"/>
            <w:b/>
            <w:sz w:val="20"/>
          </w:rPr>
          <w:t>Table of Contents</w:t>
        </w:r>
      </w:hyperlink>
    </w:p>
    <w:p>
      <w:pPr>
        <w:pStyle w:val="TextBody"/>
        <w:spacing w:before="0" w:after="0"/>
        <w:ind w:left="0" w:right="0" w:hanging="0"/>
        <w:jc w:val="left"/>
        <w:rPr>
          <w:rFonts w:ascii="Times New Roman" w:hAnsi="Times New Roman"/>
          <w:sz w:val="20"/>
        </w:rPr>
      </w:pPr>
      <w:r>
        <w:rPr>
          <w:rFonts w:ascii="Times New Roman" w:hAnsi="Times New Roman"/>
          <w:sz w:val="20"/>
        </w:rPr>
        <w:t xml:space="preserve">401(k) Savings Plan, the Company may match 25% of employee contributions, up to a maximum of 6% of eligible employee compensation, as defined. If a specified performance target is achieved, there may be an annual discretionary contribution by the Company, based on eligible employee contributions. As a result of the impacts to our business arising from the </w:t>
      </w:r>
    </w:p>
    <w:p>
      <w:pPr>
        <w:pStyle w:val="TextBody"/>
        <w:spacing w:before="0" w:after="0"/>
        <w:jc w:val="left"/>
        <w:rPr>
          <w:rFonts w:ascii="Times New Roman" w:hAnsi="Times New Roman"/>
          <w:spacing w:val="0"/>
          <w:sz w:val="20"/>
        </w:rPr>
      </w:pPr>
      <w:r>
        <w:rPr>
          <w:rFonts w:ascii="Times New Roman" w:hAnsi="Times New Roman"/>
          <w:spacing w:val="0"/>
          <w:sz w:val="20"/>
        </w:rPr>
        <w:t>COVID-19</w:t>
      </w:r>
    </w:p>
    <w:p>
      <w:pPr>
        <w:pStyle w:val="TextBody"/>
        <w:spacing w:before="0" w:after="0"/>
        <w:jc w:val="left"/>
        <w:rPr>
          <w:rFonts w:ascii="Times New Roman" w:hAnsi="Times New Roman"/>
          <w:sz w:val="20"/>
        </w:rPr>
      </w:pPr>
      <w:r>
        <w:rPr>
          <w:rFonts w:ascii="Times New Roman" w:hAnsi="Times New Roman"/>
          <w:sz w:val="20"/>
        </w:rPr>
        <w:t>pandemic, the Company suspended matching of employee contributions during fiscal 2020. Expenses related to Company contributions to the 401(k) Savings Plan were $0, $817, and $692 for fiscal 2020, 2019, and 2018, respectively. </w:t>
      </w:r>
    </w:p>
    <w:p>
      <w:pPr>
        <w:pStyle w:val="TextBody"/>
        <w:spacing w:before="0" w:after="0"/>
        <w:jc w:val="left"/>
        <w:rPr>
          <w:spacing w:val="0"/>
        </w:rPr>
      </w:pPr>
      <w:r>
        <w:rPr>
          <w:spacing w:val="0"/>
        </w:rPr>
        <w:t> </w:t>
      </w:r>
    </w:p>
    <w:p>
      <w:pPr>
        <w:pStyle w:val="TextBody"/>
        <w:spacing w:before="0" w:after="0"/>
        <w:jc w:val="left"/>
        <w:rPr/>
      </w:pPr>
      <w:r>
        <w:rPr/>
        <w:t> </w:t>
      </w:r>
    </w:p>
    <w:p>
      <w:pPr>
        <w:pStyle w:val="TextBody"/>
        <w:spacing w:lineRule="atLeast" w:line="240" w:before="240" w:after="0"/>
        <w:jc w:val="left"/>
        <w:rPr>
          <w:rFonts w:ascii="Times New Roman" w:hAnsi="Times New Roman"/>
          <w:spacing w:val="0"/>
          <w:sz w:val="20"/>
        </w:rPr>
      </w:pPr>
      <w:r>
        <w:rPr>
          <w:rFonts w:ascii="Times New Roman" w:hAnsi="Times New Roman"/>
          <w:spacing w:val="0"/>
          <w:sz w:val="20"/>
        </w:rPr>
        <w:t>The Company offers a deferred compensation plan that permits a select group of management or highly compensated employees to defer a portion of their compensation. Under this plan, eligible employees may elect</w:t>
      </w:r>
    </w:p>
    <w:p>
      <w:pPr>
        <w:pStyle w:val="TextBody"/>
        <w:spacing w:lineRule="atLeast" w:line="240" w:before="240" w:after="0"/>
        <w:jc w:val="left"/>
        <w:rPr>
          <w:spacing w:val="0"/>
        </w:rPr>
      </w:pPr>
      <w:r>
        <w:rPr>
          <w:spacing w:val="0"/>
        </w:rPr>
        <w:t> </w:t>
      </w:r>
    </w:p>
    <w:p>
      <w:pPr>
        <w:pStyle w:val="TextBody"/>
        <w:spacing w:lineRule="atLeast" w:line="240" w:before="240" w:after="0"/>
        <w:jc w:val="left"/>
        <w:rPr>
          <w:rFonts w:ascii="Times New Roman" w:hAnsi="Times New Roman"/>
          <w:spacing w:val="0"/>
          <w:sz w:val="20"/>
        </w:rPr>
      </w:pPr>
      <w:r>
        <w:rPr>
          <w:rFonts w:ascii="Times New Roman" w:hAnsi="Times New Roman"/>
          <w:spacing w:val="0"/>
          <w:sz w:val="20"/>
        </w:rPr>
        <w:t xml:space="preserve">to defer up to </w:t>
      </w:r>
    </w:p>
    <w:p>
      <w:pPr>
        <w:pStyle w:val="TextBody"/>
        <w:spacing w:lineRule="atLeast" w:line="240" w:before="240" w:after="0"/>
        <w:jc w:val="left"/>
        <w:rPr>
          <w:rFonts w:ascii="Times New Roman" w:hAnsi="Times New Roman"/>
          <w:sz w:val="20"/>
        </w:rPr>
      </w:pPr>
      <w:r>
        <w:rPr>
          <w:rFonts w:ascii="Times New Roman" w:hAnsi="Times New Roman"/>
          <w:sz w:val="20"/>
        </w:rPr>
        <w:t>50</w:t>
      </w:r>
    </w:p>
    <w:p>
      <w:pPr>
        <w:pStyle w:val="TextBody"/>
        <w:spacing w:lineRule="atLeast" w:line="240" w:before="240" w:after="0"/>
        <w:jc w:val="left"/>
        <w:rPr>
          <w:rFonts w:ascii="Times New Roman" w:hAnsi="Times New Roman"/>
          <w:spacing w:val="0"/>
          <w:sz w:val="20"/>
        </w:rPr>
      </w:pPr>
      <w:r>
        <w:rPr>
          <w:rFonts w:ascii="Times New Roman" w:hAnsi="Times New Roman"/>
          <w:spacing w:val="0"/>
          <w:sz w:val="20"/>
        </w:rPr>
        <w:t xml:space="preserve">% of their base salary on a </w:t>
      </w:r>
    </w:p>
    <w:p>
      <w:pPr>
        <w:pStyle w:val="TextBody"/>
        <w:spacing w:lineRule="atLeast" w:line="240" w:before="240" w:after="0"/>
        <w:jc w:val="left"/>
        <w:rPr>
          <w:rFonts w:ascii="Times New Roman" w:hAnsi="Times New Roman"/>
          <w:spacing w:val="0"/>
          <w:sz w:val="20"/>
        </w:rPr>
      </w:pPr>
      <w:r>
        <w:rPr>
          <w:rFonts w:ascii="Times New Roman" w:hAnsi="Times New Roman"/>
          <w:spacing w:val="0"/>
          <w:sz w:val="20"/>
        </w:rPr>
        <w:t>pre-tax</w:t>
      </w:r>
    </w:p>
    <w:p>
      <w:pPr>
        <w:pStyle w:val="TextBody"/>
        <w:spacing w:lineRule="atLeast" w:line="240" w:before="240" w:after="0"/>
        <w:jc w:val="left"/>
        <w:rPr>
          <w:rFonts w:ascii="Times New Roman" w:hAnsi="Times New Roman"/>
          <w:spacing w:val="0"/>
          <w:sz w:val="20"/>
        </w:rPr>
      </w:pPr>
      <w:r>
        <w:rPr>
          <w:rFonts w:ascii="Times New Roman" w:hAnsi="Times New Roman"/>
          <w:spacing w:val="0"/>
          <w:sz w:val="20"/>
        </w:rPr>
        <w:t xml:space="preserve">basis each plan year. Under the deferred compensation plan, the Company may match </w:t>
      </w:r>
    </w:p>
    <w:p>
      <w:pPr>
        <w:pStyle w:val="TextBody"/>
        <w:spacing w:lineRule="atLeast" w:line="240" w:before="240" w:after="0"/>
        <w:jc w:val="left"/>
        <w:rPr>
          <w:rFonts w:ascii="Times New Roman" w:hAnsi="Times New Roman"/>
          <w:sz w:val="20"/>
        </w:rPr>
      </w:pPr>
      <w:r>
        <w:rPr>
          <w:rFonts w:ascii="Times New Roman" w:hAnsi="Times New Roman"/>
          <w:sz w:val="20"/>
        </w:rPr>
        <w:t>25</w:t>
      </w:r>
    </w:p>
    <w:p>
      <w:pPr>
        <w:pStyle w:val="TextBody"/>
        <w:spacing w:lineRule="atLeast" w:line="240" w:before="240" w:after="0"/>
        <w:jc w:val="left"/>
        <w:rPr>
          <w:rFonts w:ascii="Times New Roman" w:hAnsi="Times New Roman"/>
          <w:spacing w:val="0"/>
          <w:sz w:val="20"/>
        </w:rPr>
      </w:pPr>
      <w:r>
        <w:rPr>
          <w:rFonts w:ascii="Times New Roman" w:hAnsi="Times New Roman"/>
          <w:spacing w:val="0"/>
          <w:sz w:val="20"/>
        </w:rPr>
        <w:t xml:space="preserve">% of the employee’s contributions up to the first </w:t>
      </w:r>
    </w:p>
    <w:p>
      <w:pPr>
        <w:pStyle w:val="TextBody"/>
        <w:spacing w:lineRule="atLeast" w:line="240" w:before="240" w:after="0"/>
        <w:jc w:val="left"/>
        <w:rPr>
          <w:rFonts w:ascii="Times New Roman" w:hAnsi="Times New Roman"/>
          <w:sz w:val="20"/>
        </w:rPr>
      </w:pPr>
      <w:r>
        <w:rPr>
          <w:rFonts w:ascii="Times New Roman" w:hAnsi="Times New Roman"/>
          <w:sz w:val="20"/>
        </w:rPr>
        <w:t>6</w:t>
      </w:r>
    </w:p>
    <w:p>
      <w:pPr>
        <w:pStyle w:val="TextBody"/>
        <w:spacing w:lineRule="atLeast" w:line="240" w:before="240" w:after="0"/>
        <w:jc w:val="left"/>
        <w:rPr>
          <w:rFonts w:ascii="Times New Roman" w:hAnsi="Times New Roman"/>
          <w:spacing w:val="0"/>
          <w:sz w:val="20"/>
        </w:rPr>
      </w:pPr>
      <w:r>
        <w:rPr>
          <w:rFonts w:ascii="Times New Roman" w:hAnsi="Times New Roman"/>
          <w:spacing w:val="0"/>
          <w:sz w:val="20"/>
        </w:rPr>
        <w:t xml:space="preserve">% of salary deferred. If a specified performance target is achieved, there may be an annual discretionary contribution by the Company, based on eligible employee contributions. As a result of the impacts to our business arising from the </w:t>
      </w:r>
    </w:p>
    <w:p>
      <w:pPr>
        <w:pStyle w:val="TextBody"/>
        <w:spacing w:lineRule="atLeast" w:line="240" w:before="240" w:after="0"/>
        <w:jc w:val="left"/>
        <w:rPr>
          <w:rFonts w:ascii="Times New Roman" w:hAnsi="Times New Roman"/>
          <w:spacing w:val="0"/>
          <w:sz w:val="20"/>
        </w:rPr>
      </w:pPr>
      <w:r>
        <w:rPr>
          <w:rFonts w:ascii="Times New Roman" w:hAnsi="Times New Roman"/>
          <w:spacing w:val="0"/>
          <w:sz w:val="20"/>
        </w:rPr>
        <w:t>COVID-19</w:t>
      </w:r>
    </w:p>
    <w:p>
      <w:pPr>
        <w:pStyle w:val="TextBody"/>
        <w:spacing w:lineRule="atLeast" w:line="240" w:before="240" w:after="0"/>
        <w:jc w:val="left"/>
        <w:rPr>
          <w:rFonts w:ascii="Times New Roman" w:hAnsi="Times New Roman"/>
          <w:spacing w:val="0"/>
          <w:sz w:val="20"/>
        </w:rPr>
      </w:pPr>
      <w:r>
        <w:rPr>
          <w:rFonts w:ascii="Times New Roman" w:hAnsi="Times New Roman"/>
          <w:spacing w:val="0"/>
          <w:sz w:val="20"/>
        </w:rPr>
        <w:t xml:space="preserve">pandemic, the Company suspended matching of employee contributions during fiscal 2020. </w:t>
      </w:r>
    </w:p>
    <w:p>
      <w:pPr>
        <w:pStyle w:val="TextBody"/>
        <w:spacing w:lineRule="atLeast" w:line="240" w:before="240" w:after="0"/>
        <w:jc w:val="left"/>
        <w:rPr>
          <w:rFonts w:ascii="Times New Roman" w:hAnsi="Times New Roman"/>
          <w:sz w:val="20"/>
        </w:rPr>
      </w:pPr>
      <w:r>
        <w:rPr>
          <w:rFonts w:ascii="Times New Roman" w:hAnsi="Times New Roman"/>
          <w:sz w:val="20"/>
        </w:rPr>
        <w:t>Any contributions to a participant’s account vest in equal portions over a five-year period and become immediately vested upon termination of a participant’s employment on or after age 65 or by reason of the participant’s death or disability, and upon a change of control (as defined).</w:t>
      </w:r>
    </w:p>
    <w:p>
      <w:pPr>
        <w:pStyle w:val="TextBody"/>
        <w:spacing w:lineRule="atLeast" w:line="240" w:before="240" w:after="0"/>
        <w:jc w:val="left"/>
        <w:rPr>
          <w:rFonts w:ascii="Times New Roman" w:hAnsi="Times New Roman"/>
          <w:spacing w:val="0"/>
          <w:sz w:val="20"/>
        </w:rPr>
      </w:pPr>
      <w:r>
        <w:rPr>
          <w:rFonts w:ascii="Times New Roman" w:hAnsi="Times New Roman"/>
          <w:spacing w:val="0"/>
          <w:sz w:val="20"/>
        </w:rPr>
        <w:t>The Company recognized $</w:t>
      </w:r>
    </w:p>
    <w:p>
      <w:pPr>
        <w:pStyle w:val="TextBody"/>
        <w:spacing w:lineRule="atLeast" w:line="240" w:before="240" w:after="0"/>
        <w:jc w:val="left"/>
        <w:rPr>
          <w:rFonts w:ascii="Times New Roman" w:hAnsi="Times New Roman"/>
          <w:sz w:val="20"/>
        </w:rPr>
      </w:pPr>
      <w:r>
        <w:rPr>
          <w:rFonts w:ascii="Times New Roman" w:hAnsi="Times New Roman"/>
          <w:sz w:val="20"/>
        </w:rPr>
        <w:t>0</w:t>
      </w:r>
    </w:p>
    <w:p>
      <w:pPr>
        <w:pStyle w:val="TextBody"/>
        <w:spacing w:lineRule="atLeast" w:line="240" w:before="240" w:after="0"/>
        <w:jc w:val="left"/>
        <w:rPr>
          <w:rFonts w:ascii="Times New Roman" w:hAnsi="Times New Roman"/>
          <w:spacing w:val="0"/>
          <w:sz w:val="20"/>
        </w:rPr>
      </w:pPr>
      <w:r>
        <w:rPr>
          <w:rFonts w:ascii="Times New Roman" w:hAnsi="Times New Roman"/>
          <w:spacing w:val="0"/>
          <w:sz w:val="20"/>
        </w:rPr>
        <w:t>, $</w:t>
      </w:r>
    </w:p>
    <w:p>
      <w:pPr>
        <w:pStyle w:val="TextBody"/>
        <w:spacing w:lineRule="atLeast" w:line="240" w:before="240" w:after="0"/>
        <w:jc w:val="left"/>
        <w:rPr>
          <w:rFonts w:ascii="Times New Roman" w:hAnsi="Times New Roman"/>
          <w:sz w:val="20"/>
        </w:rPr>
      </w:pPr>
      <w:r>
        <w:rPr>
          <w:rFonts w:ascii="Times New Roman" w:hAnsi="Times New Roman"/>
          <w:sz w:val="20"/>
        </w:rPr>
        <w:t>158</w:t>
      </w:r>
    </w:p>
    <w:p>
      <w:pPr>
        <w:pStyle w:val="TextBody"/>
        <w:spacing w:lineRule="atLeast" w:line="240" w:before="240" w:after="0"/>
        <w:jc w:val="left"/>
        <w:rPr>
          <w:rFonts w:ascii="Times New Roman" w:hAnsi="Times New Roman"/>
          <w:spacing w:val="0"/>
          <w:sz w:val="20"/>
        </w:rPr>
      </w:pPr>
      <w:r>
        <w:rPr>
          <w:rFonts w:ascii="Times New Roman" w:hAnsi="Times New Roman"/>
          <w:spacing w:val="0"/>
          <w:sz w:val="20"/>
        </w:rPr>
        <w:t>, and $</w:t>
      </w:r>
    </w:p>
    <w:p>
      <w:pPr>
        <w:pStyle w:val="TextBody"/>
        <w:spacing w:lineRule="atLeast" w:line="240" w:before="240" w:after="0"/>
        <w:jc w:val="left"/>
        <w:rPr>
          <w:rFonts w:ascii="Times New Roman" w:hAnsi="Times New Roman"/>
          <w:sz w:val="20"/>
        </w:rPr>
      </w:pPr>
      <w:r>
        <w:rPr>
          <w:rFonts w:ascii="Times New Roman" w:hAnsi="Times New Roman"/>
          <w:sz w:val="20"/>
        </w:rPr>
        <w:t>135</w:t>
      </w:r>
    </w:p>
    <w:p>
      <w:pPr>
        <w:pStyle w:val="TextBody"/>
        <w:spacing w:lineRule="atLeast" w:line="240" w:before="240" w:after="0"/>
        <w:jc w:val="left"/>
        <w:rPr>
          <w:rFonts w:ascii="Times New Roman" w:hAnsi="Times New Roman"/>
          <w:spacing w:val="0"/>
          <w:sz w:val="20"/>
        </w:rPr>
      </w:pPr>
      <w:r>
        <w:rPr>
          <w:rFonts w:ascii="Times New Roman" w:hAnsi="Times New Roman"/>
          <w:spacing w:val="0"/>
          <w:sz w:val="20"/>
        </w:rPr>
        <w:t>of deferred compensation expense in fiscal 2020, 2019, and 2018, respectively. The deferred compensation plan assets are invested through a rabbi trust. Assets in the rabbi trust are invested in certain mutual funds that cover an investment spectrum ranging from equities to money market instruments and are available to satisfy the claims of our creditors in the event of bankruptcy or insolvency. These mutual funds have published market prices and are reported at fair value using quoted prices available on identical assets and liabilities in active markets, representing Level One assets as defined by GAAP. Deferred compensation plan assets of $</w:t>
      </w:r>
    </w:p>
    <w:p>
      <w:pPr>
        <w:pStyle w:val="TextBody"/>
        <w:spacing w:lineRule="atLeast" w:line="240" w:before="240" w:after="0"/>
        <w:jc w:val="left"/>
        <w:rPr>
          <w:rFonts w:ascii="Times New Roman" w:hAnsi="Times New Roman"/>
          <w:sz w:val="20"/>
        </w:rPr>
      </w:pPr>
      <w:r>
        <w:rPr>
          <w:rFonts w:ascii="Times New Roman" w:hAnsi="Times New Roman"/>
          <w:sz w:val="20"/>
        </w:rPr>
        <w:t>10,115</w:t>
      </w:r>
    </w:p>
    <w:p>
      <w:pPr>
        <w:pStyle w:val="TextBody"/>
        <w:spacing w:lineRule="atLeast" w:line="240" w:before="240" w:after="0"/>
        <w:jc w:val="left"/>
        <w:rPr>
          <w:rFonts w:ascii="Times New Roman" w:hAnsi="Times New Roman"/>
          <w:spacing w:val="0"/>
          <w:sz w:val="20"/>
        </w:rPr>
      </w:pPr>
      <w:r>
        <w:rPr>
          <w:rFonts w:ascii="Times New Roman" w:hAnsi="Times New Roman"/>
          <w:spacing w:val="0"/>
          <w:sz w:val="20"/>
        </w:rPr>
        <w:t>and $</w:t>
      </w:r>
    </w:p>
    <w:p>
      <w:pPr>
        <w:pStyle w:val="TextBody"/>
        <w:spacing w:lineRule="atLeast" w:line="240" w:before="240" w:after="0"/>
        <w:jc w:val="left"/>
        <w:rPr>
          <w:rFonts w:ascii="Times New Roman" w:hAnsi="Times New Roman"/>
          <w:sz w:val="20"/>
        </w:rPr>
      </w:pPr>
      <w:r>
        <w:rPr>
          <w:rFonts w:ascii="Times New Roman" w:hAnsi="Times New Roman"/>
          <w:sz w:val="20"/>
        </w:rPr>
        <w:t>8,896</w:t>
      </w:r>
    </w:p>
    <w:p>
      <w:pPr>
        <w:pStyle w:val="TextBody"/>
        <w:spacing w:lineRule="atLeast" w:line="240" w:before="240" w:after="0"/>
        <w:jc w:val="left"/>
        <w:rPr>
          <w:rFonts w:ascii="Times New Roman" w:hAnsi="Times New Roman"/>
          <w:spacing w:val="0"/>
          <w:sz w:val="20"/>
        </w:rPr>
      </w:pPr>
      <w:r>
        <w:rPr>
          <w:rFonts w:ascii="Times New Roman" w:hAnsi="Times New Roman"/>
          <w:spacing w:val="0"/>
          <w:sz w:val="20"/>
        </w:rPr>
        <w:t>, at January 31, 2021 and February 2, 2020, respectively, are included in “Other assets and deferred charges” and the offsetting deferred compensation plan liabilities are included in “Other liabilities” in the accompanying Consolidated Balance Sheets.  </w:t>
      </w:r>
    </w:p>
    <w:p>
      <w:pPr>
        <w:pStyle w:val="TextBody"/>
        <w:spacing w:before="240" w:after="0"/>
        <w:jc w:val="left"/>
        <w:rPr>
          <w:rFonts w:ascii="Times New Roman" w:hAnsi="Times New Roman"/>
          <w:b/>
          <w:spacing w:val="0"/>
          <w:sz w:val="20"/>
        </w:rPr>
      </w:pPr>
      <w:r>
        <w:rPr>
          <w:rFonts w:ascii="Times New Roman" w:hAnsi="Times New Roman"/>
          <w:b/>
          <w:spacing w:val="0"/>
          <w:sz w:val="20"/>
        </w:rPr>
        <w:t xml:space="preserve">Note 10: Commitments and Contingencies </w:t>
      </w:r>
    </w:p>
    <w:p>
      <w:pPr>
        <w:pStyle w:val="TextBody"/>
        <w:spacing w:before="120" w:after="0"/>
        <w:jc w:val="left"/>
        <w:rPr>
          <w:rFonts w:ascii="Times New Roman" w:hAnsi="Times New Roman"/>
          <w:sz w:val="20"/>
        </w:rPr>
      </w:pPr>
      <w:r>
        <w:rPr>
          <w:rFonts w:ascii="Times New Roman" w:hAnsi="Times New Roman"/>
          <w:sz w:val="20"/>
        </w:rPr>
        <w:t xml:space="preserve">We are subject to certain legal proceedings and claims that arise in the ordinary course of our business, including claims alleging violations of federal and state law regarding workplace and employment matters, discrimination, </w:t>
      </w:r>
    </w:p>
    <w:p>
      <w:pPr>
        <w:pStyle w:val="TextBody"/>
        <w:spacing w:before="120" w:after="0"/>
        <w:jc w:val="left"/>
        <w:rPr>
          <w:rFonts w:ascii="Times New Roman" w:hAnsi="Times New Roman"/>
          <w:spacing w:val="0"/>
          <w:sz w:val="20"/>
        </w:rPr>
      </w:pPr>
      <w:r>
        <w:rPr>
          <w:rFonts w:ascii="Times New Roman" w:hAnsi="Times New Roman"/>
          <w:spacing w:val="0"/>
          <w:sz w:val="20"/>
        </w:rPr>
        <w:t>slip-and-fall</w:t>
      </w:r>
    </w:p>
    <w:p>
      <w:pPr>
        <w:pStyle w:val="TextBody"/>
        <w:spacing w:before="120" w:after="0"/>
        <w:jc w:val="left"/>
        <w:rPr>
          <w:rFonts w:ascii="Times New Roman" w:hAnsi="Times New Roman"/>
          <w:sz w:val="20"/>
        </w:rPr>
      </w:pPr>
      <w:r>
        <w:rPr>
          <w:rFonts w:ascii="Times New Roman" w:hAnsi="Times New Roman"/>
          <w:sz w:val="20"/>
        </w:rPr>
        <w:t xml:space="preserve">and other customer-related incidents and similar matters. In the opinion of management, based upon consultation with legal counsel, the amount of ultimate liability, with respect to such legal proceedings and claims will not materially affect the consolidated results of our operations or our financial condition. Legal costs related to such claims are expensed as incurred. </w:t>
      </w:r>
    </w:p>
    <w:p>
      <w:pPr>
        <w:pStyle w:val="TextBody"/>
        <w:spacing w:before="240" w:after="0"/>
        <w:jc w:val="left"/>
        <w:rPr>
          <w:rFonts w:ascii="Times New Roman" w:hAnsi="Times New Roman"/>
          <w:sz w:val="20"/>
        </w:rPr>
      </w:pPr>
      <w:r>
        <w:rPr>
          <w:rFonts w:ascii="Times New Roman" w:hAnsi="Times New Roman"/>
          <w:sz w:val="20"/>
        </w:rPr>
        <w:t xml:space="preserve">The Company is a defendant in several lawsuits filed in courts in California alleging violations of California Business and Professions Code, industry wage orders, </w:t>
      </w:r>
    </w:p>
    <w:p>
      <w:pPr>
        <w:pStyle w:val="TextBody"/>
        <w:spacing w:before="240" w:after="0"/>
        <w:jc w:val="left"/>
        <w:rPr>
          <w:rFonts w:ascii="Times New Roman" w:hAnsi="Times New Roman"/>
          <w:spacing w:val="0"/>
          <w:sz w:val="20"/>
        </w:rPr>
      </w:pPr>
      <w:r>
        <w:rPr>
          <w:rFonts w:ascii="Times New Roman" w:hAnsi="Times New Roman"/>
          <w:spacing w:val="0"/>
          <w:sz w:val="20"/>
        </w:rPr>
        <w:t>wage-and-hour</w:t>
      </w:r>
    </w:p>
    <w:p>
      <w:pPr>
        <w:pStyle w:val="TextBody"/>
        <w:spacing w:before="240" w:after="0"/>
        <w:jc w:val="left"/>
        <w:rPr>
          <w:rFonts w:ascii="Times New Roman" w:hAnsi="Times New Roman"/>
          <w:sz w:val="20"/>
        </w:rPr>
      </w:pPr>
      <w:r>
        <w:rPr>
          <w:rFonts w:ascii="Times New Roman" w:hAnsi="Times New Roman"/>
          <w:sz w:val="20"/>
        </w:rPr>
        <w:t xml:space="preserve">laws and rules and regulations pertaining primarily to the failure to pay proper regular and overtime wages, failure to pay for missed meals and rest periods, pay stub violations, failure to pay all wages due at the time of termination and other employment related claims (the “California Cases”). Some of the California Cases purport or may be determined to be class actions or Private Attorneys General Act representative actions and seek substantial damages and penalties. The Company estimated and accrued for the most likely amount of loss during fiscal 2019 and fiscal 2020. During fiscal 2020, the Company settled a portion of the cases at the approximate amount estimated. For the remaining cases, the Company’s assessments are based on assumptions that have been deemed reasonable by management, but that may prove to be incomplete or inaccurate, and unanticipated events and circumstances may occur that might cause the Company to change those estimates and assumptions. Management’s assessment of these California Cases, as well as other lawsuits, could change because of future determinations or the discovery of facts that are not presently known. Accordingly, the ultimate costs of resolving these cases may be substantially higher or lower than estimated. The Company continues to aggressively defend the remaining cases.     </w:t>
      </w:r>
    </w:p>
    <w:p>
      <w:pPr>
        <w:pStyle w:val="TextBody"/>
        <w:spacing w:before="0" w:after="0"/>
        <w:jc w:val="left"/>
        <w:rPr>
          <w:spacing w:val="0"/>
        </w:rPr>
      </w:pPr>
      <w:r>
        <w:rPr>
          <w:spacing w:val="0"/>
        </w:rPr>
        <w:t> </w:t>
      </w:r>
    </w:p>
    <w:p>
      <w:pPr>
        <w:pStyle w:val="TextBody"/>
        <w:spacing w:before="0" w:after="0"/>
        <w:jc w:val="left"/>
        <w:rPr>
          <w:spacing w:val="0"/>
        </w:rPr>
      </w:pPr>
      <w:r>
        <w:rPr>
          <w:spacing w:val="0"/>
        </w:rPr>
        <w:t> </w:t>
      </w:r>
    </w:p>
    <w:p>
      <w:pPr>
        <w:pStyle w:val="TextBody"/>
        <w:spacing w:before="0" w:after="0"/>
        <w:jc w:val="center"/>
        <w:rPr>
          <w:rFonts w:ascii="Times New Roman" w:hAnsi="Times New Roman"/>
          <w:spacing w:val="0"/>
          <w:sz w:val="20"/>
        </w:rPr>
      </w:pPr>
      <w:r>
        <w:rPr>
          <w:rFonts w:ascii="Times New Roman" w:hAnsi="Times New Roman"/>
          <w:spacing w:val="0"/>
          <w:sz w:val="20"/>
        </w:rPr>
        <w:t xml:space="preserve">F-26 </w:t>
      </w:r>
    </w:p>
    <w:p>
      <w:pPr>
        <w:pStyle w:val="HorizontalLine"/>
        <w:rPr/>
      </w:pPr>
      <w:r>
        <w:rPr/>
      </w:r>
    </w:p>
    <w:p>
      <w:pPr>
        <w:pStyle w:val="TextBody"/>
        <w:spacing w:before="0" w:after="0"/>
        <w:rPr/>
      </w:pPr>
      <w:hyperlink w:anchor="toc">
        <w:r>
          <w:rPr>
            <w:rStyle w:val="InternetLink"/>
            <w:b/>
            <w:sz w:val="20"/>
          </w:rPr>
          <w:t>Table of Contents</w:t>
        </w:r>
      </w:hyperlink>
    </w:p>
    <w:p>
      <w:pPr>
        <w:pStyle w:val="TextBody"/>
        <w:widowControl/>
        <w:spacing w:before="0" w:after="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We are subject to the terms of a settlement agreement with the Federal Trade Commission that requires us, on an ongoing basis, to establish, implement, and maintain a comprehensive information security program that is reasonably designed to protect the security, confidentiality, and integrity of personal information collected from or about consumers. The agreement does not require us to pay any fines or other monetary assessments and we do not believe that the terms of the agreement will have a material adverse effect on our business, operations, or financial performance.</w:t>
      </w:r>
    </w:p>
    <w:p>
      <w:pPr>
        <w:pStyle w:val="TextBody"/>
        <w:spacing w:before="360" w:after="0"/>
        <w:jc w:val="left"/>
        <w:rPr>
          <w:rFonts w:ascii="Times New Roman" w:hAnsi="Times New Roman"/>
          <w:b/>
          <w:spacing w:val="0"/>
          <w:sz w:val="20"/>
        </w:rPr>
      </w:pPr>
      <w:r>
        <w:rPr>
          <w:rFonts w:ascii="Times New Roman" w:hAnsi="Times New Roman"/>
          <w:b/>
          <w:spacing w:val="0"/>
          <w:sz w:val="20"/>
        </w:rPr>
        <w:t xml:space="preserve">Note 11: Selected Quarterly Financial Information (unaudited) </w:t>
      </w:r>
    </w:p>
    <w:p>
      <w:pPr>
        <w:pStyle w:val="TextBody"/>
        <w:spacing w:before="0" w:after="0"/>
        <w:jc w:val="left"/>
        <w:rPr>
          <w:spacing w:val="0"/>
        </w:rPr>
      </w:pPr>
      <w:r>
        <w:rPr>
          <w:spacing w:val="0"/>
        </w:rPr>
        <w:t> </w:t>
      </w:r>
    </w:p>
    <w:tbl>
      <w:tblPr>
        <w:tblW w:w="9950" w:type="dxa"/>
        <w:jc w:val="left"/>
        <w:tblInd w:w="0" w:type="dxa"/>
        <w:tblCellMar>
          <w:top w:w="0" w:type="dxa"/>
          <w:left w:w="0" w:type="dxa"/>
          <w:bottom w:w="0" w:type="dxa"/>
          <w:right w:w="0" w:type="dxa"/>
        </w:tblCellMar>
      </w:tblPr>
      <w:tblGrid>
        <w:gridCol w:w="3995"/>
        <w:gridCol w:w="120"/>
        <w:gridCol w:w="140"/>
        <w:gridCol w:w="1100"/>
        <w:gridCol w:w="155"/>
        <w:gridCol w:w="60"/>
        <w:gridCol w:w="140"/>
        <w:gridCol w:w="1100"/>
        <w:gridCol w:w="155"/>
        <w:gridCol w:w="60"/>
        <w:gridCol w:w="140"/>
        <w:gridCol w:w="1100"/>
        <w:gridCol w:w="155"/>
        <w:gridCol w:w="60"/>
        <w:gridCol w:w="140"/>
        <w:gridCol w:w="1160"/>
        <w:gridCol w:w="170"/>
      </w:tblGrid>
      <w:tr>
        <w:trPr/>
        <w:tc>
          <w:tcPr>
            <w:tcW w:w="399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100"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100"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100"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160"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r>
      <w:tr>
        <w:trPr/>
        <w:tc>
          <w:tcPr>
            <w:tcW w:w="399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5665" w:type="dxa"/>
            <w:gridSpan w:val="14"/>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Fiscal 2020 Quarters Ended</w:t>
            </w:r>
          </w:p>
        </w:tc>
        <w:tc>
          <w:tcPr>
            <w:tcW w:w="170" w:type="dxa"/>
            <w:tcBorders/>
            <w:shd w:fill="auto" w:val="clear"/>
            <w:vAlign w:val="center"/>
          </w:tcPr>
          <w:p>
            <w:pPr>
              <w:pStyle w:val="TableContents"/>
              <w:spacing w:before="0" w:after="283"/>
              <w:rPr/>
            </w:pPr>
            <w:r>
              <w:rPr/>
              <w:t> </w:t>
            </w:r>
          </w:p>
        </w:tc>
      </w:tr>
      <w:tr>
        <w:trPr/>
        <w:tc>
          <w:tcPr>
            <w:tcW w:w="399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240"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5/3/2020</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40"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8/2/2020</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40"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11/1/2020</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300"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1/31/2021</w:t>
            </w:r>
          </w:p>
        </w:tc>
        <w:tc>
          <w:tcPr>
            <w:tcW w:w="170" w:type="dxa"/>
            <w:tcBorders/>
            <w:shd w:fill="auto" w:val="clear"/>
            <w:vAlign w:val="center"/>
          </w:tcPr>
          <w:p>
            <w:pPr>
              <w:pStyle w:val="TableContents"/>
              <w:spacing w:before="0" w:after="283"/>
              <w:rPr/>
            </w:pPr>
            <w:r>
              <w:rPr/>
              <w:t> </w:t>
            </w:r>
          </w:p>
        </w:tc>
      </w:tr>
      <w:tr>
        <w:trPr/>
        <w:tc>
          <w:tcPr>
            <w:tcW w:w="399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Total revenues</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1100" w:type="dxa"/>
            <w:tcBorders/>
            <w:shd w:fill="CCEEFF" w:val="clear"/>
            <w:vAlign w:val="center"/>
          </w:tcPr>
          <w:p>
            <w:pPr>
              <w:pStyle w:val="TableContents"/>
              <w:spacing w:before="0" w:after="283"/>
              <w:jc w:val="right"/>
              <w:rPr/>
            </w:pPr>
            <w:r>
              <w:rPr/>
              <w:t>159,806</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1100" w:type="dxa"/>
            <w:tcBorders/>
            <w:shd w:fill="CCEEFF" w:val="clear"/>
            <w:vAlign w:val="center"/>
          </w:tcPr>
          <w:p>
            <w:pPr>
              <w:pStyle w:val="TableContents"/>
              <w:spacing w:before="0" w:after="283"/>
              <w:jc w:val="right"/>
              <w:rPr/>
            </w:pPr>
            <w:r>
              <w:rPr/>
              <w:t>50,833</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1100" w:type="dxa"/>
            <w:tcBorders/>
            <w:shd w:fill="CCEEFF" w:val="clear"/>
            <w:vAlign w:val="center"/>
          </w:tcPr>
          <w:p>
            <w:pPr>
              <w:pStyle w:val="TableContents"/>
              <w:spacing w:before="0" w:after="283"/>
              <w:jc w:val="right"/>
              <w:rPr/>
            </w:pPr>
            <w:r>
              <w:rPr/>
              <w:t>109,052</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1160" w:type="dxa"/>
            <w:tcBorders/>
            <w:shd w:fill="CCEEFF" w:val="clear"/>
            <w:vAlign w:val="center"/>
          </w:tcPr>
          <w:p>
            <w:pPr>
              <w:pStyle w:val="TableContents"/>
              <w:spacing w:before="0" w:after="283"/>
              <w:jc w:val="right"/>
              <w:rPr/>
            </w:pPr>
            <w:r>
              <w:rPr/>
              <w:t>116,821</w:t>
            </w:r>
          </w:p>
        </w:tc>
        <w:tc>
          <w:tcPr>
            <w:tcW w:w="170" w:type="dxa"/>
            <w:tcBorders/>
            <w:shd w:fill="CCEEFF" w:val="clear"/>
            <w:vAlign w:val="center"/>
          </w:tcPr>
          <w:p>
            <w:pPr>
              <w:pStyle w:val="TableContents"/>
              <w:spacing w:before="0" w:after="283"/>
              <w:rPr/>
            </w:pPr>
            <w:r>
              <w:rPr/>
              <w:t> </w:t>
            </w:r>
          </w:p>
        </w:tc>
      </w:tr>
      <w:tr>
        <w:trPr/>
        <w:tc>
          <w:tcPr>
            <w:tcW w:w="399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Total cost of products</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28,072</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8,684</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17,908</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160" w:type="dxa"/>
            <w:tcBorders/>
            <w:shd w:fill="auto" w:val="clear"/>
            <w:vAlign w:val="center"/>
          </w:tcPr>
          <w:p>
            <w:pPr>
              <w:pStyle w:val="TableContents"/>
              <w:spacing w:before="0" w:after="283"/>
              <w:jc w:val="right"/>
              <w:rPr/>
            </w:pPr>
            <w:r>
              <w:rPr/>
              <w:t>20,241</w:t>
            </w:r>
          </w:p>
        </w:tc>
        <w:tc>
          <w:tcPr>
            <w:tcW w:w="170" w:type="dxa"/>
            <w:tcBorders/>
            <w:shd w:fill="auto" w:val="clear"/>
            <w:vAlign w:val="center"/>
          </w:tcPr>
          <w:p>
            <w:pPr>
              <w:pStyle w:val="TableContents"/>
              <w:spacing w:before="0" w:after="283"/>
              <w:rPr/>
            </w:pPr>
            <w:r>
              <w:rPr/>
              <w:t> </w:t>
            </w:r>
          </w:p>
        </w:tc>
      </w:tr>
      <w:tr>
        <w:trPr/>
        <w:tc>
          <w:tcPr>
            <w:tcW w:w="399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Operating loss</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(61,413</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(81,115</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(56,043</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160" w:type="dxa"/>
            <w:tcBorders/>
            <w:shd w:fill="CCEEFF" w:val="clear"/>
            <w:vAlign w:val="center"/>
          </w:tcPr>
          <w:p>
            <w:pPr>
              <w:pStyle w:val="TableContents"/>
              <w:spacing w:before="0" w:after="283"/>
              <w:jc w:val="right"/>
              <w:rPr/>
            </w:pPr>
            <w:r>
              <w:rPr/>
              <w:t>(54,041</w:t>
            </w:r>
          </w:p>
        </w:tc>
        <w:tc>
          <w:tcPr>
            <w:tcW w:w="170" w:type="dxa"/>
            <w:tcBorders/>
            <w:shd w:fill="CCEEFF" w:val="clear"/>
            <w:vAlign w:val="center"/>
          </w:tcPr>
          <w:p>
            <w:pPr>
              <w:pStyle w:val="TableContents"/>
              <w:spacing w:before="0" w:after="283"/>
              <w:rPr/>
            </w:pPr>
            <w:r>
              <w:rPr/>
              <w:t>) </w:t>
            </w:r>
          </w:p>
        </w:tc>
      </w:tr>
      <w:tr>
        <w:trPr/>
        <w:tc>
          <w:tcPr>
            <w:tcW w:w="399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Net loss</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(43,544</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(58,602</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(48,043</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160" w:type="dxa"/>
            <w:tcBorders/>
            <w:shd w:fill="auto" w:val="clear"/>
            <w:vAlign w:val="center"/>
          </w:tcPr>
          <w:p>
            <w:pPr>
              <w:pStyle w:val="TableContents"/>
              <w:spacing w:before="0" w:after="283"/>
              <w:jc w:val="right"/>
              <w:rPr/>
            </w:pPr>
            <w:r>
              <w:rPr/>
              <w:t>(56,785</w:t>
            </w:r>
          </w:p>
        </w:tc>
        <w:tc>
          <w:tcPr>
            <w:tcW w:w="170" w:type="dxa"/>
            <w:tcBorders/>
            <w:shd w:fill="auto" w:val="clear"/>
            <w:vAlign w:val="center"/>
          </w:tcPr>
          <w:p>
            <w:pPr>
              <w:pStyle w:val="TableContents"/>
              <w:spacing w:before="0" w:after="283"/>
              <w:rPr/>
            </w:pPr>
            <w:r>
              <w:rPr/>
              <w:t>) </w:t>
            </w:r>
          </w:p>
        </w:tc>
      </w:tr>
      <w:tr>
        <w:trPr/>
        <w:tc>
          <w:tcPr>
            <w:tcW w:w="399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Net loss per share of common stock:</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rPr/>
            </w:pPr>
            <w:r>
              <w:rPr/>
              <w:t> </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160" w:type="dxa"/>
            <w:tcBorders/>
            <w:shd w:fill="CCEEFF" w:val="clear"/>
            <w:vAlign w:val="center"/>
          </w:tcPr>
          <w:p>
            <w:pPr>
              <w:pStyle w:val="TableContents"/>
              <w:spacing w:before="0" w:after="283"/>
              <w:rPr/>
            </w:pPr>
            <w:r>
              <w:rPr/>
              <w:t> </w:t>
            </w:r>
          </w:p>
        </w:tc>
        <w:tc>
          <w:tcPr>
            <w:tcW w:w="170" w:type="dxa"/>
            <w:tcBorders/>
            <w:shd w:fill="CCEEFF" w:val="clear"/>
            <w:vAlign w:val="center"/>
          </w:tcPr>
          <w:p>
            <w:pPr>
              <w:pStyle w:val="TableContents"/>
              <w:spacing w:before="0" w:after="283"/>
              <w:rPr/>
            </w:pPr>
            <w:r>
              <w:rPr/>
              <w:t> </w:t>
            </w:r>
          </w:p>
        </w:tc>
      </w:tr>
      <w:tr>
        <w:trPr/>
        <w:tc>
          <w:tcPr>
            <w:tcW w:w="399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Basic</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1100" w:type="dxa"/>
            <w:tcBorders/>
            <w:shd w:fill="auto" w:val="clear"/>
            <w:vAlign w:val="center"/>
          </w:tcPr>
          <w:p>
            <w:pPr>
              <w:pStyle w:val="TableContents"/>
              <w:spacing w:before="0" w:after="283"/>
              <w:jc w:val="right"/>
              <w:rPr/>
            </w:pPr>
            <w:r>
              <w:rPr/>
              <w:t>(1.37</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1100" w:type="dxa"/>
            <w:tcBorders/>
            <w:shd w:fill="auto" w:val="clear"/>
            <w:vAlign w:val="center"/>
          </w:tcPr>
          <w:p>
            <w:pPr>
              <w:pStyle w:val="TableContents"/>
              <w:spacing w:before="0" w:after="283"/>
              <w:jc w:val="right"/>
              <w:rPr/>
            </w:pPr>
            <w:r>
              <w:rPr/>
              <w:t>(1.24</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1100" w:type="dxa"/>
            <w:tcBorders/>
            <w:shd w:fill="auto" w:val="clear"/>
            <w:vAlign w:val="center"/>
          </w:tcPr>
          <w:p>
            <w:pPr>
              <w:pStyle w:val="TableContents"/>
              <w:spacing w:before="0" w:after="283"/>
              <w:jc w:val="right"/>
              <w:rPr/>
            </w:pPr>
            <w:r>
              <w:rPr/>
              <w:t>(1.01</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1160" w:type="dxa"/>
            <w:tcBorders/>
            <w:shd w:fill="auto" w:val="clear"/>
            <w:vAlign w:val="center"/>
          </w:tcPr>
          <w:p>
            <w:pPr>
              <w:pStyle w:val="TableContents"/>
              <w:spacing w:before="0" w:after="283"/>
              <w:jc w:val="right"/>
              <w:rPr/>
            </w:pPr>
            <w:r>
              <w:rPr/>
              <w:t>(1.19</w:t>
            </w:r>
          </w:p>
        </w:tc>
        <w:tc>
          <w:tcPr>
            <w:tcW w:w="170" w:type="dxa"/>
            <w:tcBorders/>
            <w:shd w:fill="auto" w:val="clear"/>
            <w:vAlign w:val="center"/>
          </w:tcPr>
          <w:p>
            <w:pPr>
              <w:pStyle w:val="TableContents"/>
              <w:spacing w:before="0" w:after="283"/>
              <w:rPr/>
            </w:pPr>
            <w:r>
              <w:rPr/>
              <w:t>) </w:t>
            </w:r>
          </w:p>
        </w:tc>
      </w:tr>
      <w:tr>
        <w:trPr/>
        <w:tc>
          <w:tcPr>
            <w:tcW w:w="399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Diluted</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1100" w:type="dxa"/>
            <w:tcBorders/>
            <w:shd w:fill="CCEEFF" w:val="clear"/>
            <w:vAlign w:val="center"/>
          </w:tcPr>
          <w:p>
            <w:pPr>
              <w:pStyle w:val="TableContents"/>
              <w:spacing w:before="0" w:after="283"/>
              <w:jc w:val="right"/>
              <w:rPr/>
            </w:pPr>
            <w:r>
              <w:rPr/>
              <w:t>(1.37</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1100" w:type="dxa"/>
            <w:tcBorders/>
            <w:shd w:fill="CCEEFF" w:val="clear"/>
            <w:vAlign w:val="center"/>
          </w:tcPr>
          <w:p>
            <w:pPr>
              <w:pStyle w:val="TableContents"/>
              <w:spacing w:before="0" w:after="283"/>
              <w:jc w:val="right"/>
              <w:rPr/>
            </w:pPr>
            <w:r>
              <w:rPr/>
              <w:t>(1.24</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1100" w:type="dxa"/>
            <w:tcBorders/>
            <w:shd w:fill="CCEEFF" w:val="clear"/>
            <w:vAlign w:val="center"/>
          </w:tcPr>
          <w:p>
            <w:pPr>
              <w:pStyle w:val="TableContents"/>
              <w:spacing w:before="0" w:after="283"/>
              <w:jc w:val="right"/>
              <w:rPr/>
            </w:pPr>
            <w:r>
              <w:rPr/>
              <w:t>(1.01</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1160" w:type="dxa"/>
            <w:tcBorders/>
            <w:shd w:fill="CCEEFF" w:val="clear"/>
            <w:vAlign w:val="center"/>
          </w:tcPr>
          <w:p>
            <w:pPr>
              <w:pStyle w:val="TableContents"/>
              <w:spacing w:before="0" w:after="283"/>
              <w:jc w:val="right"/>
              <w:rPr/>
            </w:pPr>
            <w:r>
              <w:rPr/>
              <w:t>(1.19</w:t>
            </w:r>
          </w:p>
        </w:tc>
        <w:tc>
          <w:tcPr>
            <w:tcW w:w="170" w:type="dxa"/>
            <w:tcBorders/>
            <w:shd w:fill="CCEEFF" w:val="clear"/>
            <w:vAlign w:val="center"/>
          </w:tcPr>
          <w:p>
            <w:pPr>
              <w:pStyle w:val="TableContents"/>
              <w:spacing w:before="0" w:after="283"/>
              <w:rPr/>
            </w:pPr>
            <w:r>
              <w:rPr/>
              <w:t>) </w:t>
            </w:r>
          </w:p>
        </w:tc>
      </w:tr>
      <w:tr>
        <w:trPr/>
        <w:tc>
          <w:tcPr>
            <w:tcW w:w="399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Weighted average number of shares outstanding:</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1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 </w:t>
            </w:r>
          </w:p>
        </w:tc>
      </w:tr>
      <w:tr>
        <w:trPr/>
        <w:tc>
          <w:tcPr>
            <w:tcW w:w="399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Basic</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31,829,985</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47,111,763</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47,613,741</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160" w:type="dxa"/>
            <w:tcBorders/>
            <w:shd w:fill="CCEEFF" w:val="clear"/>
            <w:vAlign w:val="center"/>
          </w:tcPr>
          <w:p>
            <w:pPr>
              <w:pStyle w:val="TableContents"/>
              <w:spacing w:before="0" w:after="283"/>
              <w:jc w:val="right"/>
              <w:rPr/>
            </w:pPr>
            <w:r>
              <w:rPr/>
              <w:t xml:space="preserve">47,644,062 </w:t>
            </w:r>
          </w:p>
        </w:tc>
        <w:tc>
          <w:tcPr>
            <w:tcW w:w="170" w:type="dxa"/>
            <w:tcBorders/>
            <w:shd w:fill="CCEEFF" w:val="clear"/>
            <w:vAlign w:val="center"/>
          </w:tcPr>
          <w:p>
            <w:pPr>
              <w:pStyle w:val="TableContents"/>
              <w:spacing w:before="0" w:after="283"/>
              <w:rPr/>
            </w:pPr>
            <w:r>
              <w:rPr/>
              <w:t> </w:t>
            </w:r>
          </w:p>
        </w:tc>
      </w:tr>
      <w:tr>
        <w:trPr/>
        <w:tc>
          <w:tcPr>
            <w:tcW w:w="399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Diluted</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31,829,985</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47,111,763</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47,613,741</w:t>
            </w:r>
          </w:p>
        </w:tc>
        <w:tc>
          <w:tcPr>
            <w:tcW w:w="1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160" w:type="dxa"/>
            <w:tcBorders/>
            <w:shd w:fill="auto" w:val="clear"/>
            <w:vAlign w:val="center"/>
          </w:tcPr>
          <w:p>
            <w:pPr>
              <w:pStyle w:val="TableContents"/>
              <w:spacing w:before="0" w:after="283"/>
              <w:jc w:val="right"/>
              <w:rPr/>
            </w:pPr>
            <w:r>
              <w:rPr/>
              <w:t xml:space="preserve">47,644,062 </w:t>
            </w:r>
          </w:p>
        </w:tc>
        <w:tc>
          <w:tcPr>
            <w:tcW w:w="170" w:type="dxa"/>
            <w:tcBorders/>
            <w:shd w:fill="auto" w:val="clear"/>
            <w:vAlign w:val="center"/>
          </w:tcPr>
          <w:p>
            <w:pPr>
              <w:pStyle w:val="TableContents"/>
              <w:spacing w:before="0" w:after="283"/>
              <w:rPr/>
            </w:pPr>
            <w:r>
              <w:rPr/>
              <w:t> </w:t>
            </w:r>
          </w:p>
        </w:tc>
      </w:tr>
      <w:tr>
        <w:trPr/>
        <w:tc>
          <w:tcPr>
            <w:tcW w:w="3995" w:type="dxa"/>
            <w:tcBorders/>
            <w:shd w:fill="CCEEFF" w:val="clear"/>
            <w:vAlign w:val="center"/>
          </w:tcPr>
          <w:p>
            <w:pPr>
              <w:pStyle w:val="TableContents"/>
              <w:spacing w:before="0" w:after="0"/>
              <w:rPr>
                <w:rFonts w:ascii="Times New Roman" w:hAnsi="Times New Roman"/>
                <w:sz w:val="20"/>
              </w:rPr>
            </w:pPr>
            <w:r>
              <w:rPr>
                <w:rFonts w:ascii="Times New Roman" w:hAnsi="Times New Roman"/>
                <w:sz w:val="20"/>
              </w:rPr>
              <w:t>Company-owned stores at end of period</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137</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137</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137</w:t>
            </w:r>
          </w:p>
        </w:tc>
        <w:tc>
          <w:tcPr>
            <w:tcW w:w="15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160" w:type="dxa"/>
            <w:tcBorders/>
            <w:shd w:fill="CCEEFF" w:val="clear"/>
            <w:vAlign w:val="center"/>
          </w:tcPr>
          <w:p>
            <w:pPr>
              <w:pStyle w:val="TableContents"/>
              <w:spacing w:before="0" w:after="283"/>
              <w:jc w:val="right"/>
              <w:rPr/>
            </w:pPr>
            <w:r>
              <w:rPr/>
              <w:t>140</w:t>
            </w:r>
          </w:p>
        </w:tc>
        <w:tc>
          <w:tcPr>
            <w:tcW w:w="170" w:type="dxa"/>
            <w:tcBorders/>
            <w:shd w:fill="CCEEFF" w:val="clear"/>
            <w:vAlign w:val="center"/>
          </w:tcPr>
          <w:p>
            <w:pPr>
              <w:pStyle w:val="TableContents"/>
              <w:spacing w:before="0" w:after="283"/>
              <w:rPr/>
            </w:pPr>
            <w:r>
              <w:rPr/>
              <w:t> </w:t>
            </w:r>
          </w:p>
        </w:tc>
      </w:tr>
    </w:tbl>
    <w:p>
      <w:pPr>
        <w:pStyle w:val="TextBody"/>
        <w:spacing w:before="0" w:after="0"/>
        <w:jc w:val="left"/>
        <w:rPr>
          <w:spacing w:val="0"/>
        </w:rPr>
      </w:pPr>
      <w:r>
        <w:rPr>
          <w:spacing w:val="0"/>
        </w:rPr>
        <w:t> </w:t>
      </w:r>
    </w:p>
    <w:tbl>
      <w:tblPr>
        <w:tblW w:w="9690" w:type="dxa"/>
        <w:jc w:val="left"/>
        <w:tblInd w:w="0" w:type="dxa"/>
        <w:tblCellMar>
          <w:top w:w="0" w:type="dxa"/>
          <w:left w:w="0" w:type="dxa"/>
          <w:bottom w:w="0" w:type="dxa"/>
          <w:right w:w="0" w:type="dxa"/>
        </w:tblCellMar>
      </w:tblPr>
      <w:tblGrid>
        <w:gridCol w:w="3995"/>
        <w:gridCol w:w="120"/>
        <w:gridCol w:w="140"/>
        <w:gridCol w:w="1100"/>
        <w:gridCol w:w="60"/>
        <w:gridCol w:w="120"/>
        <w:gridCol w:w="140"/>
        <w:gridCol w:w="1100"/>
        <w:gridCol w:w="60"/>
        <w:gridCol w:w="120"/>
        <w:gridCol w:w="140"/>
        <w:gridCol w:w="1100"/>
        <w:gridCol w:w="60"/>
        <w:gridCol w:w="120"/>
        <w:gridCol w:w="140"/>
        <w:gridCol w:w="1100"/>
        <w:gridCol w:w="75"/>
      </w:tblGrid>
      <w:tr>
        <w:trPr/>
        <w:tc>
          <w:tcPr>
            <w:tcW w:w="399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1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1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1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100"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r>
      <w:tr>
        <w:trPr/>
        <w:tc>
          <w:tcPr>
            <w:tcW w:w="399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5500" w:type="dxa"/>
            <w:gridSpan w:val="14"/>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Fiscal 2019 Quarters Ended</w:t>
            </w:r>
          </w:p>
        </w:tc>
        <w:tc>
          <w:tcPr>
            <w:tcW w:w="75" w:type="dxa"/>
            <w:tcBorders/>
            <w:shd w:fill="auto" w:val="clear"/>
            <w:vAlign w:val="center"/>
          </w:tcPr>
          <w:p>
            <w:pPr>
              <w:pStyle w:val="TableContents"/>
              <w:spacing w:before="0" w:after="283"/>
              <w:rPr/>
            </w:pPr>
            <w:r>
              <w:rPr/>
              <w:t> </w:t>
            </w:r>
          </w:p>
        </w:tc>
      </w:tr>
      <w:tr>
        <w:trPr/>
        <w:tc>
          <w:tcPr>
            <w:tcW w:w="3995"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240"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5/5/2019</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240"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8/4/2019</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240"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11/3/2019</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240" w:type="dxa"/>
            <w:gridSpan w:val="2"/>
            <w:tcBorders>
              <w:bottom w:val="single" w:sz="8" w:space="0" w:color="000000"/>
            </w:tcBorders>
            <w:shd w:fill="auto" w:val="clear"/>
            <w:tcMar>
              <w:bottom w:w="28" w:type="dxa"/>
            </w:tcMar>
            <w:vAlign w:val="center"/>
          </w:tcPr>
          <w:p>
            <w:pPr>
              <w:pStyle w:val="TableContents"/>
              <w:spacing w:before="0" w:after="0"/>
              <w:jc w:val="center"/>
              <w:rPr>
                <w:b/>
                <w:spacing w:val="0"/>
              </w:rPr>
            </w:pPr>
            <w:r>
              <w:rPr>
                <w:b/>
                <w:spacing w:val="0"/>
              </w:rPr>
              <w:t>2/2/2020</w:t>
            </w:r>
          </w:p>
        </w:tc>
        <w:tc>
          <w:tcPr>
            <w:tcW w:w="75" w:type="dxa"/>
            <w:tcBorders/>
            <w:shd w:fill="auto" w:val="clear"/>
            <w:vAlign w:val="center"/>
          </w:tcPr>
          <w:p>
            <w:pPr>
              <w:pStyle w:val="TableContents"/>
              <w:spacing w:before="0" w:after="283"/>
              <w:rPr/>
            </w:pPr>
            <w:r>
              <w:rPr/>
              <w:t> </w:t>
            </w:r>
          </w:p>
        </w:tc>
      </w:tr>
      <w:tr>
        <w:trPr/>
        <w:tc>
          <w:tcPr>
            <w:tcW w:w="399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Total revenues</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1100" w:type="dxa"/>
            <w:tcBorders/>
            <w:shd w:fill="CCEEFF" w:val="clear"/>
            <w:vAlign w:val="center"/>
          </w:tcPr>
          <w:p>
            <w:pPr>
              <w:pStyle w:val="TableContents"/>
              <w:spacing w:before="0" w:after="283"/>
              <w:jc w:val="right"/>
              <w:rPr/>
            </w:pPr>
            <w:r>
              <w:rPr/>
              <w:t>363,582</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1100" w:type="dxa"/>
            <w:tcBorders/>
            <w:shd w:fill="CCEEFF" w:val="clear"/>
            <w:vAlign w:val="center"/>
          </w:tcPr>
          <w:p>
            <w:pPr>
              <w:pStyle w:val="TableContents"/>
              <w:spacing w:before="0" w:after="283"/>
              <w:jc w:val="right"/>
              <w:rPr/>
            </w:pPr>
            <w:r>
              <w:rPr/>
              <w:t>344,599</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1100" w:type="dxa"/>
            <w:tcBorders/>
            <w:shd w:fill="CCEEFF" w:val="clear"/>
            <w:vAlign w:val="center"/>
          </w:tcPr>
          <w:p>
            <w:pPr>
              <w:pStyle w:val="TableContents"/>
              <w:spacing w:before="0" w:after="283"/>
              <w:jc w:val="right"/>
              <w:rPr/>
            </w:pPr>
            <w:r>
              <w:rPr/>
              <w:t>299,352</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1100" w:type="dxa"/>
            <w:tcBorders/>
            <w:shd w:fill="CCEEFF" w:val="clear"/>
            <w:vAlign w:val="center"/>
          </w:tcPr>
          <w:p>
            <w:pPr>
              <w:pStyle w:val="TableContents"/>
              <w:spacing w:before="0" w:after="283"/>
              <w:jc w:val="right"/>
              <w:rPr/>
            </w:pPr>
            <w:r>
              <w:rPr/>
              <w:t>347,158</w:t>
            </w:r>
          </w:p>
        </w:tc>
        <w:tc>
          <w:tcPr>
            <w:tcW w:w="75" w:type="dxa"/>
            <w:tcBorders/>
            <w:shd w:fill="CCEEFF" w:val="clear"/>
            <w:vAlign w:val="center"/>
          </w:tcPr>
          <w:p>
            <w:pPr>
              <w:pStyle w:val="TableContents"/>
              <w:spacing w:before="0" w:after="283"/>
              <w:rPr/>
            </w:pPr>
            <w:r>
              <w:rPr/>
              <w:t> </w:t>
            </w:r>
          </w:p>
        </w:tc>
      </w:tr>
      <w:tr>
        <w:trPr/>
        <w:tc>
          <w:tcPr>
            <w:tcW w:w="399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Total cost of products</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61,725</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59,623</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52,180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59,783</w:t>
            </w:r>
          </w:p>
        </w:tc>
        <w:tc>
          <w:tcPr>
            <w:tcW w:w="75" w:type="dxa"/>
            <w:tcBorders/>
            <w:shd w:fill="auto" w:val="clear"/>
            <w:vAlign w:val="center"/>
          </w:tcPr>
          <w:p>
            <w:pPr>
              <w:pStyle w:val="TableContents"/>
              <w:spacing w:before="0" w:after="283"/>
              <w:rPr/>
            </w:pPr>
            <w:r>
              <w:rPr/>
              <w:t> </w:t>
            </w:r>
          </w:p>
        </w:tc>
      </w:tr>
      <w:tr>
        <w:trPr/>
        <w:tc>
          <w:tcPr>
            <w:tcW w:w="399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Operating income</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57,750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46,214</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6,499</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37,616</w:t>
            </w:r>
          </w:p>
        </w:tc>
        <w:tc>
          <w:tcPr>
            <w:tcW w:w="75" w:type="dxa"/>
            <w:tcBorders/>
            <w:shd w:fill="CCEEFF" w:val="clear"/>
            <w:vAlign w:val="center"/>
          </w:tcPr>
          <w:p>
            <w:pPr>
              <w:pStyle w:val="TableContents"/>
              <w:spacing w:before="0" w:after="283"/>
              <w:rPr/>
            </w:pPr>
            <w:r>
              <w:rPr/>
              <w:t> </w:t>
            </w:r>
          </w:p>
        </w:tc>
      </w:tr>
      <w:tr>
        <w:trPr/>
        <w:tc>
          <w:tcPr>
            <w:tcW w:w="399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Net income</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42,443</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32,356</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482</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24,982</w:t>
            </w:r>
          </w:p>
        </w:tc>
        <w:tc>
          <w:tcPr>
            <w:tcW w:w="75" w:type="dxa"/>
            <w:tcBorders/>
            <w:shd w:fill="auto" w:val="clear"/>
            <w:vAlign w:val="center"/>
          </w:tcPr>
          <w:p>
            <w:pPr>
              <w:pStyle w:val="TableContents"/>
              <w:spacing w:before="0" w:after="283"/>
              <w:rPr/>
            </w:pPr>
            <w:r>
              <w:rPr/>
              <w:t> </w:t>
            </w:r>
          </w:p>
        </w:tc>
      </w:tr>
      <w:tr>
        <w:trPr/>
        <w:tc>
          <w:tcPr>
            <w:tcW w:w="399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Net income per share of common stock:</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rPr/>
            </w:pPr>
            <w:r>
              <w:rPr/>
              <w:t> </w:t>
            </w:r>
          </w:p>
        </w:tc>
        <w:tc>
          <w:tcPr>
            <w:tcW w:w="75" w:type="dxa"/>
            <w:tcBorders/>
            <w:shd w:fill="CCEEFF" w:val="clear"/>
            <w:vAlign w:val="center"/>
          </w:tcPr>
          <w:p>
            <w:pPr>
              <w:pStyle w:val="TableContents"/>
              <w:spacing w:before="0" w:after="283"/>
              <w:rPr/>
            </w:pPr>
            <w:r>
              <w:rPr/>
              <w:t> </w:t>
            </w:r>
          </w:p>
        </w:tc>
      </w:tr>
      <w:tr>
        <w:trPr/>
        <w:tc>
          <w:tcPr>
            <w:tcW w:w="399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Basic</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1100" w:type="dxa"/>
            <w:tcBorders/>
            <w:shd w:fill="auto" w:val="clear"/>
            <w:vAlign w:val="center"/>
          </w:tcPr>
          <w:p>
            <w:pPr>
              <w:pStyle w:val="TableContents"/>
              <w:spacing w:before="0" w:after="283"/>
              <w:jc w:val="right"/>
              <w:rPr/>
            </w:pPr>
            <w:r>
              <w:rPr/>
              <w:t>1.15</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1100" w:type="dxa"/>
            <w:tcBorders/>
            <w:shd w:fill="auto" w:val="clear"/>
            <w:vAlign w:val="center"/>
          </w:tcPr>
          <w:p>
            <w:pPr>
              <w:pStyle w:val="TableContents"/>
              <w:spacing w:before="0" w:after="283"/>
              <w:jc w:val="right"/>
              <w:rPr/>
            </w:pPr>
            <w:r>
              <w:rPr/>
              <w:t>0.91</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1100" w:type="dxa"/>
            <w:tcBorders/>
            <w:shd w:fill="auto" w:val="clear"/>
            <w:vAlign w:val="center"/>
          </w:tcPr>
          <w:p>
            <w:pPr>
              <w:pStyle w:val="TableContents"/>
              <w:spacing w:before="0" w:after="283"/>
              <w:jc w:val="right"/>
              <w:rPr/>
            </w:pPr>
            <w:r>
              <w:rPr/>
              <w:t>0.02</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w:t>
            </w:r>
          </w:p>
        </w:tc>
        <w:tc>
          <w:tcPr>
            <w:tcW w:w="1100" w:type="dxa"/>
            <w:tcBorders/>
            <w:shd w:fill="auto" w:val="clear"/>
            <w:vAlign w:val="center"/>
          </w:tcPr>
          <w:p>
            <w:pPr>
              <w:pStyle w:val="TableContents"/>
              <w:spacing w:before="0" w:after="283"/>
              <w:jc w:val="right"/>
              <w:rPr/>
            </w:pPr>
            <w:r>
              <w:rPr/>
              <w:t>0.82</w:t>
            </w:r>
          </w:p>
        </w:tc>
        <w:tc>
          <w:tcPr>
            <w:tcW w:w="75" w:type="dxa"/>
            <w:tcBorders/>
            <w:shd w:fill="auto" w:val="clear"/>
            <w:vAlign w:val="center"/>
          </w:tcPr>
          <w:p>
            <w:pPr>
              <w:pStyle w:val="TableContents"/>
              <w:spacing w:before="0" w:after="283"/>
              <w:rPr/>
            </w:pPr>
            <w:r>
              <w:rPr/>
              <w:t> </w:t>
            </w:r>
          </w:p>
        </w:tc>
      </w:tr>
      <w:tr>
        <w:trPr/>
        <w:tc>
          <w:tcPr>
            <w:tcW w:w="399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Diluted</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1100" w:type="dxa"/>
            <w:tcBorders/>
            <w:shd w:fill="CCEEFF" w:val="clear"/>
            <w:vAlign w:val="center"/>
          </w:tcPr>
          <w:p>
            <w:pPr>
              <w:pStyle w:val="TableContents"/>
              <w:spacing w:before="0" w:after="283"/>
              <w:jc w:val="right"/>
              <w:rPr/>
            </w:pPr>
            <w:r>
              <w:rPr/>
              <w:t>1.13</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1100" w:type="dxa"/>
            <w:tcBorders/>
            <w:shd w:fill="CCEEFF" w:val="clear"/>
            <w:vAlign w:val="center"/>
          </w:tcPr>
          <w:p>
            <w:pPr>
              <w:pStyle w:val="TableContents"/>
              <w:spacing w:before="0" w:after="283"/>
              <w:jc w:val="right"/>
              <w:rPr/>
            </w:pPr>
            <w:r>
              <w:rPr/>
              <w:t>0.90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1100" w:type="dxa"/>
            <w:tcBorders/>
            <w:shd w:fill="CCEEFF" w:val="clear"/>
            <w:vAlign w:val="center"/>
          </w:tcPr>
          <w:p>
            <w:pPr>
              <w:pStyle w:val="TableContents"/>
              <w:spacing w:before="0" w:after="283"/>
              <w:jc w:val="right"/>
              <w:rPr/>
            </w:pPr>
            <w:r>
              <w:rPr/>
              <w:t>0.02</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w:t>
            </w:r>
          </w:p>
        </w:tc>
        <w:tc>
          <w:tcPr>
            <w:tcW w:w="1100" w:type="dxa"/>
            <w:tcBorders/>
            <w:shd w:fill="CCEEFF" w:val="clear"/>
            <w:vAlign w:val="center"/>
          </w:tcPr>
          <w:p>
            <w:pPr>
              <w:pStyle w:val="TableContents"/>
              <w:spacing w:before="0" w:after="283"/>
              <w:jc w:val="right"/>
              <w:rPr/>
            </w:pPr>
            <w:r>
              <w:rPr/>
              <w:t>0.80</w:t>
            </w:r>
          </w:p>
        </w:tc>
        <w:tc>
          <w:tcPr>
            <w:tcW w:w="75" w:type="dxa"/>
            <w:tcBorders/>
            <w:shd w:fill="CCEEFF" w:val="clear"/>
            <w:vAlign w:val="center"/>
          </w:tcPr>
          <w:p>
            <w:pPr>
              <w:pStyle w:val="TableContents"/>
              <w:spacing w:before="0" w:after="283"/>
              <w:rPr/>
            </w:pPr>
            <w:r>
              <w:rPr/>
              <w:t> </w:t>
            </w:r>
          </w:p>
        </w:tc>
      </w:tr>
      <w:tr>
        <w:trPr/>
        <w:tc>
          <w:tcPr>
            <w:tcW w:w="399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Weighted average number of shares outstanding:</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r>
        <w:trPr/>
        <w:tc>
          <w:tcPr>
            <w:tcW w:w="399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Basic</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36,827,665</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35,407,965</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30,980,878</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30,584,360</w:t>
            </w:r>
          </w:p>
        </w:tc>
        <w:tc>
          <w:tcPr>
            <w:tcW w:w="75" w:type="dxa"/>
            <w:tcBorders/>
            <w:shd w:fill="CCEEFF" w:val="clear"/>
            <w:vAlign w:val="center"/>
          </w:tcPr>
          <w:p>
            <w:pPr>
              <w:pStyle w:val="TableContents"/>
              <w:spacing w:before="0" w:after="283"/>
              <w:rPr/>
            </w:pPr>
            <w:r>
              <w:rPr/>
              <w:t> </w:t>
            </w:r>
          </w:p>
        </w:tc>
      </w:tr>
      <w:tr>
        <w:trPr/>
        <w:tc>
          <w:tcPr>
            <w:tcW w:w="3995" w:type="dxa"/>
            <w:tcBorders/>
            <w:shd w:fill="auto"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Diluted</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37,591,944</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36,015,710</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31,515,454</w:t>
            </w:r>
          </w:p>
        </w:tc>
        <w:tc>
          <w:tcPr>
            <w:tcW w:w="60" w:type="dxa"/>
            <w:tcBorders/>
            <w:shd w:fill="auto" w:val="clear"/>
            <w:vAlign w:val="center"/>
          </w:tcPr>
          <w:p>
            <w:pPr>
              <w:pStyle w:val="TableContents"/>
              <w:spacing w:before="0" w:after="283"/>
              <w:rPr/>
            </w:pPr>
            <w:r>
              <w:rPr/>
              <w:t> </w:t>
            </w:r>
          </w:p>
        </w:tc>
        <w:tc>
          <w:tcPr>
            <w:tcW w:w="120" w:type="dxa"/>
            <w:tcBorders/>
            <w:shd w:fill="auto" w:val="clear"/>
            <w:vAlign w:val="center"/>
          </w:tcPr>
          <w:p>
            <w:pPr>
              <w:pStyle w:val="TableContents"/>
              <w:spacing w:before="0" w:after="283"/>
              <w:rPr/>
            </w:pPr>
            <w:r>
              <w:rPr/>
              <w:t>  </w:t>
            </w:r>
          </w:p>
        </w:tc>
        <w:tc>
          <w:tcPr>
            <w:tcW w:w="140" w:type="dxa"/>
            <w:tcBorders/>
            <w:shd w:fill="auto" w:val="clear"/>
            <w:vAlign w:val="center"/>
          </w:tcPr>
          <w:p>
            <w:pPr>
              <w:pStyle w:val="TableContents"/>
              <w:spacing w:before="0" w:after="283"/>
              <w:rPr/>
            </w:pPr>
            <w:r>
              <w:rPr/>
              <w:t> </w:t>
            </w:r>
          </w:p>
        </w:tc>
        <w:tc>
          <w:tcPr>
            <w:tcW w:w="1100" w:type="dxa"/>
            <w:tcBorders/>
            <w:shd w:fill="auto" w:val="clear"/>
            <w:vAlign w:val="center"/>
          </w:tcPr>
          <w:p>
            <w:pPr>
              <w:pStyle w:val="TableContents"/>
              <w:spacing w:before="0" w:after="283"/>
              <w:jc w:val="right"/>
              <w:rPr/>
            </w:pPr>
            <w:r>
              <w:rPr/>
              <w:t>31,158,919</w:t>
            </w:r>
          </w:p>
        </w:tc>
        <w:tc>
          <w:tcPr>
            <w:tcW w:w="75" w:type="dxa"/>
            <w:tcBorders/>
            <w:shd w:fill="auto" w:val="clear"/>
            <w:vAlign w:val="center"/>
          </w:tcPr>
          <w:p>
            <w:pPr>
              <w:pStyle w:val="TableContents"/>
              <w:spacing w:before="0" w:after="283"/>
              <w:rPr/>
            </w:pPr>
            <w:r>
              <w:rPr/>
              <w:t> </w:t>
            </w:r>
          </w:p>
        </w:tc>
      </w:tr>
      <w:tr>
        <w:trPr/>
        <w:tc>
          <w:tcPr>
            <w:tcW w:w="3995" w:type="dxa"/>
            <w:tcBorders/>
            <w:shd w:fill="CCEEFF" w:val="clear"/>
            <w:vAlign w:val="center"/>
          </w:tcPr>
          <w:p>
            <w:pPr>
              <w:pStyle w:val="TableContents"/>
              <w:spacing w:before="0" w:after="0"/>
              <w:rPr>
                <w:rFonts w:ascii="Times New Roman" w:hAnsi="Times New Roman"/>
                <w:spacing w:val="0"/>
                <w:sz w:val="20"/>
              </w:rPr>
            </w:pPr>
            <w:r>
              <w:rPr>
                <w:rFonts w:ascii="Times New Roman" w:hAnsi="Times New Roman"/>
                <w:spacing w:val="0"/>
                <w:sz w:val="20"/>
              </w:rPr>
              <w:t>Company-owned stores at end of period</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127</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130</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134</w:t>
            </w:r>
          </w:p>
        </w:tc>
        <w:tc>
          <w:tcPr>
            <w:tcW w:w="60" w:type="dxa"/>
            <w:tcBorders/>
            <w:shd w:fill="CCEEFF" w:val="clear"/>
            <w:vAlign w:val="center"/>
          </w:tcPr>
          <w:p>
            <w:pPr>
              <w:pStyle w:val="TableContents"/>
              <w:spacing w:before="0" w:after="283"/>
              <w:rPr/>
            </w:pPr>
            <w:r>
              <w:rPr/>
              <w:t> </w:t>
            </w:r>
          </w:p>
        </w:tc>
        <w:tc>
          <w:tcPr>
            <w:tcW w:w="12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rPr/>
            </w:pPr>
            <w:r>
              <w:rPr/>
              <w:t> </w:t>
            </w:r>
          </w:p>
        </w:tc>
        <w:tc>
          <w:tcPr>
            <w:tcW w:w="1100" w:type="dxa"/>
            <w:tcBorders/>
            <w:shd w:fill="CCEEFF" w:val="clear"/>
            <w:vAlign w:val="center"/>
          </w:tcPr>
          <w:p>
            <w:pPr>
              <w:pStyle w:val="TableContents"/>
              <w:spacing w:before="0" w:after="283"/>
              <w:jc w:val="right"/>
              <w:rPr/>
            </w:pPr>
            <w:r>
              <w:rPr/>
              <w:t>136</w:t>
            </w:r>
          </w:p>
        </w:tc>
        <w:tc>
          <w:tcPr>
            <w:tcW w:w="75" w:type="dxa"/>
            <w:tcBorders/>
            <w:shd w:fill="CCEEFF" w:val="clear"/>
            <w:vAlign w:val="center"/>
          </w:tcPr>
          <w:p>
            <w:pPr>
              <w:pStyle w:val="TableContents"/>
              <w:spacing w:before="0" w:after="283"/>
              <w:rPr/>
            </w:pPr>
            <w:r>
              <w:rPr/>
              <w:t> </w:t>
            </w:r>
          </w:p>
        </w:tc>
      </w:tr>
    </w:tbl>
    <w:p>
      <w:pPr>
        <w:pStyle w:val="TextBody"/>
        <w:spacing w:before="240" w:after="0"/>
        <w:jc w:val="left"/>
        <w:rPr>
          <w:rFonts w:ascii="Times New Roman" w:hAnsi="Times New Roman"/>
          <w:sz w:val="20"/>
        </w:rPr>
      </w:pPr>
      <w:r>
        <w:rPr>
          <w:rFonts w:ascii="Times New Roman" w:hAnsi="Times New Roman"/>
          <w:sz w:val="20"/>
        </w:rPr>
        <w:t xml:space="preserve">Refer to Note 1 of our Consolidated Financial Statements for a discussion of the material impact of the </w:t>
      </w:r>
    </w:p>
    <w:p>
      <w:pPr>
        <w:pStyle w:val="TextBody"/>
        <w:spacing w:before="240" w:after="0"/>
        <w:jc w:val="left"/>
        <w:rPr>
          <w:rFonts w:ascii="Times New Roman" w:hAnsi="Times New Roman"/>
          <w:spacing w:val="0"/>
          <w:sz w:val="20"/>
        </w:rPr>
      </w:pPr>
      <w:r>
        <w:rPr>
          <w:rFonts w:ascii="Times New Roman" w:hAnsi="Times New Roman"/>
          <w:spacing w:val="0"/>
          <w:sz w:val="20"/>
        </w:rPr>
        <w:t>COVID-19</w:t>
      </w:r>
    </w:p>
    <w:p>
      <w:pPr>
        <w:pStyle w:val="TextBody"/>
        <w:spacing w:before="240" w:after="0"/>
        <w:jc w:val="left"/>
        <w:rPr>
          <w:rFonts w:ascii="Times New Roman" w:hAnsi="Times New Roman"/>
          <w:sz w:val="20"/>
        </w:rPr>
      </w:pPr>
      <w:r>
        <w:rPr>
          <w:rFonts w:ascii="Times New Roman" w:hAnsi="Times New Roman"/>
          <w:sz w:val="20"/>
        </w:rPr>
        <w:t xml:space="preserve">pandemic on our business during fiscal 2020. </w:t>
      </w:r>
    </w:p>
    <w:p>
      <w:pPr>
        <w:pStyle w:val="TextBody"/>
        <w:spacing w:before="0" w:after="0"/>
        <w:jc w:val="left"/>
        <w:rPr>
          <w:spacing w:val="0"/>
        </w:rPr>
      </w:pPr>
      <w:r>
        <w:rPr>
          <w:spacing w:val="0"/>
        </w:rPr>
        <w:t> </w:t>
      </w:r>
    </w:p>
    <w:p>
      <w:pPr>
        <w:pStyle w:val="TextBody"/>
        <w:jc w:val="center"/>
        <w:rPr>
          <w:rFonts w:ascii="Times New Roman" w:hAnsi="Times New Roman"/>
          <w:spacing w:val="0"/>
          <w:sz w:val="20"/>
        </w:rPr>
      </w:pPr>
      <w:r>
        <w:rPr>
          <w:rFonts w:ascii="Times New Roman" w:hAnsi="Times New Roman"/>
          <w:spacing w:val="0"/>
          <w:sz w:val="20"/>
        </w:rPr>
        <w:t xml:space="preserve">F-27 </w:t>
      </w:r>
      <w:r>
        <w:br w:type="page"/>
      </w:r>
    </w:p>
    <w:p>
      <w:pPr>
        <w:pStyle w:val="TextBody"/>
        <w:spacing w:before="0" w:after="0"/>
        <w:jc w:val="right"/>
        <w:rPr>
          <w:rFonts w:ascii="Times New Roman" w:hAnsi="Times New Roman"/>
          <w:b/>
          <w:sz w:val="20"/>
        </w:rPr>
      </w:pPr>
      <w:bookmarkStart w:id="22" w:name="d120247dex43.htm"/>
      <w:bookmarkStart w:id="23" w:name="ksd120247dex43"/>
      <w:bookmarkEnd w:id="22"/>
      <w:bookmarkEnd w:id="23"/>
      <w:r>
        <w:rPr>
          <w:rFonts w:ascii="Times New Roman" w:hAnsi="Times New Roman"/>
          <w:b/>
          <w:sz w:val="20"/>
        </w:rPr>
        <w:t xml:space="preserve">Exhibit 4.3 </w:t>
      </w:r>
    </w:p>
    <w:p>
      <w:pPr>
        <w:pStyle w:val="TextBody"/>
        <w:spacing w:before="480" w:after="0"/>
        <w:jc w:val="center"/>
        <w:rPr>
          <w:rFonts w:ascii="Times New Roman" w:hAnsi="Times New Roman"/>
          <w:b/>
          <w:sz w:val="20"/>
        </w:rPr>
      </w:pPr>
      <w:r>
        <w:rPr>
          <w:rFonts w:ascii="Times New Roman" w:hAnsi="Times New Roman"/>
          <w:b/>
          <w:sz w:val="20"/>
        </w:rPr>
        <w:t xml:space="preserve">DESCRIPTION OF THE REGISTRANTS SECURITIES </w:t>
      </w:r>
    </w:p>
    <w:p>
      <w:pPr>
        <w:pStyle w:val="TextBody"/>
        <w:spacing w:before="0" w:after="0"/>
        <w:jc w:val="center"/>
        <w:rPr>
          <w:rFonts w:ascii="Times New Roman" w:hAnsi="Times New Roman"/>
          <w:b/>
          <w:sz w:val="20"/>
        </w:rPr>
      </w:pPr>
      <w:r>
        <w:rPr>
          <w:rFonts w:ascii="Times New Roman" w:hAnsi="Times New Roman"/>
          <w:b/>
          <w:sz w:val="20"/>
        </w:rPr>
        <w:t xml:space="preserve">REGISTERED PURSUANT TO SECTION 12 OF THE </w:t>
      </w:r>
    </w:p>
    <w:p>
      <w:pPr>
        <w:pStyle w:val="TextBody"/>
        <w:spacing w:before="0" w:after="0"/>
        <w:jc w:val="center"/>
        <w:rPr>
          <w:rFonts w:ascii="Times New Roman" w:hAnsi="Times New Roman"/>
          <w:b/>
          <w:sz w:val="20"/>
        </w:rPr>
      </w:pPr>
      <w:r>
        <w:rPr>
          <w:rFonts w:ascii="Times New Roman" w:hAnsi="Times New Roman"/>
          <w:b/>
          <w:sz w:val="20"/>
        </w:rPr>
        <w:t xml:space="preserve">SECURITIES EXCHANGE ACT OF 1934 </w:t>
      </w:r>
    </w:p>
    <w:p>
      <w:pPr>
        <w:pStyle w:val="TextBody"/>
        <w:spacing w:before="240" w:after="0"/>
        <w:jc w:val="left"/>
        <w:rPr>
          <w:rFonts w:ascii="Times New Roman" w:hAnsi="Times New Roman"/>
          <w:i/>
          <w:sz w:val="20"/>
        </w:rPr>
      </w:pPr>
      <w:r>
        <w:rPr>
          <w:rFonts w:ascii="Times New Roman" w:hAnsi="Times New Roman"/>
          <w:i/>
          <w:sz w:val="20"/>
        </w:rPr>
        <w:t xml:space="preserve">Dave &amp; Busters Entertainment, Inc. (we, our, us or the Company) has two classes of securities registered under Section 12 of the Securities Exchange Act of 1934, as amended (the Exchange Act): our common stock and rights to purchase shares of preferred stock (Preferred Stock Purchase Rights). The Preferred Stock Purchase Rights have lapsed and we are in the process of deregistering the Preferred Stock Purchase Rights. </w:t>
      </w:r>
    </w:p>
    <w:p>
      <w:pPr>
        <w:pStyle w:val="TextBody"/>
        <w:spacing w:before="360" w:after="0"/>
        <w:jc w:val="left"/>
        <w:rPr>
          <w:rFonts w:ascii="Times New Roman" w:hAnsi="Times New Roman"/>
          <w:b/>
          <w:i/>
          <w:sz w:val="20"/>
        </w:rPr>
      </w:pPr>
      <w:r>
        <w:rPr>
          <w:rFonts w:ascii="Times New Roman" w:hAnsi="Times New Roman"/>
          <w:b/>
          <w:i/>
          <w:sz w:val="20"/>
        </w:rPr>
        <w:t xml:space="preserve">General </w:t>
      </w:r>
    </w:p>
    <w:p>
      <w:pPr>
        <w:pStyle w:val="TextBody"/>
        <w:spacing w:before="120" w:after="0"/>
        <w:jc w:val="left"/>
        <w:rPr>
          <w:rFonts w:ascii="Times New Roman" w:hAnsi="Times New Roman"/>
          <w:sz w:val="20"/>
        </w:rPr>
      </w:pPr>
      <w:r>
        <w:rPr>
          <w:rFonts w:ascii="Times New Roman" w:hAnsi="Times New Roman"/>
          <w:sz w:val="20"/>
        </w:rPr>
        <w:t xml:space="preserve">The following description is based upon our amended and restated certificate of incorporation and our amended and restated bylaws. This summary does not purport to be complete and is subject to, and is qualified in its entirety by express reference to, the applicable provisions of our amended and restated certificate of incorporation and our amended and restated bylaws, which are filed as exhibits to our Annual Report on Form 10-K, of which this Exhibit 4.1 is a part, and are incorporated by reference herein. We encourage you to read our amended and restated certificate of incorporation, our amended and restated bylaws and the applicable provisions of the Delaware General Corporation Law (the DGCL) for more information. </w:t>
      </w:r>
    </w:p>
    <w:p>
      <w:pPr>
        <w:pStyle w:val="TextBody"/>
        <w:spacing w:before="360" w:after="0"/>
        <w:jc w:val="left"/>
        <w:rPr>
          <w:rFonts w:ascii="Times New Roman" w:hAnsi="Times New Roman"/>
          <w:b/>
          <w:i/>
          <w:sz w:val="20"/>
        </w:rPr>
      </w:pPr>
      <w:r>
        <w:rPr>
          <w:rFonts w:ascii="Times New Roman" w:hAnsi="Times New Roman"/>
          <w:b/>
          <w:i/>
          <w:sz w:val="20"/>
        </w:rPr>
        <w:t xml:space="preserve">Classes of Stock </w:t>
      </w:r>
    </w:p>
    <w:p>
      <w:pPr>
        <w:pStyle w:val="TextBody"/>
        <w:spacing w:before="120" w:after="0"/>
        <w:jc w:val="left"/>
        <w:rPr>
          <w:rFonts w:ascii="Times New Roman" w:hAnsi="Times New Roman"/>
          <w:sz w:val="20"/>
        </w:rPr>
      </w:pPr>
      <w:r>
        <w:rPr>
          <w:rFonts w:ascii="Times New Roman" w:hAnsi="Times New Roman"/>
          <w:sz w:val="20"/>
        </w:rPr>
        <w:t xml:space="preserve">The total number of shares of all classes of capital stock that we are authorized to issue is 450,000,000 shares, which is divided into two classes of stock designated common stock and preferred stock. The total number of shares of common stock that we are authorized to issue is 400,000,000 shares, par value $0.01 per share. The total number of shares of preferred stock that we are authorized to issue is 50,000,000 shares, par value $0.01 per share. </w:t>
      </w:r>
    </w:p>
    <w:p>
      <w:pPr>
        <w:pStyle w:val="TextBody"/>
        <w:spacing w:before="240" w:after="0"/>
        <w:jc w:val="left"/>
        <w:rPr>
          <w:rFonts w:ascii="Times New Roman" w:hAnsi="Times New Roman"/>
          <w:sz w:val="20"/>
        </w:rPr>
      </w:pPr>
      <w:r>
        <w:rPr>
          <w:rFonts w:ascii="Times New Roman" w:hAnsi="Times New Roman"/>
          <w:sz w:val="20"/>
        </w:rPr>
        <w:t xml:space="preserve">Subject to the rights of the holders of any series of preferred stock, the number of authorized shares of either the common stock or preferred stock may be increased or decreased (but not below the number of shares thereof then outstanding) by the affirmative vote of the holders of a majority in voting power of the stock of the Company entitled to vote thereon irrespective of the provisions of Section 242(b)(2) of the General Corporation Law of the State of Delaware, or DGCL, and no vote of the holders of either the common stock or preferred stock voting separately as a class shall be required therefor. </w:t>
      </w:r>
    </w:p>
    <w:p>
      <w:pPr>
        <w:pStyle w:val="TextBody"/>
        <w:spacing w:before="360" w:after="0"/>
        <w:jc w:val="left"/>
        <w:rPr>
          <w:rFonts w:ascii="Times New Roman" w:hAnsi="Times New Roman"/>
          <w:b/>
          <w:i/>
          <w:sz w:val="20"/>
        </w:rPr>
      </w:pPr>
      <w:r>
        <w:rPr>
          <w:rFonts w:ascii="Times New Roman" w:hAnsi="Times New Roman"/>
          <w:b/>
          <w:i/>
          <w:sz w:val="20"/>
        </w:rPr>
        <w:t xml:space="preserve">Common Stock </w:t>
      </w:r>
    </w:p>
    <w:p>
      <w:pPr>
        <w:pStyle w:val="TextBody"/>
        <w:spacing w:before="120" w:after="0"/>
        <w:jc w:val="left"/>
        <w:rPr>
          <w:rFonts w:ascii="Times New Roman" w:hAnsi="Times New Roman"/>
          <w:sz w:val="20"/>
        </w:rPr>
      </w:pPr>
      <w:r>
        <w:rPr>
          <w:rFonts w:ascii="Times New Roman" w:hAnsi="Times New Roman"/>
          <w:sz w:val="20"/>
        </w:rPr>
        <w:t xml:space="preserve">The holders of shares of our common stock are entitled to the following rights: </w:t>
      </w:r>
    </w:p>
    <w:p>
      <w:pPr>
        <w:pStyle w:val="TextBody"/>
        <w:spacing w:before="360" w:after="0"/>
        <w:jc w:val="left"/>
        <w:rPr>
          <w:rFonts w:ascii="Times New Roman" w:hAnsi="Times New Roman"/>
          <w:i/>
          <w:sz w:val="20"/>
        </w:rPr>
      </w:pPr>
      <w:r>
        <w:rPr>
          <w:rFonts w:ascii="Times New Roman" w:hAnsi="Times New Roman"/>
          <w:i/>
          <w:sz w:val="20"/>
        </w:rPr>
        <w:t xml:space="preserve">Voting Rights </w:t>
      </w:r>
    </w:p>
    <w:p>
      <w:pPr>
        <w:pStyle w:val="TextBody"/>
        <w:spacing w:before="120" w:after="0"/>
        <w:jc w:val="left"/>
        <w:rPr>
          <w:rFonts w:ascii="Times New Roman" w:hAnsi="Times New Roman"/>
          <w:sz w:val="20"/>
        </w:rPr>
      </w:pPr>
      <w:r>
        <w:rPr>
          <w:rFonts w:ascii="Times New Roman" w:hAnsi="Times New Roman"/>
          <w:sz w:val="20"/>
        </w:rPr>
        <w:t xml:space="preserve">Except as otherwise provided by law or by the resolution or resolutions providing for the issue of any series of preferred stock, the holders of outstanding shares of common stock shall have the exclusive right to vote for the election of directors and for all other purposes. Notwithstanding any other provision to the contrary included in our restated certificate of incorporation, the holders of shares of our common stock shall not be entitled to vote on any amendment to the certificate of incorporation that relates solely to the terms of one or more outstanding series of preferred stock if the holders of such affected series are entitled, either separately or together as a class with the holders of one or more other such series, to vote thereon pursuant to the restated certificate of incorporation or the DGCL. </w:t>
      </w:r>
    </w:p>
    <w:p>
      <w:pPr>
        <w:pStyle w:val="TextBody"/>
        <w:spacing w:before="0" w:after="0"/>
        <w:jc w:val="left"/>
        <w:rPr>
          <w:rFonts w:ascii="Times New Roman" w:hAnsi="Times New Roman"/>
          <w:sz w:val="20"/>
        </w:rPr>
      </w:pPr>
      <w:r>
        <w:rPr>
          <w:rFonts w:ascii="Times New Roman" w:hAnsi="Times New Roman"/>
          <w:sz w:val="20"/>
        </w:rPr>
        <w:t xml:space="preserve">On each matter on which they are entitled to vote, the holders of the outstanding shares of common stock are entitled to one vote for each share of common stock held by such stockholder. </w:t>
      </w:r>
      <w:r>
        <w:br w:type="page"/>
      </w:r>
    </w:p>
    <w:p>
      <w:pPr>
        <w:pStyle w:val="HorizontalLine"/>
        <w:pBdr>
          <w:bottom w:val="double" w:sz="6" w:space="0" w:color="808080"/>
        </w:pBdr>
        <w:rPr/>
      </w:pPr>
      <w:r>
        <w:rPr/>
      </w:r>
    </w:p>
    <w:p>
      <w:pPr>
        <w:pStyle w:val="TextBody"/>
        <w:spacing w:before="0" w:after="0"/>
        <w:jc w:val="left"/>
        <w:rPr>
          <w:rFonts w:ascii="Times New Roman" w:hAnsi="Times New Roman"/>
          <w:i/>
          <w:sz w:val="20"/>
        </w:rPr>
      </w:pPr>
      <w:r>
        <w:rPr>
          <w:rFonts w:ascii="Times New Roman" w:hAnsi="Times New Roman"/>
          <w:i/>
          <w:sz w:val="20"/>
        </w:rPr>
        <w:t xml:space="preserve">Dividend Rights </w:t>
      </w:r>
    </w:p>
    <w:p>
      <w:pPr>
        <w:pStyle w:val="TextBody"/>
        <w:spacing w:before="120" w:after="0"/>
        <w:jc w:val="left"/>
        <w:rPr>
          <w:rFonts w:ascii="Times New Roman" w:hAnsi="Times New Roman"/>
          <w:sz w:val="20"/>
        </w:rPr>
      </w:pPr>
      <w:r>
        <w:rPr>
          <w:rFonts w:ascii="Times New Roman" w:hAnsi="Times New Roman"/>
          <w:sz w:val="20"/>
        </w:rPr>
        <w:t xml:space="preserve">Subject to the rights of the holders of preferred stock, holders of shares of our common stock are entitled to receive such dividends and other distributions in cash, stock or property of the Company when, as and if declared thereon by the Board of Directors from time to time out of assets or funds of the Company legally available therefor. </w:t>
      </w:r>
    </w:p>
    <w:p>
      <w:pPr>
        <w:pStyle w:val="TextBody"/>
        <w:spacing w:before="360" w:after="0"/>
        <w:jc w:val="left"/>
        <w:rPr>
          <w:rFonts w:ascii="Times New Roman" w:hAnsi="Times New Roman"/>
          <w:i/>
          <w:sz w:val="20"/>
        </w:rPr>
      </w:pPr>
      <w:r>
        <w:rPr>
          <w:rFonts w:ascii="Times New Roman" w:hAnsi="Times New Roman"/>
          <w:i/>
          <w:sz w:val="20"/>
        </w:rPr>
        <w:t xml:space="preserve">Liquidation Rights </w:t>
      </w:r>
    </w:p>
    <w:p>
      <w:pPr>
        <w:pStyle w:val="TextBody"/>
        <w:spacing w:before="120" w:after="0"/>
        <w:jc w:val="left"/>
        <w:rPr>
          <w:rFonts w:ascii="Times New Roman" w:hAnsi="Times New Roman"/>
          <w:sz w:val="20"/>
        </w:rPr>
      </w:pPr>
      <w:r>
        <w:rPr>
          <w:rFonts w:ascii="Times New Roman" w:hAnsi="Times New Roman"/>
          <w:sz w:val="20"/>
        </w:rPr>
        <w:t xml:space="preserve">Subject to the rights of the holders of preferred stock, holders of shares of common stock shall be entitled to receive the assets and funds of the Company available for distribution to stockholders in the event of any liquidation, dissolution or winding up of the affairs of the Company, whether voluntary or involuntary. A liquidation, dissolution or winding up of the affairs of the Company shall not be deemed to be occasioned by or to include any consolidation or merger of the Company with or into any other person or a sale, lease, exchange or conveyance of all or a part of its assets. </w:t>
      </w:r>
    </w:p>
    <w:p>
      <w:pPr>
        <w:pStyle w:val="TextBody"/>
        <w:spacing w:before="360" w:after="0"/>
        <w:jc w:val="left"/>
        <w:rPr>
          <w:rFonts w:ascii="Times New Roman" w:hAnsi="Times New Roman"/>
          <w:i/>
          <w:sz w:val="20"/>
        </w:rPr>
      </w:pPr>
      <w:r>
        <w:rPr>
          <w:rFonts w:ascii="Times New Roman" w:hAnsi="Times New Roman"/>
          <w:i/>
          <w:sz w:val="20"/>
        </w:rPr>
        <w:t xml:space="preserve">Other Rights </w:t>
      </w:r>
    </w:p>
    <w:p>
      <w:pPr>
        <w:pStyle w:val="TextBody"/>
        <w:spacing w:before="120" w:after="0"/>
        <w:jc w:val="left"/>
        <w:rPr>
          <w:rFonts w:ascii="Times New Roman" w:hAnsi="Times New Roman"/>
          <w:sz w:val="20"/>
        </w:rPr>
      </w:pPr>
      <w:r>
        <w:rPr>
          <w:rFonts w:ascii="Times New Roman" w:hAnsi="Times New Roman"/>
          <w:sz w:val="20"/>
        </w:rPr>
        <w:t xml:space="preserve">Our stockholders have no subscription, redemption or conversion privileges. Our common stock does not entitle its holders to preemptive rights for additional shares and does not have any sinking fund provisions. All of the outstanding shares of our common stock are fully paid and nonassessable. The rights, preferences and privileges of the holders of our common stock are subject to the rights of the holders of shares of any series of preferred stock which we may issue. </w:t>
      </w:r>
    </w:p>
    <w:p>
      <w:pPr>
        <w:pStyle w:val="TextBody"/>
        <w:spacing w:before="360" w:after="0"/>
        <w:jc w:val="left"/>
        <w:rPr>
          <w:rFonts w:ascii="Times New Roman" w:hAnsi="Times New Roman"/>
          <w:b/>
          <w:i/>
          <w:sz w:val="20"/>
        </w:rPr>
      </w:pPr>
      <w:r>
        <w:rPr>
          <w:rFonts w:ascii="Times New Roman" w:hAnsi="Times New Roman"/>
          <w:b/>
          <w:i/>
          <w:sz w:val="20"/>
        </w:rPr>
        <w:t xml:space="preserve">Preferred Stock </w:t>
      </w:r>
    </w:p>
    <w:p>
      <w:pPr>
        <w:pStyle w:val="TextBody"/>
        <w:spacing w:before="120" w:after="0"/>
        <w:jc w:val="left"/>
        <w:rPr>
          <w:rFonts w:ascii="Times New Roman" w:hAnsi="Times New Roman"/>
          <w:sz w:val="20"/>
        </w:rPr>
      </w:pPr>
      <w:r>
        <w:rPr>
          <w:rFonts w:ascii="Times New Roman" w:hAnsi="Times New Roman"/>
          <w:sz w:val="20"/>
        </w:rPr>
        <w:t xml:space="preserve">Shares of preferred stock may be issued from time to time in one or more series. The Board of Directors is authorized to provide by resolution or resolutions from time to time for the issuance, out of the unissued shares of preferred stock, of one or more series of preferred stock by filing a certificate pursuant to the DGCL, or the Preferred Stock Designation, setting forth such resolution or resolutions and, with respect to each such series, establishing the number of shares to be included in such series, and fixing the voting powers, full or limited, or no voting power of the shares of such series, and the designation, preferences and relative, participating, optional or other special rights, if any, of the shares of each such series and any qualifications, limitations or restrictions thereof. The powers, designation, preferences and relative, participating, optional and other special rights of each series of preferred stock, and the qualifications, limitations and restrictions thereof, if any, may differ from those of any and all other series at any time outstanding. The authority of the Board of Directors with respect to each series of preferred stock shall include, but not be limited to, the determination of the following: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designation of the series, which may be by distinguishing name, number, letter or title;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number of shares of the series, which number the Board of Directors may thereafter (except where otherwise provided in the Preferred Stock Designation) increase or decrease (but not below the number of shares thereof then outstanding);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rights in respect of any dividends (or methods of determining the dividends), if any, payable to the holders of the shares of such series, any conditions upon which such dividends shall be paid, the amounts or rates at which dividends, if any, will be payable on, and the preferences, if any, of shares of such series in respect of dividends, whether such dividends, if any, shall be cumulative or noncumulative and the date or dates upon which such dividends shall be payable; </w:t>
            </w:r>
          </w:p>
        </w:tc>
      </w:tr>
    </w:tbl>
    <w:p>
      <w:pPr>
        <w:pStyle w:val="HorizontalLine"/>
        <w:pBdr>
          <w:bottom w:val="double" w:sz="6" w:space="0" w:color="808080"/>
        </w:pBdr>
        <w:rPr/>
      </w:pPr>
      <w:r>
        <w:br w:type="page"/>
      </w:r>
      <w:r>
        <w:rPr/>
      </w:r>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redemption rights and price or prices, if any, for shares of the series, the form of payment of such price or prices (which may be cash, property or rights, including securities of the Company or another corporation or entity) for which, the period or periods within which and the other terms and conditions upon which the shares of such series may be redeemed, in whole or in part, at the option of the Company or at the option of the holder or holders thereof or upon the happening of a specified event or events, if any, including the obligation, if any, of the Company to purchase or redeem shares of such series pursuant to a sinking fund or otherwise;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2"/>
        <w:gridCol w:w="9288"/>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amounts payable out of the assets of the Company on, and the preferences, if any, of shares of the series in the event of any voluntary or involuntary liquidation, dissolution or winding up of the affairs of the Company;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whether the shares of the series shall be convertible into or exchangeable for, shares of any other class or series, or any other security, of the Company or any other corporation, and, if so, the specification of such other class or series or such other security, the conversion or exchange price or prices or rate or rates, any adjustments thereof, the date or dates at which such shares shall be convertible or exchangeable and all other terms and conditions upon which such conversion or exchange may be made;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any restrictions on the issuance of shares of the same series or any other class or series;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2"/>
        <w:gridCol w:w="9288"/>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voting rights, if any, of the holders of shares of the series generally or upon specified events;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any other powers, preferences and relative, participating, optional or other special rights of each series of preferred stock, and any qualifications, limitations or restrictions thereof, all as may be determined from time to time by the Board of Directors and stated in the resolution or resolutions providing for the issuance of such series of preferred stock. </w:t>
            </w:r>
          </w:p>
        </w:tc>
      </w:tr>
    </w:tbl>
    <w:p>
      <w:pPr>
        <w:pStyle w:val="TextBody"/>
        <w:spacing w:before="240" w:after="0"/>
        <w:jc w:val="left"/>
        <w:rPr>
          <w:rFonts w:ascii="Times New Roman" w:hAnsi="Times New Roman"/>
          <w:sz w:val="20"/>
        </w:rPr>
      </w:pPr>
      <w:r>
        <w:rPr>
          <w:rFonts w:ascii="Times New Roman" w:hAnsi="Times New Roman"/>
          <w:sz w:val="20"/>
        </w:rPr>
        <w:t xml:space="preserve">Without limiting the generality of the foregoing, the resolutions providing for issuance of any series of preferred stock may provide that such series shall be superior or rank equally or be junior to any other series of preferred stock to the extent permitted by law. </w:t>
      </w:r>
    </w:p>
    <w:p>
      <w:pPr>
        <w:pStyle w:val="TextBody"/>
        <w:spacing w:before="360" w:after="0"/>
        <w:jc w:val="left"/>
        <w:rPr>
          <w:rFonts w:ascii="Times New Roman" w:hAnsi="Times New Roman"/>
          <w:b/>
          <w:i/>
          <w:sz w:val="20"/>
        </w:rPr>
      </w:pPr>
      <w:r>
        <w:rPr>
          <w:rFonts w:ascii="Times New Roman" w:hAnsi="Times New Roman"/>
          <w:b/>
          <w:i/>
          <w:sz w:val="20"/>
        </w:rPr>
        <w:t xml:space="preserve">Anti-Takeover Effects of Certain Provisions of Delaware Law </w:t>
      </w:r>
    </w:p>
    <w:p>
      <w:pPr>
        <w:pStyle w:val="TextBody"/>
        <w:spacing w:before="120" w:after="0"/>
        <w:jc w:val="left"/>
        <w:rPr>
          <w:rFonts w:ascii="Times New Roman" w:hAnsi="Times New Roman"/>
          <w:sz w:val="20"/>
        </w:rPr>
      </w:pPr>
      <w:r>
        <w:rPr>
          <w:rFonts w:ascii="Times New Roman" w:hAnsi="Times New Roman"/>
          <w:sz w:val="20"/>
        </w:rPr>
        <w:t xml:space="preserve">We are subject to the provisions of Section 203 of the DGCL. Under Section 203, we would generally be prohibited from engaging in any business combination with any interested stockholder for a period of three years following the time that this stockholder became an interested stockholder unless: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0"/>
        <w:gridCol w:w="9290"/>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0"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prior to such time, our Board of Directors approved either the business combination or the transaction that resulted in the stockholder becoming an interested stockholder;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0"/>
        <w:gridCol w:w="9291"/>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0" w:type="dxa"/>
            <w:tcBorders/>
            <w:shd w:fill="auto" w:val="clear"/>
          </w:tcPr>
          <w:p>
            <w:pPr>
              <w:pStyle w:val="TableContents"/>
              <w:spacing w:before="0" w:after="283"/>
              <w:rPr/>
            </w:pPr>
            <w:r>
              <w:rPr/>
              <w:t> </w:t>
            </w:r>
          </w:p>
        </w:tc>
        <w:tc>
          <w:tcPr>
            <w:tcW w:w="9291"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upon consummation of the transaction that resulted in the stockholder becoming an interested stockholder, the interested stockholder owned at least 85% of our voting stock outstanding at the time the transaction commenced, subject to exceptions; or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at or subsequent to such time, the business combination is approved by the Board of Directors and authorized at an annual or special meeting of stockholders, and not by written consent, by the affirmative vote of at least two-thirds of the outstanding voting stock that is not owned by the interested stockholder. </w:t>
            </w:r>
          </w:p>
        </w:tc>
      </w:tr>
    </w:tbl>
    <w:p>
      <w:pPr>
        <w:pStyle w:val="TextBody"/>
        <w:spacing w:before="240" w:after="0"/>
        <w:jc w:val="left"/>
        <w:rPr>
          <w:rFonts w:ascii="Times New Roman" w:hAnsi="Times New Roman"/>
          <w:sz w:val="20"/>
        </w:rPr>
      </w:pPr>
      <w:r>
        <w:rPr>
          <w:rFonts w:ascii="Times New Roman" w:hAnsi="Times New Roman"/>
          <w:sz w:val="20"/>
        </w:rPr>
        <w:t xml:space="preserve">Under Section 203, a business combination includes: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any merger or consolidation involving the Company and the interested stockholder;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0"/>
        <w:gridCol w:w="9290"/>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0"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any sale, lease, exchange, mortgage, pledge, transfer or other disposition of 10% or more of the assets of the Company involving the interested stockholders;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any transaction that results in the issuance or transfer by the Company of any stock of the Company to the interested stockholder, subject to limited exceptions; </w:t>
            </w:r>
          </w:p>
        </w:tc>
      </w:tr>
    </w:tbl>
    <w:p>
      <w:pPr>
        <w:pStyle w:val="HorizontalLine"/>
        <w:pBdr>
          <w:bottom w:val="double" w:sz="6" w:space="0" w:color="808080"/>
        </w:pBdr>
        <w:rPr/>
      </w:pPr>
      <w:r>
        <w:br w:type="page"/>
      </w:r>
      <w:r>
        <w:rPr/>
      </w:r>
    </w:p>
    <w:tbl>
      <w:tblPr>
        <w:tblW w:w="5000" w:type="pct"/>
        <w:jc w:val="left"/>
        <w:tblInd w:w="0" w:type="dxa"/>
        <w:tblCellMar>
          <w:top w:w="0" w:type="dxa"/>
          <w:left w:w="0" w:type="dxa"/>
          <w:bottom w:w="0" w:type="dxa"/>
          <w:right w:w="0" w:type="dxa"/>
        </w:tblCellMar>
      </w:tblPr>
      <w:tblGrid>
        <w:gridCol w:w="509"/>
        <w:gridCol w:w="306"/>
        <w:gridCol w:w="102"/>
        <w:gridCol w:w="9288"/>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any transaction involving the Company that has the effect of increasing the proportionate share of the stock of any class or series of the Company beneficially owned by the interested stockholder; or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2"/>
        <w:gridCol w:w="9288"/>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any receipt by the interested stockholder of the benefit of any loans, advances, guarantees, pledges or other financial benefits provided by or through the Company. </w:t>
            </w:r>
          </w:p>
        </w:tc>
      </w:tr>
    </w:tbl>
    <w:p>
      <w:pPr>
        <w:pStyle w:val="TextBody"/>
        <w:spacing w:before="240" w:after="0"/>
        <w:jc w:val="left"/>
        <w:rPr>
          <w:rFonts w:ascii="Times New Roman" w:hAnsi="Times New Roman"/>
          <w:sz w:val="20"/>
        </w:rPr>
      </w:pPr>
      <w:r>
        <w:rPr>
          <w:rFonts w:ascii="Times New Roman" w:hAnsi="Times New Roman"/>
          <w:sz w:val="20"/>
        </w:rPr>
        <w:t xml:space="preserve">In general, Section 203 defines an interested stockholder as an entity or person beneficially owning 15% or more of outstanding voting stock and any entity or person affiliated with or controlling or controlled by such entity or person. </w:t>
      </w:r>
    </w:p>
    <w:p>
      <w:pPr>
        <w:pStyle w:val="TextBody"/>
        <w:spacing w:before="360" w:after="0"/>
        <w:jc w:val="left"/>
        <w:rPr>
          <w:rFonts w:ascii="Times New Roman" w:hAnsi="Times New Roman"/>
          <w:b/>
          <w:i/>
          <w:sz w:val="20"/>
        </w:rPr>
      </w:pPr>
      <w:r>
        <w:rPr>
          <w:rFonts w:ascii="Times New Roman" w:hAnsi="Times New Roman"/>
          <w:b/>
          <w:i/>
          <w:sz w:val="20"/>
        </w:rPr>
        <w:t xml:space="preserve">Anti-Takeover Effects of our Constituent Documents </w:t>
      </w:r>
    </w:p>
    <w:p>
      <w:pPr>
        <w:pStyle w:val="TextBody"/>
        <w:spacing w:before="120" w:after="0"/>
        <w:jc w:val="left"/>
        <w:rPr>
          <w:rFonts w:ascii="Times New Roman" w:hAnsi="Times New Roman"/>
          <w:sz w:val="20"/>
        </w:rPr>
      </w:pPr>
      <w:r>
        <w:rPr>
          <w:rFonts w:ascii="Times New Roman" w:hAnsi="Times New Roman"/>
          <w:sz w:val="20"/>
        </w:rPr>
        <w:t xml:space="preserve">Our amended and restated certificate of incorporation and bylaws include a number of provisions that may discourage, delay or prevent a merger, acquisition or other change in control of the Company, even if such a change in control would be beneficial to our stockholders, including, among other things: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0"/>
        <w:gridCol w:w="9290"/>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0"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restrictions on the ability of our stockholders to fill a vacancy on the Board of Directors;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0"/>
        <w:gridCol w:w="9290"/>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0"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our ability to issue preferred stock with terms that the Board of Directors may determine, without stockholder approval, which could be used to significantly dilute the ownership of a hostile acquirer;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0"/>
        <w:gridCol w:w="9290"/>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0"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inability of our stockholders to call a special meeting of stockholders;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0"/>
        <w:gridCol w:w="9290"/>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0"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 restriction to the effect that special meetings of our stockholders can be called only upon the request of a majority of our Board of Directors or our Chief Executive Officer;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0"/>
        <w:gridCol w:w="9290"/>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0"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absence of cumulative voting in the election of directors, which may limit the ability of minority stockholders to elect directors;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advance notice requirements for stockholder proposals and nominations, which may discourage or deter a potential acquirer from soliciting proxies to elect a particular slate of directors or otherwise attempting to obtain control of us. </w:t>
            </w:r>
          </w:p>
        </w:tc>
      </w:tr>
    </w:tbl>
    <w:p>
      <w:pPr>
        <w:pStyle w:val="TextBody"/>
        <w:spacing w:before="240" w:after="0"/>
        <w:jc w:val="left"/>
        <w:rPr>
          <w:rFonts w:ascii="Times New Roman" w:hAnsi="Times New Roman"/>
          <w:sz w:val="20"/>
        </w:rPr>
      </w:pPr>
      <w:r>
        <w:rPr>
          <w:rFonts w:ascii="Times New Roman" w:hAnsi="Times New Roman"/>
          <w:sz w:val="20"/>
        </w:rPr>
        <w:t xml:space="preserve">We expect that these provisions will discourage coercive takeover practices or inadequate takeover bids. These provisions are also designed to encourage persons seeking to acquire control of us to first negotiate with our Board of Directors, which we believe may result in an improvement of the terms of any such acquisition in favor of our stockholders. However, they also give our Board of Directors the power to discourage acquisitions that some stockholders may favor. </w:t>
      </w:r>
    </w:p>
    <w:p>
      <w:pPr>
        <w:pStyle w:val="TextBody"/>
        <w:spacing w:before="360" w:after="0"/>
        <w:jc w:val="left"/>
        <w:rPr>
          <w:rFonts w:ascii="Times New Roman" w:hAnsi="Times New Roman"/>
          <w:b/>
          <w:sz w:val="20"/>
        </w:rPr>
      </w:pPr>
      <w:r>
        <w:rPr>
          <w:rFonts w:ascii="Times New Roman" w:hAnsi="Times New Roman"/>
          <w:b/>
          <w:sz w:val="20"/>
        </w:rPr>
        <w:t xml:space="preserve">Choice of Forum </w:t>
      </w:r>
    </w:p>
    <w:p>
      <w:pPr>
        <w:pStyle w:val="TextBody"/>
        <w:spacing w:before="120" w:after="0"/>
        <w:jc w:val="left"/>
        <w:rPr>
          <w:rFonts w:ascii="Times New Roman" w:hAnsi="Times New Roman"/>
          <w:sz w:val="20"/>
        </w:rPr>
      </w:pPr>
      <w:r>
        <w:rPr>
          <w:rFonts w:ascii="Times New Roman" w:hAnsi="Times New Roman"/>
          <w:sz w:val="20"/>
        </w:rPr>
        <w:t xml:space="preserve">Our amended and restated certificate of incorporation provides that the Court of Chancery in the State of Delaware will be the sole and exclusive forum for: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any derivative action or proceeding brought on behalf of the Company;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0"/>
        <w:gridCol w:w="9290"/>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0"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any action asserting a claim of breach of a fiduciary duty owed by any director, officer or employee of the Company to the Company or the Companys stockholders,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6"/>
        <w:gridCol w:w="102"/>
        <w:gridCol w:w="9287"/>
      </w:tblGrid>
      <w:tr>
        <w:trPr/>
        <w:tc>
          <w:tcPr>
            <w:tcW w:w="510"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any action asserting a claim arising pursuant to any provision of the DGCL, or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2"/>
        <w:gridCol w:w="9288"/>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any action asserting a claim governed by the internal affairs doctrine. </w:t>
            </w:r>
          </w:p>
        </w:tc>
      </w:tr>
    </w:tbl>
    <w:p>
      <w:pPr>
        <w:pStyle w:val="HorizontalLine"/>
        <w:pBdr>
          <w:bottom w:val="double" w:sz="6" w:space="0" w:color="808080"/>
        </w:pBdr>
        <w:rPr/>
      </w:pPr>
      <w:r>
        <w:br w:type="page"/>
      </w:r>
      <w:r>
        <w:rPr/>
      </w:r>
    </w:p>
    <w:p>
      <w:pPr>
        <w:pStyle w:val="TextBody"/>
        <w:spacing w:before="0" w:after="0"/>
        <w:jc w:val="left"/>
        <w:rPr>
          <w:rFonts w:ascii="Times New Roman" w:hAnsi="Times New Roman"/>
          <w:b/>
          <w:sz w:val="20"/>
        </w:rPr>
      </w:pPr>
      <w:r>
        <w:rPr>
          <w:rFonts w:ascii="Times New Roman" w:hAnsi="Times New Roman"/>
          <w:b/>
          <w:sz w:val="20"/>
        </w:rPr>
        <w:t xml:space="preserve">Transfer Agent and Registrar </w:t>
      </w:r>
    </w:p>
    <w:p>
      <w:pPr>
        <w:pStyle w:val="TextBody"/>
        <w:spacing w:before="120" w:after="0"/>
        <w:jc w:val="left"/>
        <w:rPr>
          <w:rFonts w:ascii="Times New Roman" w:hAnsi="Times New Roman"/>
          <w:sz w:val="20"/>
        </w:rPr>
      </w:pPr>
      <w:r>
        <w:rPr>
          <w:rFonts w:ascii="Times New Roman" w:hAnsi="Times New Roman"/>
          <w:sz w:val="20"/>
        </w:rPr>
        <w:t xml:space="preserve">The transfer agent and registrar for our common stock and our Preferred Stock Purchase Rights is Computershare Trust Company, N.A. Following the expiration of the Preferred Stock Purchase Rights, the Rights Plan appointing Computershare Trust Company, N.A., as the transfer agent and registrar for the Preferred Stock Purchase Rights has terminated. </w:t>
      </w:r>
    </w:p>
    <w:p>
      <w:pPr>
        <w:pStyle w:val="TextBody"/>
        <w:spacing w:before="360" w:after="0"/>
        <w:jc w:val="left"/>
        <w:rPr>
          <w:rFonts w:ascii="Times New Roman" w:hAnsi="Times New Roman"/>
          <w:b/>
          <w:sz w:val="20"/>
        </w:rPr>
      </w:pPr>
      <w:r>
        <w:rPr>
          <w:rFonts w:ascii="Times New Roman" w:hAnsi="Times New Roman"/>
          <w:b/>
          <w:sz w:val="20"/>
        </w:rPr>
        <w:t xml:space="preserve">Securities Exchange </w:t>
      </w:r>
    </w:p>
    <w:p>
      <w:pPr>
        <w:pStyle w:val="TextBody"/>
        <w:spacing w:before="120" w:after="0"/>
        <w:jc w:val="left"/>
        <w:rPr>
          <w:rFonts w:ascii="Times New Roman" w:hAnsi="Times New Roman"/>
          <w:sz w:val="20"/>
        </w:rPr>
      </w:pPr>
      <w:r>
        <w:rPr>
          <w:rFonts w:ascii="Times New Roman" w:hAnsi="Times New Roman"/>
          <w:sz w:val="20"/>
        </w:rPr>
        <w:t xml:space="preserve">Our common stock is listed on The Nasdaq Global Select Market under the symbol PLAY. </w:t>
      </w:r>
      <w:r>
        <w:br w:type="page"/>
      </w:r>
    </w:p>
    <w:p>
      <w:pPr>
        <w:pStyle w:val="TextBody"/>
        <w:spacing w:before="0" w:after="0"/>
        <w:jc w:val="right"/>
        <w:rPr>
          <w:rFonts w:ascii="Times New Roman" w:hAnsi="Times New Roman"/>
          <w:b/>
          <w:sz w:val="20"/>
        </w:rPr>
      </w:pPr>
      <w:bookmarkStart w:id="24" w:name="d120247dex211.htm"/>
      <w:bookmarkStart w:id="25" w:name="ksd120247dex211"/>
      <w:bookmarkEnd w:id="24"/>
      <w:bookmarkEnd w:id="25"/>
      <w:r>
        <w:rPr>
          <w:rFonts w:ascii="Times New Roman" w:hAnsi="Times New Roman"/>
          <w:b/>
          <w:sz w:val="20"/>
        </w:rPr>
        <w:t xml:space="preserve">Exhibit 21.1 </w:t>
      </w:r>
    </w:p>
    <w:p>
      <w:pPr>
        <w:pStyle w:val="TextBody"/>
        <w:spacing w:before="480" w:after="0"/>
        <w:jc w:val="center"/>
        <w:rPr>
          <w:rFonts w:ascii="Times New Roman" w:hAnsi="Times New Roman"/>
          <w:b/>
          <w:sz w:val="20"/>
        </w:rPr>
      </w:pPr>
      <w:r>
        <w:rPr>
          <w:rFonts w:ascii="Times New Roman" w:hAnsi="Times New Roman"/>
          <w:b/>
          <w:sz w:val="20"/>
        </w:rPr>
        <w:t xml:space="preserve">SUBSIDIARIES OF THE REGISTRANT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6452"/>
        <w:gridCol w:w="785"/>
        <w:gridCol w:w="2968"/>
      </w:tblGrid>
      <w:tr>
        <w:trPr/>
        <w:tc>
          <w:tcPr>
            <w:tcW w:w="6452" w:type="dxa"/>
            <w:tcBorders/>
            <w:shd w:fill="auto" w:val="clear"/>
            <w:vAlign w:val="center"/>
          </w:tcPr>
          <w:p>
            <w:pPr>
              <w:pStyle w:val="TableContents"/>
              <w:spacing w:before="0" w:after="283"/>
              <w:rPr>
                <w:sz w:val="4"/>
                <w:szCs w:val="4"/>
              </w:rPr>
            </w:pPr>
            <w:r>
              <w:rPr>
                <w:sz w:val="4"/>
                <w:szCs w:val="4"/>
              </w:rPr>
            </w:r>
          </w:p>
        </w:tc>
        <w:tc>
          <w:tcPr>
            <w:tcW w:w="785" w:type="dxa"/>
            <w:tcBorders/>
            <w:shd w:fill="auto" w:val="clear"/>
            <w:vAlign w:val="bottom"/>
          </w:tcPr>
          <w:p>
            <w:pPr>
              <w:pStyle w:val="TableContents"/>
              <w:spacing w:before="0" w:after="283"/>
              <w:rPr>
                <w:sz w:val="4"/>
                <w:szCs w:val="4"/>
              </w:rPr>
            </w:pPr>
            <w:r>
              <w:rPr>
                <w:sz w:val="4"/>
                <w:szCs w:val="4"/>
              </w:rPr>
            </w:r>
          </w:p>
        </w:tc>
        <w:tc>
          <w:tcPr>
            <w:tcW w:w="2968" w:type="dxa"/>
            <w:tcBorders/>
            <w:shd w:fill="auto" w:val="clear"/>
            <w:vAlign w:val="center"/>
          </w:tcPr>
          <w:p>
            <w:pPr>
              <w:pStyle w:val="TableContents"/>
              <w:spacing w:before="0" w:after="283"/>
              <w:rPr>
                <w:sz w:val="4"/>
                <w:szCs w:val="4"/>
              </w:rPr>
            </w:pPr>
            <w:r>
              <w:rPr>
                <w:sz w:val="4"/>
                <w:szCs w:val="4"/>
              </w:rPr>
            </w:r>
          </w:p>
        </w:tc>
      </w:tr>
      <w:tr>
        <w:trPr/>
        <w:tc>
          <w:tcPr>
            <w:tcW w:w="6452" w:type="dxa"/>
            <w:tcBorders/>
            <w:shd w:fill="auto" w:val="clear"/>
            <w:vAlign w:val="bottom"/>
          </w:tcPr>
          <w:p>
            <w:pPr>
              <w:pStyle w:val="TableContents"/>
              <w:pBdr>
                <w:bottom w:val="single" w:sz="8" w:space="1" w:color="000000"/>
              </w:pBdr>
              <w:spacing w:before="0" w:after="0"/>
              <w:rPr>
                <w:rFonts w:ascii="Times New Roman" w:hAnsi="Times New Roman"/>
                <w:b/>
                <w:sz w:val="16"/>
              </w:rPr>
            </w:pPr>
            <w:r>
              <w:rPr>
                <w:rFonts w:ascii="Times New Roman" w:hAnsi="Times New Roman"/>
                <w:b/>
                <w:sz w:val="16"/>
              </w:rPr>
              <w:t>Name</w:t>
            </w:r>
          </w:p>
        </w:tc>
        <w:tc>
          <w:tcPr>
            <w:tcW w:w="785" w:type="dxa"/>
            <w:tcBorders/>
            <w:shd w:fill="auto" w:val="clear"/>
            <w:vAlign w:val="bottom"/>
          </w:tcPr>
          <w:p>
            <w:pPr>
              <w:pStyle w:val="TableContents"/>
              <w:spacing w:before="0" w:after="283"/>
              <w:rPr/>
            </w:pPr>
            <w:r>
              <w:rPr/>
              <w:t>  </w:t>
            </w:r>
          </w:p>
        </w:tc>
        <w:tc>
          <w:tcPr>
            <w:tcW w:w="2968" w:type="dxa"/>
            <w:tcBorders>
              <w:bottom w:val="single" w:sz="8" w:space="0" w:color="000000"/>
            </w:tcBorders>
            <w:shd w:fill="auto" w:val="clear"/>
            <w:tcMar>
              <w:bottom w:w="28" w:type="dxa"/>
            </w:tcMar>
            <w:vAlign w:val="bottom"/>
          </w:tcPr>
          <w:p>
            <w:pPr>
              <w:pStyle w:val="TableContents"/>
              <w:spacing w:before="0" w:after="283"/>
              <w:jc w:val="center"/>
              <w:rPr/>
            </w:pPr>
            <w:r>
              <w:rPr>
                <w:b/>
              </w:rPr>
              <w:t>State or Other</w:t>
            </w:r>
            <w:r>
              <w:rPr/>
              <w:br/>
            </w:r>
            <w:r>
              <w:rPr>
                <w:b/>
              </w:rPr>
              <w:t>Jurisdiction of Incorporation</w:t>
            </w:r>
            <w:r>
              <w:rPr/>
              <w:br/>
            </w:r>
            <w:r>
              <w:rPr>
                <w:b/>
              </w:rPr>
              <w:t>Or Organization</w:t>
            </w:r>
          </w:p>
        </w:tc>
      </w:tr>
      <w:tr>
        <w:trPr/>
        <w:tc>
          <w:tcPr>
            <w:tcW w:w="6452" w:type="dxa"/>
            <w:tcBorders/>
            <w:shd w:fill="CCEEFF" w:val="clear"/>
          </w:tcPr>
          <w:p>
            <w:pPr>
              <w:pStyle w:val="TableContents"/>
              <w:spacing w:before="0" w:after="0"/>
              <w:rPr>
                <w:rFonts w:ascii="Times New Roman" w:hAnsi="Times New Roman"/>
                <w:sz w:val="20"/>
              </w:rPr>
            </w:pPr>
            <w:r>
              <w:rPr>
                <w:rFonts w:ascii="Times New Roman" w:hAnsi="Times New Roman"/>
                <w:sz w:val="20"/>
              </w:rPr>
              <w:t>Dave &amp; Busters I, L.P.</w:t>
            </w:r>
          </w:p>
        </w:tc>
        <w:tc>
          <w:tcPr>
            <w:tcW w:w="785" w:type="dxa"/>
            <w:tcBorders/>
            <w:shd w:fill="CCEEFF" w:val="clear"/>
            <w:vAlign w:val="bottom"/>
          </w:tcPr>
          <w:p>
            <w:pPr>
              <w:pStyle w:val="TableContents"/>
              <w:spacing w:before="0" w:after="283"/>
              <w:rPr/>
            </w:pPr>
            <w:r>
              <w:rPr/>
              <w:t>  </w:t>
            </w:r>
          </w:p>
        </w:tc>
        <w:tc>
          <w:tcPr>
            <w:tcW w:w="2968" w:type="dxa"/>
            <w:tcBorders/>
            <w:shd w:fill="CCEEFF" w:val="clear"/>
            <w:vAlign w:val="bottom"/>
          </w:tcPr>
          <w:p>
            <w:pPr>
              <w:pStyle w:val="TableContents"/>
              <w:spacing w:before="0" w:after="283"/>
              <w:jc w:val="center"/>
              <w:rPr/>
            </w:pPr>
            <w:r>
              <w:rPr/>
              <w:t>Texas</w:t>
            </w:r>
          </w:p>
        </w:tc>
      </w:tr>
      <w:tr>
        <w:trPr/>
        <w:tc>
          <w:tcPr>
            <w:tcW w:w="6452" w:type="dxa"/>
            <w:tcBorders/>
            <w:shd w:fill="auto" w:val="clear"/>
          </w:tcPr>
          <w:p>
            <w:pPr>
              <w:pStyle w:val="TableContents"/>
              <w:spacing w:before="0" w:after="0"/>
              <w:rPr>
                <w:rFonts w:ascii="Times New Roman" w:hAnsi="Times New Roman"/>
                <w:sz w:val="20"/>
              </w:rPr>
            </w:pPr>
            <w:r>
              <w:rPr>
                <w:rFonts w:ascii="Times New Roman" w:hAnsi="Times New Roman"/>
                <w:sz w:val="20"/>
              </w:rPr>
              <w:t>Dave &amp; Busters, Inc.</w:t>
            </w:r>
          </w:p>
        </w:tc>
        <w:tc>
          <w:tcPr>
            <w:tcW w:w="785" w:type="dxa"/>
            <w:tcBorders/>
            <w:shd w:fill="auto" w:val="clear"/>
            <w:vAlign w:val="bottom"/>
          </w:tcPr>
          <w:p>
            <w:pPr>
              <w:pStyle w:val="TableContents"/>
              <w:spacing w:before="0" w:after="283"/>
              <w:rPr/>
            </w:pPr>
            <w:r>
              <w:rPr/>
              <w:t>  </w:t>
            </w:r>
          </w:p>
        </w:tc>
        <w:tc>
          <w:tcPr>
            <w:tcW w:w="2968" w:type="dxa"/>
            <w:tcBorders/>
            <w:shd w:fill="auto" w:val="clear"/>
            <w:vAlign w:val="bottom"/>
          </w:tcPr>
          <w:p>
            <w:pPr>
              <w:pStyle w:val="TableContents"/>
              <w:spacing w:before="0" w:after="283"/>
              <w:jc w:val="center"/>
              <w:rPr/>
            </w:pPr>
            <w:r>
              <w:rPr/>
              <w:t>Missouri</w:t>
            </w:r>
          </w:p>
        </w:tc>
      </w:tr>
      <w:tr>
        <w:trPr/>
        <w:tc>
          <w:tcPr>
            <w:tcW w:w="6452" w:type="dxa"/>
            <w:tcBorders/>
            <w:shd w:fill="CCEEFF" w:val="clear"/>
          </w:tcPr>
          <w:p>
            <w:pPr>
              <w:pStyle w:val="TableContents"/>
              <w:spacing w:before="0" w:after="0"/>
              <w:rPr>
                <w:rFonts w:ascii="Times New Roman" w:hAnsi="Times New Roman"/>
                <w:sz w:val="20"/>
              </w:rPr>
            </w:pPr>
            <w:r>
              <w:rPr>
                <w:rFonts w:ascii="Times New Roman" w:hAnsi="Times New Roman"/>
                <w:sz w:val="20"/>
              </w:rPr>
              <w:t>Dave &amp; Busters Holdings, Inc.</w:t>
            </w:r>
          </w:p>
        </w:tc>
        <w:tc>
          <w:tcPr>
            <w:tcW w:w="785" w:type="dxa"/>
            <w:tcBorders/>
            <w:shd w:fill="CCEEFF" w:val="clear"/>
            <w:vAlign w:val="bottom"/>
          </w:tcPr>
          <w:p>
            <w:pPr>
              <w:pStyle w:val="TableContents"/>
              <w:spacing w:before="0" w:after="283"/>
              <w:rPr/>
            </w:pPr>
            <w:r>
              <w:rPr/>
              <w:t>  </w:t>
            </w:r>
          </w:p>
        </w:tc>
        <w:tc>
          <w:tcPr>
            <w:tcW w:w="2968" w:type="dxa"/>
            <w:tcBorders/>
            <w:shd w:fill="CCEEFF" w:val="clear"/>
            <w:vAlign w:val="bottom"/>
          </w:tcPr>
          <w:p>
            <w:pPr>
              <w:pStyle w:val="TableContents"/>
              <w:spacing w:before="0" w:after="283"/>
              <w:jc w:val="center"/>
              <w:rPr/>
            </w:pPr>
            <w:r>
              <w:rPr/>
              <w:t>Delaware</w:t>
            </w:r>
          </w:p>
        </w:tc>
      </w:tr>
      <w:tr>
        <w:trPr/>
        <w:tc>
          <w:tcPr>
            <w:tcW w:w="6452" w:type="dxa"/>
            <w:tcBorders/>
            <w:shd w:fill="auto" w:val="clear"/>
          </w:tcPr>
          <w:p>
            <w:pPr>
              <w:pStyle w:val="TableContents"/>
              <w:spacing w:before="0" w:after="0"/>
              <w:rPr>
                <w:rFonts w:ascii="Times New Roman" w:hAnsi="Times New Roman"/>
                <w:sz w:val="20"/>
              </w:rPr>
            </w:pPr>
            <w:r>
              <w:rPr>
                <w:rFonts w:ascii="Times New Roman" w:hAnsi="Times New Roman"/>
                <w:sz w:val="20"/>
              </w:rPr>
              <w:t>Dave &amp; Busters Invesco LLC</w:t>
            </w:r>
          </w:p>
        </w:tc>
        <w:tc>
          <w:tcPr>
            <w:tcW w:w="785" w:type="dxa"/>
            <w:tcBorders/>
            <w:shd w:fill="auto" w:val="clear"/>
            <w:vAlign w:val="bottom"/>
          </w:tcPr>
          <w:p>
            <w:pPr>
              <w:pStyle w:val="TableContents"/>
              <w:spacing w:before="0" w:after="283"/>
              <w:rPr/>
            </w:pPr>
            <w:r>
              <w:rPr/>
              <w:t>  </w:t>
            </w:r>
          </w:p>
        </w:tc>
        <w:tc>
          <w:tcPr>
            <w:tcW w:w="2968" w:type="dxa"/>
            <w:tcBorders/>
            <w:shd w:fill="auto" w:val="clear"/>
            <w:vAlign w:val="bottom"/>
          </w:tcPr>
          <w:p>
            <w:pPr>
              <w:pStyle w:val="TableContents"/>
              <w:spacing w:before="0" w:after="283"/>
              <w:jc w:val="center"/>
              <w:rPr/>
            </w:pPr>
            <w:r>
              <w:rPr/>
              <w:t>Texas</w:t>
            </w:r>
          </w:p>
        </w:tc>
      </w:tr>
      <w:tr>
        <w:trPr/>
        <w:tc>
          <w:tcPr>
            <w:tcW w:w="6452" w:type="dxa"/>
            <w:tcBorders/>
            <w:shd w:fill="CCEEFF" w:val="clear"/>
          </w:tcPr>
          <w:p>
            <w:pPr>
              <w:pStyle w:val="TableContents"/>
              <w:spacing w:before="0" w:after="20"/>
              <w:rPr>
                <w:rFonts w:ascii="Times New Roman" w:hAnsi="Times New Roman"/>
                <w:sz w:val="20"/>
              </w:rPr>
            </w:pPr>
            <w:r>
              <w:rPr>
                <w:rFonts w:ascii="Times New Roman" w:hAnsi="Times New Roman"/>
                <w:sz w:val="20"/>
              </w:rPr>
              <w:t>Dave &amp; Busters Management Corporation, Inc.</w:t>
            </w:r>
          </w:p>
        </w:tc>
        <w:tc>
          <w:tcPr>
            <w:tcW w:w="785" w:type="dxa"/>
            <w:tcBorders/>
            <w:shd w:fill="CCEEFF" w:val="clear"/>
            <w:vAlign w:val="bottom"/>
          </w:tcPr>
          <w:p>
            <w:pPr>
              <w:pStyle w:val="TableContents"/>
              <w:spacing w:before="0" w:after="283"/>
              <w:rPr/>
            </w:pPr>
            <w:r>
              <w:rPr/>
              <w:t>  </w:t>
            </w:r>
          </w:p>
        </w:tc>
        <w:tc>
          <w:tcPr>
            <w:tcW w:w="2968" w:type="dxa"/>
            <w:tcBorders/>
            <w:shd w:fill="CCEEFF" w:val="clear"/>
            <w:vAlign w:val="bottom"/>
          </w:tcPr>
          <w:p>
            <w:pPr>
              <w:pStyle w:val="TableContents"/>
              <w:spacing w:before="0" w:after="283"/>
              <w:jc w:val="center"/>
              <w:rPr/>
            </w:pPr>
            <w:r>
              <w:rPr/>
              <w:t>Texas</w:t>
            </w:r>
          </w:p>
        </w:tc>
      </w:tr>
      <w:tr>
        <w:trPr/>
        <w:tc>
          <w:tcPr>
            <w:tcW w:w="6452" w:type="dxa"/>
            <w:tcBorders/>
            <w:shd w:fill="auto" w:val="clear"/>
          </w:tcPr>
          <w:p>
            <w:pPr>
              <w:pStyle w:val="TableContents"/>
              <w:spacing w:before="0" w:after="0"/>
              <w:rPr>
                <w:rFonts w:ascii="Times New Roman" w:hAnsi="Times New Roman"/>
                <w:sz w:val="20"/>
              </w:rPr>
            </w:pPr>
            <w:r>
              <w:rPr>
                <w:rFonts w:ascii="Times New Roman" w:hAnsi="Times New Roman"/>
                <w:sz w:val="20"/>
              </w:rPr>
              <w:t>Dave &amp; Busters ProCo LLC</w:t>
            </w:r>
          </w:p>
        </w:tc>
        <w:tc>
          <w:tcPr>
            <w:tcW w:w="785" w:type="dxa"/>
            <w:tcBorders/>
            <w:shd w:fill="auto" w:val="clear"/>
            <w:vAlign w:val="bottom"/>
          </w:tcPr>
          <w:p>
            <w:pPr>
              <w:pStyle w:val="TableContents"/>
              <w:spacing w:before="0" w:after="283"/>
              <w:rPr/>
            </w:pPr>
            <w:r>
              <w:rPr/>
              <w:t>  </w:t>
            </w:r>
          </w:p>
        </w:tc>
        <w:tc>
          <w:tcPr>
            <w:tcW w:w="2968" w:type="dxa"/>
            <w:tcBorders/>
            <w:shd w:fill="auto" w:val="clear"/>
            <w:vAlign w:val="bottom"/>
          </w:tcPr>
          <w:p>
            <w:pPr>
              <w:pStyle w:val="TableContents"/>
              <w:spacing w:before="0" w:after="283"/>
              <w:jc w:val="center"/>
              <w:rPr/>
            </w:pPr>
            <w:r>
              <w:rPr/>
              <w:t>Texas</w:t>
            </w:r>
          </w:p>
        </w:tc>
      </w:tr>
      <w:tr>
        <w:trPr/>
        <w:tc>
          <w:tcPr>
            <w:tcW w:w="6452" w:type="dxa"/>
            <w:tcBorders/>
            <w:shd w:fill="CCEEFF" w:val="clear"/>
          </w:tcPr>
          <w:p>
            <w:pPr>
              <w:pStyle w:val="TableContents"/>
              <w:spacing w:before="0" w:after="0"/>
              <w:rPr>
                <w:rFonts w:ascii="Times New Roman" w:hAnsi="Times New Roman"/>
                <w:sz w:val="20"/>
              </w:rPr>
            </w:pPr>
            <w:r>
              <w:rPr>
                <w:rFonts w:ascii="Times New Roman" w:hAnsi="Times New Roman"/>
                <w:sz w:val="20"/>
              </w:rPr>
              <w:t>Dave &amp; Busters of Alabama, Inc.</w:t>
            </w:r>
          </w:p>
        </w:tc>
        <w:tc>
          <w:tcPr>
            <w:tcW w:w="785" w:type="dxa"/>
            <w:tcBorders/>
            <w:shd w:fill="CCEEFF" w:val="clear"/>
            <w:vAlign w:val="bottom"/>
          </w:tcPr>
          <w:p>
            <w:pPr>
              <w:pStyle w:val="TableContents"/>
              <w:spacing w:before="0" w:after="283"/>
              <w:rPr/>
            </w:pPr>
            <w:r>
              <w:rPr/>
              <w:t>  </w:t>
            </w:r>
          </w:p>
        </w:tc>
        <w:tc>
          <w:tcPr>
            <w:tcW w:w="2968" w:type="dxa"/>
            <w:tcBorders/>
            <w:shd w:fill="CCEEFF" w:val="clear"/>
            <w:vAlign w:val="bottom"/>
          </w:tcPr>
          <w:p>
            <w:pPr>
              <w:pStyle w:val="TableContents"/>
              <w:spacing w:before="0" w:after="283"/>
              <w:jc w:val="center"/>
              <w:rPr/>
            </w:pPr>
            <w:r>
              <w:rPr/>
              <w:t>Delaware</w:t>
            </w:r>
          </w:p>
        </w:tc>
      </w:tr>
      <w:tr>
        <w:trPr/>
        <w:tc>
          <w:tcPr>
            <w:tcW w:w="6452" w:type="dxa"/>
            <w:tcBorders/>
            <w:shd w:fill="auto" w:val="clear"/>
          </w:tcPr>
          <w:p>
            <w:pPr>
              <w:pStyle w:val="TableContents"/>
              <w:spacing w:before="0" w:after="0"/>
              <w:rPr>
                <w:rFonts w:ascii="Times New Roman" w:hAnsi="Times New Roman"/>
                <w:sz w:val="20"/>
              </w:rPr>
            </w:pPr>
            <w:r>
              <w:rPr>
                <w:rFonts w:ascii="Times New Roman" w:hAnsi="Times New Roman"/>
                <w:sz w:val="20"/>
              </w:rPr>
              <w:t>Dave &amp; Busters of Alaska, Inc.</w:t>
            </w:r>
          </w:p>
        </w:tc>
        <w:tc>
          <w:tcPr>
            <w:tcW w:w="785" w:type="dxa"/>
            <w:tcBorders/>
            <w:shd w:fill="auto" w:val="clear"/>
            <w:vAlign w:val="bottom"/>
          </w:tcPr>
          <w:p>
            <w:pPr>
              <w:pStyle w:val="TableContents"/>
              <w:spacing w:before="0" w:after="283"/>
              <w:rPr/>
            </w:pPr>
            <w:r>
              <w:rPr/>
              <w:t>  </w:t>
            </w:r>
          </w:p>
        </w:tc>
        <w:tc>
          <w:tcPr>
            <w:tcW w:w="2968" w:type="dxa"/>
            <w:tcBorders/>
            <w:shd w:fill="auto" w:val="clear"/>
            <w:vAlign w:val="bottom"/>
          </w:tcPr>
          <w:p>
            <w:pPr>
              <w:pStyle w:val="TableContents"/>
              <w:spacing w:before="0" w:after="283"/>
              <w:jc w:val="center"/>
              <w:rPr/>
            </w:pPr>
            <w:r>
              <w:rPr/>
              <w:t>Delaware</w:t>
            </w:r>
          </w:p>
        </w:tc>
      </w:tr>
      <w:tr>
        <w:trPr/>
        <w:tc>
          <w:tcPr>
            <w:tcW w:w="6452" w:type="dxa"/>
            <w:tcBorders/>
            <w:shd w:fill="CCEEFF" w:val="clear"/>
          </w:tcPr>
          <w:p>
            <w:pPr>
              <w:pStyle w:val="TableContents"/>
              <w:spacing w:before="0" w:after="0"/>
              <w:rPr>
                <w:rFonts w:ascii="Times New Roman" w:hAnsi="Times New Roman"/>
                <w:sz w:val="20"/>
              </w:rPr>
            </w:pPr>
            <w:r>
              <w:rPr>
                <w:rFonts w:ascii="Times New Roman" w:hAnsi="Times New Roman"/>
                <w:sz w:val="20"/>
              </w:rPr>
              <w:t>Dave &amp; Busters of Arkansas, Inc.</w:t>
            </w:r>
          </w:p>
        </w:tc>
        <w:tc>
          <w:tcPr>
            <w:tcW w:w="785" w:type="dxa"/>
            <w:tcBorders/>
            <w:shd w:fill="CCEEFF" w:val="clear"/>
            <w:vAlign w:val="bottom"/>
          </w:tcPr>
          <w:p>
            <w:pPr>
              <w:pStyle w:val="TableContents"/>
              <w:spacing w:before="0" w:after="283"/>
              <w:rPr/>
            </w:pPr>
            <w:r>
              <w:rPr/>
              <w:t>  </w:t>
            </w:r>
          </w:p>
        </w:tc>
        <w:tc>
          <w:tcPr>
            <w:tcW w:w="2968" w:type="dxa"/>
            <w:tcBorders/>
            <w:shd w:fill="CCEEFF" w:val="clear"/>
            <w:vAlign w:val="bottom"/>
          </w:tcPr>
          <w:p>
            <w:pPr>
              <w:pStyle w:val="TableContents"/>
              <w:spacing w:before="0" w:after="283"/>
              <w:jc w:val="center"/>
              <w:rPr/>
            </w:pPr>
            <w:r>
              <w:rPr/>
              <w:t>Delaware</w:t>
            </w:r>
          </w:p>
        </w:tc>
      </w:tr>
      <w:tr>
        <w:trPr/>
        <w:tc>
          <w:tcPr>
            <w:tcW w:w="6452" w:type="dxa"/>
            <w:tcBorders/>
            <w:shd w:fill="auto" w:val="clear"/>
          </w:tcPr>
          <w:p>
            <w:pPr>
              <w:pStyle w:val="TableContents"/>
              <w:spacing w:before="0" w:after="0"/>
              <w:rPr>
                <w:rFonts w:ascii="Times New Roman" w:hAnsi="Times New Roman"/>
                <w:sz w:val="20"/>
              </w:rPr>
            </w:pPr>
            <w:r>
              <w:rPr>
                <w:rFonts w:ascii="Times New Roman" w:hAnsi="Times New Roman"/>
                <w:sz w:val="20"/>
              </w:rPr>
              <w:t>Dave &amp; Busters of California, Inc.</w:t>
            </w:r>
          </w:p>
        </w:tc>
        <w:tc>
          <w:tcPr>
            <w:tcW w:w="785" w:type="dxa"/>
            <w:tcBorders/>
            <w:shd w:fill="auto" w:val="clear"/>
            <w:vAlign w:val="bottom"/>
          </w:tcPr>
          <w:p>
            <w:pPr>
              <w:pStyle w:val="TableContents"/>
              <w:spacing w:before="0" w:after="283"/>
              <w:rPr/>
            </w:pPr>
            <w:r>
              <w:rPr/>
              <w:t>  </w:t>
            </w:r>
          </w:p>
        </w:tc>
        <w:tc>
          <w:tcPr>
            <w:tcW w:w="2968" w:type="dxa"/>
            <w:tcBorders/>
            <w:shd w:fill="auto" w:val="clear"/>
            <w:vAlign w:val="bottom"/>
          </w:tcPr>
          <w:p>
            <w:pPr>
              <w:pStyle w:val="TableContents"/>
              <w:spacing w:before="0" w:after="283"/>
              <w:jc w:val="center"/>
              <w:rPr/>
            </w:pPr>
            <w:r>
              <w:rPr/>
              <w:t>California</w:t>
            </w:r>
          </w:p>
        </w:tc>
      </w:tr>
      <w:tr>
        <w:trPr/>
        <w:tc>
          <w:tcPr>
            <w:tcW w:w="6452" w:type="dxa"/>
            <w:tcBorders/>
            <w:shd w:fill="CCEEFF" w:val="clear"/>
          </w:tcPr>
          <w:p>
            <w:pPr>
              <w:pStyle w:val="TableContents"/>
              <w:spacing w:before="0" w:after="0"/>
              <w:rPr>
                <w:rFonts w:ascii="Times New Roman" w:hAnsi="Times New Roman"/>
                <w:sz w:val="20"/>
              </w:rPr>
            </w:pPr>
            <w:r>
              <w:rPr>
                <w:rFonts w:ascii="Times New Roman" w:hAnsi="Times New Roman"/>
                <w:sz w:val="20"/>
              </w:rPr>
              <w:t>Dave &amp; Busters of Connecticut, Inc.</w:t>
            </w:r>
          </w:p>
        </w:tc>
        <w:tc>
          <w:tcPr>
            <w:tcW w:w="785" w:type="dxa"/>
            <w:tcBorders/>
            <w:shd w:fill="CCEEFF" w:val="clear"/>
            <w:vAlign w:val="bottom"/>
          </w:tcPr>
          <w:p>
            <w:pPr>
              <w:pStyle w:val="TableContents"/>
              <w:spacing w:before="0" w:after="283"/>
              <w:rPr/>
            </w:pPr>
            <w:r>
              <w:rPr/>
              <w:t>  </w:t>
            </w:r>
          </w:p>
        </w:tc>
        <w:tc>
          <w:tcPr>
            <w:tcW w:w="2968" w:type="dxa"/>
            <w:tcBorders/>
            <w:shd w:fill="CCEEFF" w:val="clear"/>
            <w:vAlign w:val="bottom"/>
          </w:tcPr>
          <w:p>
            <w:pPr>
              <w:pStyle w:val="TableContents"/>
              <w:spacing w:before="0" w:after="283"/>
              <w:jc w:val="center"/>
              <w:rPr/>
            </w:pPr>
            <w:r>
              <w:rPr/>
              <w:t>Delaware</w:t>
            </w:r>
          </w:p>
        </w:tc>
      </w:tr>
      <w:tr>
        <w:trPr/>
        <w:tc>
          <w:tcPr>
            <w:tcW w:w="6452" w:type="dxa"/>
            <w:tcBorders/>
            <w:shd w:fill="auto" w:val="clear"/>
          </w:tcPr>
          <w:p>
            <w:pPr>
              <w:pStyle w:val="TableContents"/>
              <w:spacing w:before="0" w:after="0"/>
              <w:rPr>
                <w:rFonts w:ascii="Times New Roman" w:hAnsi="Times New Roman"/>
                <w:sz w:val="20"/>
              </w:rPr>
            </w:pPr>
            <w:r>
              <w:rPr>
                <w:rFonts w:ascii="Times New Roman" w:hAnsi="Times New Roman"/>
                <w:sz w:val="20"/>
              </w:rPr>
              <w:t>Dave &amp; Busters of Colorado, Inc.</w:t>
            </w:r>
          </w:p>
        </w:tc>
        <w:tc>
          <w:tcPr>
            <w:tcW w:w="785" w:type="dxa"/>
            <w:tcBorders/>
            <w:shd w:fill="auto" w:val="clear"/>
            <w:vAlign w:val="bottom"/>
          </w:tcPr>
          <w:p>
            <w:pPr>
              <w:pStyle w:val="TableContents"/>
              <w:spacing w:before="0" w:after="283"/>
              <w:rPr/>
            </w:pPr>
            <w:r>
              <w:rPr/>
              <w:t>  </w:t>
            </w:r>
          </w:p>
        </w:tc>
        <w:tc>
          <w:tcPr>
            <w:tcW w:w="2968" w:type="dxa"/>
            <w:tcBorders/>
            <w:shd w:fill="auto" w:val="clear"/>
            <w:vAlign w:val="bottom"/>
          </w:tcPr>
          <w:p>
            <w:pPr>
              <w:pStyle w:val="TableContents"/>
              <w:spacing w:before="0" w:after="283"/>
              <w:jc w:val="center"/>
              <w:rPr/>
            </w:pPr>
            <w:r>
              <w:rPr/>
              <w:t>Colorado</w:t>
            </w:r>
          </w:p>
        </w:tc>
      </w:tr>
      <w:tr>
        <w:trPr/>
        <w:tc>
          <w:tcPr>
            <w:tcW w:w="6452" w:type="dxa"/>
            <w:tcBorders/>
            <w:shd w:fill="CCEEFF" w:val="clear"/>
          </w:tcPr>
          <w:p>
            <w:pPr>
              <w:pStyle w:val="TableContents"/>
              <w:spacing w:before="0" w:after="0"/>
              <w:rPr>
                <w:rFonts w:ascii="Times New Roman" w:hAnsi="Times New Roman"/>
                <w:sz w:val="20"/>
              </w:rPr>
            </w:pPr>
            <w:r>
              <w:rPr>
                <w:rFonts w:ascii="Times New Roman" w:hAnsi="Times New Roman"/>
                <w:sz w:val="20"/>
              </w:rPr>
              <w:t>Dave &amp; Busters of Florida, LP</w:t>
            </w:r>
          </w:p>
        </w:tc>
        <w:tc>
          <w:tcPr>
            <w:tcW w:w="785" w:type="dxa"/>
            <w:tcBorders/>
            <w:shd w:fill="CCEEFF" w:val="clear"/>
            <w:vAlign w:val="bottom"/>
          </w:tcPr>
          <w:p>
            <w:pPr>
              <w:pStyle w:val="TableContents"/>
              <w:spacing w:before="0" w:after="283"/>
              <w:rPr/>
            </w:pPr>
            <w:r>
              <w:rPr/>
              <w:t>  </w:t>
            </w:r>
          </w:p>
        </w:tc>
        <w:tc>
          <w:tcPr>
            <w:tcW w:w="2968" w:type="dxa"/>
            <w:tcBorders/>
            <w:shd w:fill="CCEEFF" w:val="clear"/>
            <w:vAlign w:val="bottom"/>
          </w:tcPr>
          <w:p>
            <w:pPr>
              <w:pStyle w:val="TableContents"/>
              <w:spacing w:before="0" w:after="283"/>
              <w:jc w:val="center"/>
              <w:rPr/>
            </w:pPr>
            <w:r>
              <w:rPr/>
              <w:t>Florida</w:t>
            </w:r>
          </w:p>
        </w:tc>
      </w:tr>
      <w:tr>
        <w:trPr/>
        <w:tc>
          <w:tcPr>
            <w:tcW w:w="6452" w:type="dxa"/>
            <w:tcBorders/>
            <w:shd w:fill="auto" w:val="clear"/>
          </w:tcPr>
          <w:p>
            <w:pPr>
              <w:pStyle w:val="TableContents"/>
              <w:spacing w:before="0" w:after="0"/>
              <w:rPr>
                <w:rFonts w:ascii="Times New Roman" w:hAnsi="Times New Roman"/>
                <w:sz w:val="20"/>
              </w:rPr>
            </w:pPr>
            <w:r>
              <w:rPr>
                <w:rFonts w:ascii="Times New Roman" w:hAnsi="Times New Roman"/>
                <w:sz w:val="20"/>
              </w:rPr>
              <w:t>Dave &amp; Busters of Georgia, Inc.</w:t>
            </w:r>
          </w:p>
        </w:tc>
        <w:tc>
          <w:tcPr>
            <w:tcW w:w="785" w:type="dxa"/>
            <w:tcBorders/>
            <w:shd w:fill="auto" w:val="clear"/>
            <w:vAlign w:val="bottom"/>
          </w:tcPr>
          <w:p>
            <w:pPr>
              <w:pStyle w:val="TableContents"/>
              <w:spacing w:before="0" w:after="283"/>
              <w:rPr/>
            </w:pPr>
            <w:r>
              <w:rPr/>
              <w:t>  </w:t>
            </w:r>
          </w:p>
        </w:tc>
        <w:tc>
          <w:tcPr>
            <w:tcW w:w="2968" w:type="dxa"/>
            <w:tcBorders/>
            <w:shd w:fill="auto" w:val="clear"/>
            <w:vAlign w:val="bottom"/>
          </w:tcPr>
          <w:p>
            <w:pPr>
              <w:pStyle w:val="TableContents"/>
              <w:spacing w:before="0" w:after="283"/>
              <w:jc w:val="center"/>
              <w:rPr/>
            </w:pPr>
            <w:r>
              <w:rPr/>
              <w:t>Georgia</w:t>
            </w:r>
          </w:p>
        </w:tc>
      </w:tr>
      <w:tr>
        <w:trPr/>
        <w:tc>
          <w:tcPr>
            <w:tcW w:w="6452" w:type="dxa"/>
            <w:tcBorders/>
            <w:shd w:fill="CCEEFF" w:val="clear"/>
          </w:tcPr>
          <w:p>
            <w:pPr>
              <w:pStyle w:val="TableContents"/>
              <w:spacing w:before="0" w:after="0"/>
              <w:rPr>
                <w:rFonts w:ascii="Times New Roman" w:hAnsi="Times New Roman"/>
                <w:sz w:val="20"/>
              </w:rPr>
            </w:pPr>
            <w:r>
              <w:rPr>
                <w:rFonts w:ascii="Times New Roman" w:hAnsi="Times New Roman"/>
                <w:sz w:val="20"/>
              </w:rPr>
              <w:t>Dave &amp; Busters of Hawaii, Inc.</w:t>
            </w:r>
          </w:p>
        </w:tc>
        <w:tc>
          <w:tcPr>
            <w:tcW w:w="785" w:type="dxa"/>
            <w:tcBorders/>
            <w:shd w:fill="CCEEFF" w:val="clear"/>
            <w:vAlign w:val="bottom"/>
          </w:tcPr>
          <w:p>
            <w:pPr>
              <w:pStyle w:val="TableContents"/>
              <w:spacing w:before="0" w:after="283"/>
              <w:rPr/>
            </w:pPr>
            <w:r>
              <w:rPr/>
              <w:t>  </w:t>
            </w:r>
          </w:p>
        </w:tc>
        <w:tc>
          <w:tcPr>
            <w:tcW w:w="2968" w:type="dxa"/>
            <w:tcBorders/>
            <w:shd w:fill="CCEEFF" w:val="clear"/>
            <w:vAlign w:val="bottom"/>
          </w:tcPr>
          <w:p>
            <w:pPr>
              <w:pStyle w:val="TableContents"/>
              <w:spacing w:before="0" w:after="283"/>
              <w:jc w:val="center"/>
              <w:rPr/>
            </w:pPr>
            <w:r>
              <w:rPr/>
              <w:t>Hawaii</w:t>
            </w:r>
          </w:p>
        </w:tc>
      </w:tr>
      <w:tr>
        <w:trPr/>
        <w:tc>
          <w:tcPr>
            <w:tcW w:w="6452" w:type="dxa"/>
            <w:tcBorders/>
            <w:shd w:fill="auto" w:val="clear"/>
          </w:tcPr>
          <w:p>
            <w:pPr>
              <w:pStyle w:val="TableContents"/>
              <w:spacing w:before="0" w:after="0"/>
              <w:rPr>
                <w:rFonts w:ascii="Times New Roman" w:hAnsi="Times New Roman"/>
                <w:sz w:val="20"/>
              </w:rPr>
            </w:pPr>
            <w:r>
              <w:rPr>
                <w:rFonts w:ascii="Times New Roman" w:hAnsi="Times New Roman"/>
                <w:sz w:val="20"/>
              </w:rPr>
              <w:t>Dave &amp; Busters of Idaho, Inc.</w:t>
            </w:r>
          </w:p>
        </w:tc>
        <w:tc>
          <w:tcPr>
            <w:tcW w:w="785" w:type="dxa"/>
            <w:tcBorders/>
            <w:shd w:fill="auto" w:val="clear"/>
            <w:vAlign w:val="bottom"/>
          </w:tcPr>
          <w:p>
            <w:pPr>
              <w:pStyle w:val="TableContents"/>
              <w:spacing w:before="0" w:after="283"/>
              <w:rPr/>
            </w:pPr>
            <w:r>
              <w:rPr/>
              <w:t>  </w:t>
            </w:r>
          </w:p>
        </w:tc>
        <w:tc>
          <w:tcPr>
            <w:tcW w:w="2968" w:type="dxa"/>
            <w:tcBorders/>
            <w:shd w:fill="auto" w:val="clear"/>
            <w:vAlign w:val="bottom"/>
          </w:tcPr>
          <w:p>
            <w:pPr>
              <w:pStyle w:val="TableContents"/>
              <w:spacing w:before="0" w:after="283"/>
              <w:jc w:val="center"/>
              <w:rPr/>
            </w:pPr>
            <w:r>
              <w:rPr/>
              <w:t>Delaware</w:t>
            </w:r>
          </w:p>
        </w:tc>
      </w:tr>
      <w:tr>
        <w:trPr/>
        <w:tc>
          <w:tcPr>
            <w:tcW w:w="6452" w:type="dxa"/>
            <w:tcBorders/>
            <w:shd w:fill="CCEEFF" w:val="clear"/>
          </w:tcPr>
          <w:p>
            <w:pPr>
              <w:pStyle w:val="TableContents"/>
              <w:spacing w:before="0" w:after="0"/>
              <w:rPr>
                <w:rFonts w:ascii="Times New Roman" w:hAnsi="Times New Roman"/>
                <w:sz w:val="20"/>
              </w:rPr>
            </w:pPr>
            <w:r>
              <w:rPr>
                <w:rFonts w:ascii="Times New Roman" w:hAnsi="Times New Roman"/>
                <w:sz w:val="20"/>
              </w:rPr>
              <w:t>Dave &amp; Busters of Illinois, Inc.</w:t>
            </w:r>
          </w:p>
        </w:tc>
        <w:tc>
          <w:tcPr>
            <w:tcW w:w="785" w:type="dxa"/>
            <w:tcBorders/>
            <w:shd w:fill="CCEEFF" w:val="clear"/>
            <w:vAlign w:val="bottom"/>
          </w:tcPr>
          <w:p>
            <w:pPr>
              <w:pStyle w:val="TableContents"/>
              <w:spacing w:before="0" w:after="283"/>
              <w:rPr/>
            </w:pPr>
            <w:r>
              <w:rPr/>
              <w:t>  </w:t>
            </w:r>
          </w:p>
        </w:tc>
        <w:tc>
          <w:tcPr>
            <w:tcW w:w="2968" w:type="dxa"/>
            <w:tcBorders/>
            <w:shd w:fill="CCEEFF" w:val="clear"/>
            <w:vAlign w:val="bottom"/>
          </w:tcPr>
          <w:p>
            <w:pPr>
              <w:pStyle w:val="TableContents"/>
              <w:spacing w:before="0" w:after="283"/>
              <w:jc w:val="center"/>
              <w:rPr/>
            </w:pPr>
            <w:r>
              <w:rPr/>
              <w:t>Illinois</w:t>
            </w:r>
          </w:p>
        </w:tc>
      </w:tr>
      <w:tr>
        <w:trPr/>
        <w:tc>
          <w:tcPr>
            <w:tcW w:w="6452" w:type="dxa"/>
            <w:tcBorders/>
            <w:shd w:fill="auto" w:val="clear"/>
          </w:tcPr>
          <w:p>
            <w:pPr>
              <w:pStyle w:val="TableContents"/>
              <w:spacing w:before="0" w:after="0"/>
              <w:rPr>
                <w:rFonts w:ascii="Times New Roman" w:hAnsi="Times New Roman"/>
                <w:sz w:val="20"/>
              </w:rPr>
            </w:pPr>
            <w:r>
              <w:rPr>
                <w:rFonts w:ascii="Times New Roman" w:hAnsi="Times New Roman"/>
                <w:sz w:val="20"/>
              </w:rPr>
              <w:t>Dave &amp; Busters of Indiana, Inc.</w:t>
            </w:r>
          </w:p>
        </w:tc>
        <w:tc>
          <w:tcPr>
            <w:tcW w:w="785" w:type="dxa"/>
            <w:tcBorders/>
            <w:shd w:fill="auto" w:val="clear"/>
            <w:vAlign w:val="bottom"/>
          </w:tcPr>
          <w:p>
            <w:pPr>
              <w:pStyle w:val="TableContents"/>
              <w:spacing w:before="0" w:after="283"/>
              <w:rPr/>
            </w:pPr>
            <w:r>
              <w:rPr/>
              <w:t>  </w:t>
            </w:r>
          </w:p>
        </w:tc>
        <w:tc>
          <w:tcPr>
            <w:tcW w:w="2968" w:type="dxa"/>
            <w:tcBorders/>
            <w:shd w:fill="auto" w:val="clear"/>
            <w:vAlign w:val="bottom"/>
          </w:tcPr>
          <w:p>
            <w:pPr>
              <w:pStyle w:val="TableContents"/>
              <w:spacing w:before="0" w:after="283"/>
              <w:jc w:val="center"/>
              <w:rPr/>
            </w:pPr>
            <w:r>
              <w:rPr/>
              <w:t>Delaware</w:t>
            </w:r>
          </w:p>
        </w:tc>
      </w:tr>
      <w:tr>
        <w:trPr/>
        <w:tc>
          <w:tcPr>
            <w:tcW w:w="6452" w:type="dxa"/>
            <w:tcBorders/>
            <w:shd w:fill="CCEEFF" w:val="clear"/>
          </w:tcPr>
          <w:p>
            <w:pPr>
              <w:pStyle w:val="TableContents"/>
              <w:spacing w:before="0" w:after="20"/>
              <w:rPr>
                <w:rFonts w:ascii="Times New Roman" w:hAnsi="Times New Roman"/>
                <w:sz w:val="20"/>
              </w:rPr>
            </w:pPr>
            <w:r>
              <w:rPr>
                <w:rFonts w:ascii="Times New Roman" w:hAnsi="Times New Roman"/>
                <w:sz w:val="20"/>
              </w:rPr>
              <w:t>Dave &amp; Busters of Iowa, Inc.</w:t>
            </w:r>
          </w:p>
        </w:tc>
        <w:tc>
          <w:tcPr>
            <w:tcW w:w="785" w:type="dxa"/>
            <w:tcBorders/>
            <w:shd w:fill="CCEEFF" w:val="clear"/>
            <w:vAlign w:val="bottom"/>
          </w:tcPr>
          <w:p>
            <w:pPr>
              <w:pStyle w:val="TableContents"/>
              <w:spacing w:before="0" w:after="283"/>
              <w:rPr/>
            </w:pPr>
            <w:r>
              <w:rPr/>
              <w:t>  </w:t>
            </w:r>
          </w:p>
        </w:tc>
        <w:tc>
          <w:tcPr>
            <w:tcW w:w="2968" w:type="dxa"/>
            <w:tcBorders/>
            <w:shd w:fill="CCEEFF" w:val="clear"/>
            <w:vAlign w:val="bottom"/>
          </w:tcPr>
          <w:p>
            <w:pPr>
              <w:pStyle w:val="TableContents"/>
              <w:spacing w:before="0" w:after="283"/>
              <w:jc w:val="center"/>
              <w:rPr/>
            </w:pPr>
            <w:r>
              <w:rPr/>
              <w:t>Delaware</w:t>
            </w:r>
          </w:p>
        </w:tc>
      </w:tr>
      <w:tr>
        <w:trPr/>
        <w:tc>
          <w:tcPr>
            <w:tcW w:w="6452" w:type="dxa"/>
            <w:tcBorders/>
            <w:shd w:fill="auto" w:val="clear"/>
          </w:tcPr>
          <w:p>
            <w:pPr>
              <w:pStyle w:val="TableContents"/>
              <w:spacing w:before="0" w:after="0"/>
              <w:rPr>
                <w:rFonts w:ascii="Times New Roman" w:hAnsi="Times New Roman"/>
                <w:sz w:val="20"/>
              </w:rPr>
            </w:pPr>
            <w:r>
              <w:rPr>
                <w:rFonts w:ascii="Times New Roman" w:hAnsi="Times New Roman"/>
                <w:sz w:val="20"/>
              </w:rPr>
              <w:t>Dave &amp; Busters of Kansas, Inc.</w:t>
            </w:r>
          </w:p>
        </w:tc>
        <w:tc>
          <w:tcPr>
            <w:tcW w:w="785" w:type="dxa"/>
            <w:tcBorders/>
            <w:shd w:fill="auto" w:val="clear"/>
            <w:vAlign w:val="bottom"/>
          </w:tcPr>
          <w:p>
            <w:pPr>
              <w:pStyle w:val="TableContents"/>
              <w:spacing w:before="0" w:after="283"/>
              <w:rPr/>
            </w:pPr>
            <w:r>
              <w:rPr/>
              <w:t>  </w:t>
            </w:r>
          </w:p>
        </w:tc>
        <w:tc>
          <w:tcPr>
            <w:tcW w:w="2968" w:type="dxa"/>
            <w:tcBorders/>
            <w:shd w:fill="auto" w:val="clear"/>
            <w:vAlign w:val="bottom"/>
          </w:tcPr>
          <w:p>
            <w:pPr>
              <w:pStyle w:val="TableContents"/>
              <w:spacing w:before="0" w:after="283"/>
              <w:jc w:val="center"/>
              <w:rPr/>
            </w:pPr>
            <w:r>
              <w:rPr/>
              <w:t>Kansas</w:t>
            </w:r>
          </w:p>
        </w:tc>
      </w:tr>
      <w:tr>
        <w:trPr/>
        <w:tc>
          <w:tcPr>
            <w:tcW w:w="6452" w:type="dxa"/>
            <w:tcBorders/>
            <w:shd w:fill="CCEEFF" w:val="clear"/>
          </w:tcPr>
          <w:p>
            <w:pPr>
              <w:pStyle w:val="TableContents"/>
              <w:spacing w:before="0" w:after="0"/>
              <w:rPr>
                <w:rFonts w:ascii="Times New Roman" w:hAnsi="Times New Roman"/>
                <w:sz w:val="20"/>
              </w:rPr>
            </w:pPr>
            <w:r>
              <w:rPr>
                <w:rFonts w:ascii="Times New Roman" w:hAnsi="Times New Roman"/>
                <w:sz w:val="20"/>
              </w:rPr>
              <w:t>Dave &amp; Busters of Kentucky, Inc.</w:t>
            </w:r>
          </w:p>
        </w:tc>
        <w:tc>
          <w:tcPr>
            <w:tcW w:w="785" w:type="dxa"/>
            <w:tcBorders/>
            <w:shd w:fill="CCEEFF" w:val="clear"/>
            <w:vAlign w:val="bottom"/>
          </w:tcPr>
          <w:p>
            <w:pPr>
              <w:pStyle w:val="TableContents"/>
              <w:spacing w:before="0" w:after="283"/>
              <w:rPr/>
            </w:pPr>
            <w:r>
              <w:rPr/>
              <w:t>  </w:t>
            </w:r>
          </w:p>
        </w:tc>
        <w:tc>
          <w:tcPr>
            <w:tcW w:w="2968" w:type="dxa"/>
            <w:tcBorders/>
            <w:shd w:fill="CCEEFF" w:val="clear"/>
            <w:vAlign w:val="bottom"/>
          </w:tcPr>
          <w:p>
            <w:pPr>
              <w:pStyle w:val="TableContents"/>
              <w:spacing w:before="0" w:after="283"/>
              <w:jc w:val="center"/>
              <w:rPr/>
            </w:pPr>
            <w:r>
              <w:rPr/>
              <w:t>Delaware</w:t>
            </w:r>
          </w:p>
        </w:tc>
      </w:tr>
      <w:tr>
        <w:trPr/>
        <w:tc>
          <w:tcPr>
            <w:tcW w:w="6452" w:type="dxa"/>
            <w:tcBorders/>
            <w:shd w:fill="auto" w:val="clear"/>
          </w:tcPr>
          <w:p>
            <w:pPr>
              <w:pStyle w:val="TableContents"/>
              <w:spacing w:before="0" w:after="0"/>
              <w:rPr>
                <w:rFonts w:ascii="Times New Roman" w:hAnsi="Times New Roman"/>
                <w:sz w:val="20"/>
              </w:rPr>
            </w:pPr>
            <w:r>
              <w:rPr>
                <w:rFonts w:ascii="Times New Roman" w:hAnsi="Times New Roman"/>
                <w:sz w:val="20"/>
              </w:rPr>
              <w:t>Dave &amp; Busters of Louisiana, Inc.</w:t>
            </w:r>
          </w:p>
        </w:tc>
        <w:tc>
          <w:tcPr>
            <w:tcW w:w="785" w:type="dxa"/>
            <w:tcBorders/>
            <w:shd w:fill="auto" w:val="clear"/>
            <w:vAlign w:val="bottom"/>
          </w:tcPr>
          <w:p>
            <w:pPr>
              <w:pStyle w:val="TableContents"/>
              <w:spacing w:before="0" w:after="283"/>
              <w:rPr/>
            </w:pPr>
            <w:r>
              <w:rPr/>
              <w:t>  </w:t>
            </w:r>
          </w:p>
        </w:tc>
        <w:tc>
          <w:tcPr>
            <w:tcW w:w="2968" w:type="dxa"/>
            <w:tcBorders/>
            <w:shd w:fill="auto" w:val="clear"/>
            <w:vAlign w:val="bottom"/>
          </w:tcPr>
          <w:p>
            <w:pPr>
              <w:pStyle w:val="TableContents"/>
              <w:spacing w:before="0" w:after="283"/>
              <w:jc w:val="center"/>
              <w:rPr/>
            </w:pPr>
            <w:r>
              <w:rPr/>
              <w:t>Delaware</w:t>
            </w:r>
          </w:p>
        </w:tc>
      </w:tr>
      <w:tr>
        <w:trPr/>
        <w:tc>
          <w:tcPr>
            <w:tcW w:w="6452" w:type="dxa"/>
            <w:tcBorders/>
            <w:shd w:fill="CCEEFF" w:val="clear"/>
          </w:tcPr>
          <w:p>
            <w:pPr>
              <w:pStyle w:val="TableContents"/>
              <w:spacing w:before="0" w:after="0"/>
              <w:rPr>
                <w:rFonts w:ascii="Times New Roman" w:hAnsi="Times New Roman"/>
                <w:sz w:val="20"/>
              </w:rPr>
            </w:pPr>
            <w:r>
              <w:rPr>
                <w:rFonts w:ascii="Times New Roman" w:hAnsi="Times New Roman"/>
                <w:sz w:val="20"/>
              </w:rPr>
              <w:t>Dave &amp; Busters of Maryland, Inc.</w:t>
            </w:r>
          </w:p>
        </w:tc>
        <w:tc>
          <w:tcPr>
            <w:tcW w:w="785" w:type="dxa"/>
            <w:tcBorders/>
            <w:shd w:fill="CCEEFF" w:val="clear"/>
            <w:vAlign w:val="bottom"/>
          </w:tcPr>
          <w:p>
            <w:pPr>
              <w:pStyle w:val="TableContents"/>
              <w:spacing w:before="0" w:after="283"/>
              <w:rPr/>
            </w:pPr>
            <w:r>
              <w:rPr/>
              <w:t>  </w:t>
            </w:r>
          </w:p>
        </w:tc>
        <w:tc>
          <w:tcPr>
            <w:tcW w:w="2968" w:type="dxa"/>
            <w:tcBorders/>
            <w:shd w:fill="CCEEFF" w:val="clear"/>
            <w:vAlign w:val="bottom"/>
          </w:tcPr>
          <w:p>
            <w:pPr>
              <w:pStyle w:val="TableContents"/>
              <w:spacing w:before="0" w:after="283"/>
              <w:jc w:val="center"/>
              <w:rPr/>
            </w:pPr>
            <w:r>
              <w:rPr/>
              <w:t>Maryland</w:t>
            </w:r>
          </w:p>
        </w:tc>
      </w:tr>
      <w:tr>
        <w:trPr/>
        <w:tc>
          <w:tcPr>
            <w:tcW w:w="6452" w:type="dxa"/>
            <w:tcBorders/>
            <w:shd w:fill="auto" w:val="clear"/>
          </w:tcPr>
          <w:p>
            <w:pPr>
              <w:pStyle w:val="TableContents"/>
              <w:spacing w:before="0" w:after="0"/>
              <w:rPr>
                <w:rFonts w:ascii="Times New Roman" w:hAnsi="Times New Roman"/>
                <w:sz w:val="20"/>
              </w:rPr>
            </w:pPr>
            <w:r>
              <w:rPr>
                <w:rFonts w:ascii="Times New Roman" w:hAnsi="Times New Roman"/>
                <w:sz w:val="20"/>
              </w:rPr>
              <w:t>Dave &amp; Busters of Massachusetts, Inc.</w:t>
            </w:r>
          </w:p>
        </w:tc>
        <w:tc>
          <w:tcPr>
            <w:tcW w:w="785" w:type="dxa"/>
            <w:tcBorders/>
            <w:shd w:fill="auto" w:val="clear"/>
            <w:vAlign w:val="bottom"/>
          </w:tcPr>
          <w:p>
            <w:pPr>
              <w:pStyle w:val="TableContents"/>
              <w:spacing w:before="0" w:after="283"/>
              <w:rPr/>
            </w:pPr>
            <w:r>
              <w:rPr/>
              <w:t>  </w:t>
            </w:r>
          </w:p>
        </w:tc>
        <w:tc>
          <w:tcPr>
            <w:tcW w:w="2968" w:type="dxa"/>
            <w:tcBorders/>
            <w:shd w:fill="auto" w:val="clear"/>
            <w:vAlign w:val="bottom"/>
          </w:tcPr>
          <w:p>
            <w:pPr>
              <w:pStyle w:val="TableContents"/>
              <w:spacing w:before="0" w:after="283"/>
              <w:jc w:val="center"/>
              <w:rPr/>
            </w:pPr>
            <w:r>
              <w:rPr/>
              <w:t>Massachusetts</w:t>
            </w:r>
          </w:p>
        </w:tc>
      </w:tr>
      <w:tr>
        <w:trPr/>
        <w:tc>
          <w:tcPr>
            <w:tcW w:w="6452" w:type="dxa"/>
            <w:tcBorders/>
            <w:shd w:fill="CCEEFF" w:val="clear"/>
          </w:tcPr>
          <w:p>
            <w:pPr>
              <w:pStyle w:val="TableContents"/>
              <w:spacing w:before="0" w:after="0"/>
              <w:rPr>
                <w:rFonts w:ascii="Times New Roman" w:hAnsi="Times New Roman"/>
                <w:sz w:val="20"/>
              </w:rPr>
            </w:pPr>
            <w:r>
              <w:rPr>
                <w:rFonts w:ascii="Times New Roman" w:hAnsi="Times New Roman"/>
                <w:sz w:val="20"/>
              </w:rPr>
              <w:t>Dave &amp; Busters of Nebraska, Inc.</w:t>
            </w:r>
          </w:p>
        </w:tc>
        <w:tc>
          <w:tcPr>
            <w:tcW w:w="785" w:type="dxa"/>
            <w:tcBorders/>
            <w:shd w:fill="CCEEFF" w:val="clear"/>
            <w:vAlign w:val="bottom"/>
          </w:tcPr>
          <w:p>
            <w:pPr>
              <w:pStyle w:val="TableContents"/>
              <w:spacing w:before="0" w:after="283"/>
              <w:rPr/>
            </w:pPr>
            <w:r>
              <w:rPr/>
              <w:t>  </w:t>
            </w:r>
          </w:p>
        </w:tc>
        <w:tc>
          <w:tcPr>
            <w:tcW w:w="2968" w:type="dxa"/>
            <w:tcBorders/>
            <w:shd w:fill="CCEEFF" w:val="clear"/>
            <w:vAlign w:val="bottom"/>
          </w:tcPr>
          <w:p>
            <w:pPr>
              <w:pStyle w:val="TableContents"/>
              <w:spacing w:before="0" w:after="283"/>
              <w:jc w:val="center"/>
              <w:rPr/>
            </w:pPr>
            <w:r>
              <w:rPr/>
              <w:t>Nebraska</w:t>
            </w:r>
          </w:p>
        </w:tc>
      </w:tr>
      <w:tr>
        <w:trPr/>
        <w:tc>
          <w:tcPr>
            <w:tcW w:w="6452" w:type="dxa"/>
            <w:tcBorders/>
            <w:shd w:fill="auto" w:val="clear"/>
          </w:tcPr>
          <w:p>
            <w:pPr>
              <w:pStyle w:val="TableContents"/>
              <w:spacing w:before="0" w:after="0"/>
              <w:rPr>
                <w:rFonts w:ascii="Times New Roman" w:hAnsi="Times New Roman"/>
                <w:sz w:val="20"/>
              </w:rPr>
            </w:pPr>
            <w:r>
              <w:rPr>
                <w:rFonts w:ascii="Times New Roman" w:hAnsi="Times New Roman"/>
                <w:sz w:val="20"/>
              </w:rPr>
              <w:t>Dave &amp; Busters of Nevada, Inc.</w:t>
            </w:r>
          </w:p>
        </w:tc>
        <w:tc>
          <w:tcPr>
            <w:tcW w:w="785" w:type="dxa"/>
            <w:tcBorders/>
            <w:shd w:fill="auto" w:val="clear"/>
            <w:vAlign w:val="bottom"/>
          </w:tcPr>
          <w:p>
            <w:pPr>
              <w:pStyle w:val="TableContents"/>
              <w:spacing w:before="0" w:after="283"/>
              <w:rPr/>
            </w:pPr>
            <w:r>
              <w:rPr/>
              <w:t>  </w:t>
            </w:r>
          </w:p>
        </w:tc>
        <w:tc>
          <w:tcPr>
            <w:tcW w:w="2968" w:type="dxa"/>
            <w:tcBorders/>
            <w:shd w:fill="auto" w:val="clear"/>
            <w:vAlign w:val="bottom"/>
          </w:tcPr>
          <w:p>
            <w:pPr>
              <w:pStyle w:val="TableContents"/>
              <w:spacing w:before="0" w:after="283"/>
              <w:jc w:val="center"/>
              <w:rPr/>
            </w:pPr>
            <w:r>
              <w:rPr/>
              <w:t>Delaware</w:t>
            </w:r>
          </w:p>
        </w:tc>
      </w:tr>
      <w:tr>
        <w:trPr/>
        <w:tc>
          <w:tcPr>
            <w:tcW w:w="6452" w:type="dxa"/>
            <w:tcBorders/>
            <w:shd w:fill="CCEEFF" w:val="clear"/>
          </w:tcPr>
          <w:p>
            <w:pPr>
              <w:pStyle w:val="TableContents"/>
              <w:spacing w:before="0" w:after="20"/>
              <w:rPr>
                <w:rFonts w:ascii="Times New Roman" w:hAnsi="Times New Roman"/>
                <w:sz w:val="20"/>
              </w:rPr>
            </w:pPr>
            <w:r>
              <w:rPr>
                <w:rFonts w:ascii="Times New Roman" w:hAnsi="Times New Roman"/>
                <w:sz w:val="20"/>
              </w:rPr>
              <w:t>Dave &amp; Busters of New Hampshire, Inc.</w:t>
            </w:r>
          </w:p>
        </w:tc>
        <w:tc>
          <w:tcPr>
            <w:tcW w:w="785" w:type="dxa"/>
            <w:tcBorders/>
            <w:shd w:fill="CCEEFF" w:val="clear"/>
            <w:vAlign w:val="bottom"/>
          </w:tcPr>
          <w:p>
            <w:pPr>
              <w:pStyle w:val="TableContents"/>
              <w:spacing w:before="0" w:after="283"/>
              <w:rPr/>
            </w:pPr>
            <w:r>
              <w:rPr/>
              <w:t>  </w:t>
            </w:r>
          </w:p>
        </w:tc>
        <w:tc>
          <w:tcPr>
            <w:tcW w:w="2968" w:type="dxa"/>
            <w:tcBorders/>
            <w:shd w:fill="CCEEFF" w:val="clear"/>
            <w:vAlign w:val="bottom"/>
          </w:tcPr>
          <w:p>
            <w:pPr>
              <w:pStyle w:val="TableContents"/>
              <w:spacing w:before="0" w:after="283"/>
              <w:jc w:val="center"/>
              <w:rPr/>
            </w:pPr>
            <w:r>
              <w:rPr/>
              <w:t>Delaware</w:t>
            </w:r>
          </w:p>
        </w:tc>
      </w:tr>
      <w:tr>
        <w:trPr/>
        <w:tc>
          <w:tcPr>
            <w:tcW w:w="6452" w:type="dxa"/>
            <w:tcBorders/>
            <w:shd w:fill="auto" w:val="clear"/>
          </w:tcPr>
          <w:p>
            <w:pPr>
              <w:pStyle w:val="TableContents"/>
              <w:spacing w:before="0" w:after="0"/>
              <w:rPr>
                <w:rFonts w:ascii="Times New Roman" w:hAnsi="Times New Roman"/>
                <w:sz w:val="20"/>
              </w:rPr>
            </w:pPr>
            <w:r>
              <w:rPr>
                <w:rFonts w:ascii="Times New Roman" w:hAnsi="Times New Roman"/>
                <w:sz w:val="20"/>
              </w:rPr>
              <w:t>Dave &amp; Busters of New Jersey, Inc.</w:t>
            </w:r>
          </w:p>
        </w:tc>
        <w:tc>
          <w:tcPr>
            <w:tcW w:w="785" w:type="dxa"/>
            <w:tcBorders/>
            <w:shd w:fill="auto" w:val="clear"/>
            <w:vAlign w:val="bottom"/>
          </w:tcPr>
          <w:p>
            <w:pPr>
              <w:pStyle w:val="TableContents"/>
              <w:spacing w:before="0" w:after="283"/>
              <w:rPr/>
            </w:pPr>
            <w:r>
              <w:rPr/>
              <w:t>  </w:t>
            </w:r>
          </w:p>
        </w:tc>
        <w:tc>
          <w:tcPr>
            <w:tcW w:w="2968" w:type="dxa"/>
            <w:tcBorders/>
            <w:shd w:fill="auto" w:val="clear"/>
            <w:vAlign w:val="bottom"/>
          </w:tcPr>
          <w:p>
            <w:pPr>
              <w:pStyle w:val="TableContents"/>
              <w:spacing w:before="0" w:after="283"/>
              <w:jc w:val="center"/>
              <w:rPr/>
            </w:pPr>
            <w:r>
              <w:rPr/>
              <w:t>Delaware</w:t>
            </w:r>
          </w:p>
        </w:tc>
      </w:tr>
      <w:tr>
        <w:trPr/>
        <w:tc>
          <w:tcPr>
            <w:tcW w:w="6452" w:type="dxa"/>
            <w:tcBorders/>
            <w:shd w:fill="CCEEFF" w:val="clear"/>
          </w:tcPr>
          <w:p>
            <w:pPr>
              <w:pStyle w:val="TableContents"/>
              <w:spacing w:before="0" w:after="0"/>
              <w:rPr>
                <w:rFonts w:ascii="Times New Roman" w:hAnsi="Times New Roman"/>
                <w:sz w:val="20"/>
              </w:rPr>
            </w:pPr>
            <w:r>
              <w:rPr>
                <w:rFonts w:ascii="Times New Roman" w:hAnsi="Times New Roman"/>
                <w:sz w:val="20"/>
              </w:rPr>
              <w:t>Dave &amp; Busters of New Mexico, Inc.</w:t>
            </w:r>
          </w:p>
        </w:tc>
        <w:tc>
          <w:tcPr>
            <w:tcW w:w="785" w:type="dxa"/>
            <w:tcBorders/>
            <w:shd w:fill="CCEEFF" w:val="clear"/>
            <w:vAlign w:val="bottom"/>
          </w:tcPr>
          <w:p>
            <w:pPr>
              <w:pStyle w:val="TableContents"/>
              <w:spacing w:before="0" w:after="283"/>
              <w:rPr/>
            </w:pPr>
            <w:r>
              <w:rPr/>
              <w:t>  </w:t>
            </w:r>
          </w:p>
        </w:tc>
        <w:tc>
          <w:tcPr>
            <w:tcW w:w="2968" w:type="dxa"/>
            <w:tcBorders/>
            <w:shd w:fill="CCEEFF" w:val="clear"/>
            <w:vAlign w:val="bottom"/>
          </w:tcPr>
          <w:p>
            <w:pPr>
              <w:pStyle w:val="TableContents"/>
              <w:spacing w:before="0" w:after="283"/>
              <w:jc w:val="center"/>
              <w:rPr/>
            </w:pPr>
            <w:r>
              <w:rPr/>
              <w:t>Delaware</w:t>
            </w:r>
          </w:p>
        </w:tc>
      </w:tr>
      <w:tr>
        <w:trPr/>
        <w:tc>
          <w:tcPr>
            <w:tcW w:w="6452" w:type="dxa"/>
            <w:tcBorders/>
            <w:shd w:fill="auto" w:val="clear"/>
          </w:tcPr>
          <w:p>
            <w:pPr>
              <w:pStyle w:val="TableContents"/>
              <w:spacing w:before="0" w:after="0"/>
              <w:rPr>
                <w:rFonts w:ascii="Times New Roman" w:hAnsi="Times New Roman"/>
                <w:sz w:val="20"/>
              </w:rPr>
            </w:pPr>
            <w:r>
              <w:rPr>
                <w:rFonts w:ascii="Times New Roman" w:hAnsi="Times New Roman"/>
                <w:sz w:val="20"/>
              </w:rPr>
              <w:t>Dave &amp; Busters of New York, Inc.</w:t>
            </w:r>
          </w:p>
        </w:tc>
        <w:tc>
          <w:tcPr>
            <w:tcW w:w="785" w:type="dxa"/>
            <w:tcBorders/>
            <w:shd w:fill="auto" w:val="clear"/>
            <w:vAlign w:val="bottom"/>
          </w:tcPr>
          <w:p>
            <w:pPr>
              <w:pStyle w:val="TableContents"/>
              <w:spacing w:before="0" w:after="283"/>
              <w:rPr/>
            </w:pPr>
            <w:r>
              <w:rPr/>
              <w:t>  </w:t>
            </w:r>
          </w:p>
        </w:tc>
        <w:tc>
          <w:tcPr>
            <w:tcW w:w="2968" w:type="dxa"/>
            <w:tcBorders/>
            <w:shd w:fill="auto" w:val="clear"/>
            <w:vAlign w:val="bottom"/>
          </w:tcPr>
          <w:p>
            <w:pPr>
              <w:pStyle w:val="TableContents"/>
              <w:spacing w:before="0" w:after="283"/>
              <w:jc w:val="center"/>
              <w:rPr/>
            </w:pPr>
            <w:r>
              <w:rPr/>
              <w:t>New York</w:t>
            </w:r>
          </w:p>
        </w:tc>
      </w:tr>
      <w:tr>
        <w:trPr/>
        <w:tc>
          <w:tcPr>
            <w:tcW w:w="6452" w:type="dxa"/>
            <w:tcBorders/>
            <w:shd w:fill="CCEEFF" w:val="clear"/>
          </w:tcPr>
          <w:p>
            <w:pPr>
              <w:pStyle w:val="TableContents"/>
              <w:spacing w:before="0" w:after="0"/>
              <w:rPr>
                <w:rFonts w:ascii="Times New Roman" w:hAnsi="Times New Roman"/>
                <w:sz w:val="20"/>
              </w:rPr>
            </w:pPr>
            <w:r>
              <w:rPr>
                <w:rFonts w:ascii="Times New Roman" w:hAnsi="Times New Roman"/>
                <w:sz w:val="20"/>
              </w:rPr>
              <w:t>Dave &amp; Busters of Oklahoma, Inc.</w:t>
            </w:r>
          </w:p>
        </w:tc>
        <w:tc>
          <w:tcPr>
            <w:tcW w:w="785" w:type="dxa"/>
            <w:tcBorders/>
            <w:shd w:fill="CCEEFF" w:val="clear"/>
            <w:vAlign w:val="bottom"/>
          </w:tcPr>
          <w:p>
            <w:pPr>
              <w:pStyle w:val="TableContents"/>
              <w:spacing w:before="0" w:after="283"/>
              <w:rPr/>
            </w:pPr>
            <w:r>
              <w:rPr/>
              <w:t>  </w:t>
            </w:r>
          </w:p>
        </w:tc>
        <w:tc>
          <w:tcPr>
            <w:tcW w:w="2968" w:type="dxa"/>
            <w:tcBorders/>
            <w:shd w:fill="CCEEFF" w:val="clear"/>
            <w:vAlign w:val="bottom"/>
          </w:tcPr>
          <w:p>
            <w:pPr>
              <w:pStyle w:val="TableContents"/>
              <w:spacing w:before="0" w:after="283"/>
              <w:jc w:val="center"/>
              <w:rPr/>
            </w:pPr>
            <w:r>
              <w:rPr/>
              <w:t>Oklahoma</w:t>
            </w:r>
          </w:p>
        </w:tc>
      </w:tr>
      <w:tr>
        <w:trPr/>
        <w:tc>
          <w:tcPr>
            <w:tcW w:w="6452" w:type="dxa"/>
            <w:tcBorders/>
            <w:shd w:fill="auto" w:val="clear"/>
          </w:tcPr>
          <w:p>
            <w:pPr>
              <w:pStyle w:val="TableContents"/>
              <w:spacing w:before="0" w:after="0"/>
              <w:rPr>
                <w:rFonts w:ascii="Times New Roman" w:hAnsi="Times New Roman"/>
                <w:sz w:val="20"/>
              </w:rPr>
            </w:pPr>
            <w:r>
              <w:rPr>
                <w:rFonts w:ascii="Times New Roman" w:hAnsi="Times New Roman"/>
                <w:sz w:val="20"/>
              </w:rPr>
              <w:t>Dave &amp; Busters of Oregon, Inc.</w:t>
            </w:r>
          </w:p>
        </w:tc>
        <w:tc>
          <w:tcPr>
            <w:tcW w:w="785" w:type="dxa"/>
            <w:tcBorders/>
            <w:shd w:fill="auto" w:val="clear"/>
            <w:vAlign w:val="bottom"/>
          </w:tcPr>
          <w:p>
            <w:pPr>
              <w:pStyle w:val="TableContents"/>
              <w:spacing w:before="0" w:after="283"/>
              <w:rPr/>
            </w:pPr>
            <w:r>
              <w:rPr/>
              <w:t>  </w:t>
            </w:r>
          </w:p>
        </w:tc>
        <w:tc>
          <w:tcPr>
            <w:tcW w:w="2968" w:type="dxa"/>
            <w:tcBorders/>
            <w:shd w:fill="auto" w:val="clear"/>
            <w:vAlign w:val="bottom"/>
          </w:tcPr>
          <w:p>
            <w:pPr>
              <w:pStyle w:val="TableContents"/>
              <w:spacing w:before="0" w:after="283"/>
              <w:jc w:val="center"/>
              <w:rPr/>
            </w:pPr>
            <w:r>
              <w:rPr/>
              <w:t>Oregon</w:t>
            </w:r>
          </w:p>
        </w:tc>
      </w:tr>
      <w:tr>
        <w:trPr/>
        <w:tc>
          <w:tcPr>
            <w:tcW w:w="6452" w:type="dxa"/>
            <w:tcBorders/>
            <w:shd w:fill="CCEEFF" w:val="clear"/>
          </w:tcPr>
          <w:p>
            <w:pPr>
              <w:pStyle w:val="TableContents"/>
              <w:spacing w:before="0" w:after="0"/>
              <w:rPr>
                <w:rFonts w:ascii="Times New Roman" w:hAnsi="Times New Roman"/>
                <w:sz w:val="20"/>
              </w:rPr>
            </w:pPr>
            <w:r>
              <w:rPr>
                <w:rFonts w:ascii="Times New Roman" w:hAnsi="Times New Roman"/>
                <w:sz w:val="20"/>
              </w:rPr>
              <w:t>Dave &amp; Busters of Pennsylvania, Inc.</w:t>
            </w:r>
          </w:p>
        </w:tc>
        <w:tc>
          <w:tcPr>
            <w:tcW w:w="785" w:type="dxa"/>
            <w:tcBorders/>
            <w:shd w:fill="CCEEFF" w:val="clear"/>
            <w:vAlign w:val="bottom"/>
          </w:tcPr>
          <w:p>
            <w:pPr>
              <w:pStyle w:val="TableContents"/>
              <w:spacing w:before="0" w:after="283"/>
              <w:rPr/>
            </w:pPr>
            <w:r>
              <w:rPr/>
              <w:t>  </w:t>
            </w:r>
          </w:p>
        </w:tc>
        <w:tc>
          <w:tcPr>
            <w:tcW w:w="2968" w:type="dxa"/>
            <w:tcBorders/>
            <w:shd w:fill="CCEEFF" w:val="clear"/>
            <w:vAlign w:val="bottom"/>
          </w:tcPr>
          <w:p>
            <w:pPr>
              <w:pStyle w:val="TableContents"/>
              <w:spacing w:before="0" w:after="283"/>
              <w:jc w:val="center"/>
              <w:rPr/>
            </w:pPr>
            <w:r>
              <w:rPr/>
              <w:t>Pennsylvania</w:t>
            </w:r>
          </w:p>
        </w:tc>
      </w:tr>
      <w:tr>
        <w:trPr/>
        <w:tc>
          <w:tcPr>
            <w:tcW w:w="6452" w:type="dxa"/>
            <w:tcBorders/>
            <w:shd w:fill="auto" w:val="clear"/>
          </w:tcPr>
          <w:p>
            <w:pPr>
              <w:pStyle w:val="TableContents"/>
              <w:spacing w:before="0" w:after="0"/>
              <w:rPr>
                <w:rFonts w:ascii="Times New Roman" w:hAnsi="Times New Roman"/>
                <w:sz w:val="20"/>
              </w:rPr>
            </w:pPr>
            <w:r>
              <w:rPr>
                <w:rFonts w:ascii="Times New Roman" w:hAnsi="Times New Roman"/>
                <w:sz w:val="20"/>
              </w:rPr>
              <w:t>Dave &amp; Busters of Pittsburgh, Inc.</w:t>
            </w:r>
          </w:p>
        </w:tc>
        <w:tc>
          <w:tcPr>
            <w:tcW w:w="785" w:type="dxa"/>
            <w:tcBorders/>
            <w:shd w:fill="auto" w:val="clear"/>
            <w:vAlign w:val="bottom"/>
          </w:tcPr>
          <w:p>
            <w:pPr>
              <w:pStyle w:val="TableContents"/>
              <w:spacing w:before="0" w:after="283"/>
              <w:rPr/>
            </w:pPr>
            <w:r>
              <w:rPr/>
              <w:t>  </w:t>
            </w:r>
          </w:p>
        </w:tc>
        <w:tc>
          <w:tcPr>
            <w:tcW w:w="2968" w:type="dxa"/>
            <w:tcBorders/>
            <w:shd w:fill="auto" w:val="clear"/>
            <w:vAlign w:val="bottom"/>
          </w:tcPr>
          <w:p>
            <w:pPr>
              <w:pStyle w:val="TableContents"/>
              <w:spacing w:before="0" w:after="283"/>
              <w:jc w:val="center"/>
              <w:rPr/>
            </w:pPr>
            <w:r>
              <w:rPr/>
              <w:t>Pennsylvania</w:t>
            </w:r>
          </w:p>
        </w:tc>
      </w:tr>
      <w:tr>
        <w:trPr/>
        <w:tc>
          <w:tcPr>
            <w:tcW w:w="6452" w:type="dxa"/>
            <w:tcBorders/>
            <w:shd w:fill="CCEEFF" w:val="clear"/>
          </w:tcPr>
          <w:p>
            <w:pPr>
              <w:pStyle w:val="TableContents"/>
              <w:spacing w:before="0" w:after="0"/>
              <w:rPr>
                <w:rFonts w:ascii="Times New Roman" w:hAnsi="Times New Roman"/>
                <w:sz w:val="20"/>
              </w:rPr>
            </w:pPr>
            <w:r>
              <w:rPr>
                <w:rFonts w:ascii="Times New Roman" w:hAnsi="Times New Roman"/>
                <w:sz w:val="20"/>
              </w:rPr>
              <w:t>Dave &amp; Busters of Puerto Rico, Inc.</w:t>
            </w:r>
          </w:p>
        </w:tc>
        <w:tc>
          <w:tcPr>
            <w:tcW w:w="785" w:type="dxa"/>
            <w:tcBorders/>
            <w:shd w:fill="CCEEFF" w:val="clear"/>
            <w:vAlign w:val="bottom"/>
          </w:tcPr>
          <w:p>
            <w:pPr>
              <w:pStyle w:val="TableContents"/>
              <w:spacing w:before="0" w:after="283"/>
              <w:rPr/>
            </w:pPr>
            <w:r>
              <w:rPr/>
              <w:t>  </w:t>
            </w:r>
          </w:p>
        </w:tc>
        <w:tc>
          <w:tcPr>
            <w:tcW w:w="2968" w:type="dxa"/>
            <w:tcBorders/>
            <w:shd w:fill="CCEEFF" w:val="clear"/>
            <w:vAlign w:val="bottom"/>
          </w:tcPr>
          <w:p>
            <w:pPr>
              <w:pStyle w:val="TableContents"/>
              <w:spacing w:before="0" w:after="283"/>
              <w:jc w:val="center"/>
              <w:rPr/>
            </w:pPr>
            <w:r>
              <w:rPr/>
              <w:t>Delaware</w:t>
            </w:r>
          </w:p>
        </w:tc>
      </w:tr>
      <w:tr>
        <w:trPr/>
        <w:tc>
          <w:tcPr>
            <w:tcW w:w="6452" w:type="dxa"/>
            <w:tcBorders/>
            <w:shd w:fill="auto" w:val="clear"/>
          </w:tcPr>
          <w:p>
            <w:pPr>
              <w:pStyle w:val="TableContents"/>
              <w:spacing w:before="0" w:after="0"/>
              <w:rPr>
                <w:rFonts w:ascii="Times New Roman" w:hAnsi="Times New Roman"/>
                <w:sz w:val="20"/>
              </w:rPr>
            </w:pPr>
            <w:r>
              <w:rPr>
                <w:rFonts w:ascii="Times New Roman" w:hAnsi="Times New Roman"/>
                <w:sz w:val="20"/>
              </w:rPr>
              <w:t>Dave &amp; Busters of South Carolina, Inc.</w:t>
            </w:r>
          </w:p>
        </w:tc>
        <w:tc>
          <w:tcPr>
            <w:tcW w:w="785" w:type="dxa"/>
            <w:tcBorders/>
            <w:shd w:fill="auto" w:val="clear"/>
            <w:vAlign w:val="bottom"/>
          </w:tcPr>
          <w:p>
            <w:pPr>
              <w:pStyle w:val="TableContents"/>
              <w:spacing w:before="0" w:after="283"/>
              <w:rPr/>
            </w:pPr>
            <w:r>
              <w:rPr/>
              <w:t>  </w:t>
            </w:r>
          </w:p>
        </w:tc>
        <w:tc>
          <w:tcPr>
            <w:tcW w:w="2968" w:type="dxa"/>
            <w:tcBorders/>
            <w:shd w:fill="auto" w:val="clear"/>
            <w:vAlign w:val="bottom"/>
          </w:tcPr>
          <w:p>
            <w:pPr>
              <w:pStyle w:val="TableContents"/>
              <w:spacing w:before="0" w:after="283"/>
              <w:jc w:val="center"/>
              <w:rPr/>
            </w:pPr>
            <w:r>
              <w:rPr/>
              <w:t>Delaware</w:t>
            </w:r>
          </w:p>
        </w:tc>
      </w:tr>
      <w:tr>
        <w:trPr/>
        <w:tc>
          <w:tcPr>
            <w:tcW w:w="6452" w:type="dxa"/>
            <w:tcBorders/>
            <w:shd w:fill="CCEEFF" w:val="clear"/>
          </w:tcPr>
          <w:p>
            <w:pPr>
              <w:pStyle w:val="TableContents"/>
              <w:spacing w:before="0" w:after="20"/>
              <w:rPr>
                <w:rFonts w:ascii="Times New Roman" w:hAnsi="Times New Roman"/>
                <w:sz w:val="20"/>
              </w:rPr>
            </w:pPr>
            <w:r>
              <w:rPr>
                <w:rFonts w:ascii="Times New Roman" w:hAnsi="Times New Roman"/>
                <w:sz w:val="20"/>
              </w:rPr>
              <w:t>Dave &amp; Busters of South Dakota, Inc</w:t>
            </w:r>
          </w:p>
        </w:tc>
        <w:tc>
          <w:tcPr>
            <w:tcW w:w="785" w:type="dxa"/>
            <w:tcBorders/>
            <w:shd w:fill="CCEEFF" w:val="clear"/>
            <w:vAlign w:val="bottom"/>
          </w:tcPr>
          <w:p>
            <w:pPr>
              <w:pStyle w:val="TableContents"/>
              <w:spacing w:before="0" w:after="283"/>
              <w:rPr/>
            </w:pPr>
            <w:r>
              <w:rPr/>
              <w:t>  </w:t>
            </w:r>
          </w:p>
        </w:tc>
        <w:tc>
          <w:tcPr>
            <w:tcW w:w="2968" w:type="dxa"/>
            <w:tcBorders/>
            <w:shd w:fill="CCEEFF" w:val="clear"/>
            <w:vAlign w:val="bottom"/>
          </w:tcPr>
          <w:p>
            <w:pPr>
              <w:pStyle w:val="TableContents"/>
              <w:spacing w:before="0" w:after="283"/>
              <w:jc w:val="center"/>
              <w:rPr/>
            </w:pPr>
            <w:r>
              <w:rPr/>
              <w:t>South Dakota</w:t>
            </w:r>
          </w:p>
        </w:tc>
      </w:tr>
      <w:tr>
        <w:trPr/>
        <w:tc>
          <w:tcPr>
            <w:tcW w:w="6452" w:type="dxa"/>
            <w:tcBorders/>
            <w:shd w:fill="auto" w:val="clear"/>
          </w:tcPr>
          <w:p>
            <w:pPr>
              <w:pStyle w:val="TableContents"/>
              <w:spacing w:before="0" w:after="0"/>
              <w:rPr>
                <w:rFonts w:ascii="Times New Roman" w:hAnsi="Times New Roman"/>
                <w:sz w:val="20"/>
              </w:rPr>
            </w:pPr>
            <w:r>
              <w:rPr>
                <w:rFonts w:ascii="Times New Roman" w:hAnsi="Times New Roman"/>
                <w:sz w:val="20"/>
              </w:rPr>
              <w:t>Dave &amp; Busters of Utah, Inc.</w:t>
            </w:r>
          </w:p>
        </w:tc>
        <w:tc>
          <w:tcPr>
            <w:tcW w:w="785" w:type="dxa"/>
            <w:tcBorders/>
            <w:shd w:fill="auto" w:val="clear"/>
            <w:vAlign w:val="bottom"/>
          </w:tcPr>
          <w:p>
            <w:pPr>
              <w:pStyle w:val="TableContents"/>
              <w:spacing w:before="0" w:after="283"/>
              <w:rPr/>
            </w:pPr>
            <w:r>
              <w:rPr/>
              <w:t>  </w:t>
            </w:r>
          </w:p>
        </w:tc>
        <w:tc>
          <w:tcPr>
            <w:tcW w:w="2968" w:type="dxa"/>
            <w:tcBorders/>
            <w:shd w:fill="auto" w:val="clear"/>
            <w:vAlign w:val="bottom"/>
          </w:tcPr>
          <w:p>
            <w:pPr>
              <w:pStyle w:val="TableContents"/>
              <w:spacing w:before="0" w:after="283"/>
              <w:jc w:val="center"/>
              <w:rPr/>
            </w:pPr>
            <w:r>
              <w:rPr/>
              <w:t>Delaware</w:t>
            </w:r>
          </w:p>
        </w:tc>
      </w:tr>
      <w:tr>
        <w:trPr/>
        <w:tc>
          <w:tcPr>
            <w:tcW w:w="6452" w:type="dxa"/>
            <w:tcBorders/>
            <w:shd w:fill="CCEEFF" w:val="clear"/>
          </w:tcPr>
          <w:p>
            <w:pPr>
              <w:pStyle w:val="TableContents"/>
              <w:spacing w:before="0" w:after="0"/>
              <w:rPr>
                <w:rFonts w:ascii="Times New Roman" w:hAnsi="Times New Roman"/>
                <w:sz w:val="20"/>
              </w:rPr>
            </w:pPr>
            <w:r>
              <w:rPr>
                <w:rFonts w:ascii="Times New Roman" w:hAnsi="Times New Roman"/>
                <w:sz w:val="20"/>
              </w:rPr>
              <w:t>Dave &amp; Busters of Virginia, Inc.</w:t>
            </w:r>
          </w:p>
        </w:tc>
        <w:tc>
          <w:tcPr>
            <w:tcW w:w="785" w:type="dxa"/>
            <w:tcBorders/>
            <w:shd w:fill="CCEEFF" w:val="clear"/>
            <w:vAlign w:val="bottom"/>
          </w:tcPr>
          <w:p>
            <w:pPr>
              <w:pStyle w:val="TableContents"/>
              <w:spacing w:before="0" w:after="283"/>
              <w:rPr/>
            </w:pPr>
            <w:r>
              <w:rPr/>
              <w:t>  </w:t>
            </w:r>
          </w:p>
        </w:tc>
        <w:tc>
          <w:tcPr>
            <w:tcW w:w="2968" w:type="dxa"/>
            <w:tcBorders/>
            <w:shd w:fill="CCEEFF" w:val="clear"/>
            <w:vAlign w:val="bottom"/>
          </w:tcPr>
          <w:p>
            <w:pPr>
              <w:pStyle w:val="TableContents"/>
              <w:spacing w:before="0" w:after="283"/>
              <w:jc w:val="center"/>
              <w:rPr/>
            </w:pPr>
            <w:r>
              <w:rPr/>
              <w:t>Virginia</w:t>
            </w:r>
          </w:p>
        </w:tc>
      </w:tr>
      <w:tr>
        <w:trPr/>
        <w:tc>
          <w:tcPr>
            <w:tcW w:w="6452" w:type="dxa"/>
            <w:tcBorders/>
            <w:shd w:fill="auto" w:val="clear"/>
          </w:tcPr>
          <w:p>
            <w:pPr>
              <w:pStyle w:val="TableContents"/>
              <w:spacing w:before="0" w:after="0"/>
              <w:rPr>
                <w:rFonts w:ascii="Times New Roman" w:hAnsi="Times New Roman"/>
                <w:sz w:val="20"/>
              </w:rPr>
            </w:pPr>
            <w:r>
              <w:rPr>
                <w:rFonts w:ascii="Times New Roman" w:hAnsi="Times New Roman"/>
                <w:sz w:val="20"/>
              </w:rPr>
              <w:t>Dave &amp; Busters of Washington, Inc.</w:t>
            </w:r>
          </w:p>
        </w:tc>
        <w:tc>
          <w:tcPr>
            <w:tcW w:w="785" w:type="dxa"/>
            <w:tcBorders/>
            <w:shd w:fill="auto" w:val="clear"/>
            <w:vAlign w:val="bottom"/>
          </w:tcPr>
          <w:p>
            <w:pPr>
              <w:pStyle w:val="TableContents"/>
              <w:spacing w:before="0" w:after="283"/>
              <w:rPr/>
            </w:pPr>
            <w:r>
              <w:rPr/>
              <w:t>  </w:t>
            </w:r>
          </w:p>
        </w:tc>
        <w:tc>
          <w:tcPr>
            <w:tcW w:w="2968" w:type="dxa"/>
            <w:tcBorders/>
            <w:shd w:fill="auto" w:val="clear"/>
            <w:vAlign w:val="bottom"/>
          </w:tcPr>
          <w:p>
            <w:pPr>
              <w:pStyle w:val="TableContents"/>
              <w:spacing w:before="0" w:after="283"/>
              <w:jc w:val="center"/>
              <w:rPr/>
            </w:pPr>
            <w:r>
              <w:rPr/>
              <w:t>Washington</w:t>
            </w:r>
          </w:p>
        </w:tc>
      </w:tr>
      <w:tr>
        <w:trPr/>
        <w:tc>
          <w:tcPr>
            <w:tcW w:w="6452" w:type="dxa"/>
            <w:tcBorders/>
            <w:shd w:fill="CCEEFF" w:val="clear"/>
          </w:tcPr>
          <w:p>
            <w:pPr>
              <w:pStyle w:val="TableContents"/>
              <w:spacing w:before="0" w:after="0"/>
              <w:rPr>
                <w:rFonts w:ascii="Times New Roman" w:hAnsi="Times New Roman"/>
                <w:sz w:val="20"/>
              </w:rPr>
            </w:pPr>
            <w:r>
              <w:rPr>
                <w:rFonts w:ascii="Times New Roman" w:hAnsi="Times New Roman"/>
                <w:sz w:val="20"/>
              </w:rPr>
              <w:t>Dave &amp; Busters of Wisconsin, Inc.</w:t>
            </w:r>
          </w:p>
        </w:tc>
        <w:tc>
          <w:tcPr>
            <w:tcW w:w="785" w:type="dxa"/>
            <w:tcBorders/>
            <w:shd w:fill="CCEEFF" w:val="clear"/>
            <w:vAlign w:val="bottom"/>
          </w:tcPr>
          <w:p>
            <w:pPr>
              <w:pStyle w:val="TableContents"/>
              <w:spacing w:before="0" w:after="283"/>
              <w:rPr/>
            </w:pPr>
            <w:r>
              <w:rPr/>
              <w:t>  </w:t>
            </w:r>
          </w:p>
        </w:tc>
        <w:tc>
          <w:tcPr>
            <w:tcW w:w="2968" w:type="dxa"/>
            <w:tcBorders/>
            <w:shd w:fill="CCEEFF" w:val="clear"/>
            <w:vAlign w:val="bottom"/>
          </w:tcPr>
          <w:p>
            <w:pPr>
              <w:pStyle w:val="TableContents"/>
              <w:spacing w:before="0" w:after="283"/>
              <w:jc w:val="center"/>
              <w:rPr/>
            </w:pPr>
            <w:r>
              <w:rPr/>
              <w:t>Delaware</w:t>
            </w:r>
          </w:p>
        </w:tc>
      </w:tr>
      <w:tr>
        <w:trPr/>
        <w:tc>
          <w:tcPr>
            <w:tcW w:w="6452" w:type="dxa"/>
            <w:tcBorders/>
            <w:shd w:fill="auto" w:val="clear"/>
          </w:tcPr>
          <w:p>
            <w:pPr>
              <w:pStyle w:val="TableContents"/>
              <w:spacing w:before="0" w:after="0"/>
              <w:rPr>
                <w:rFonts w:ascii="Times New Roman" w:hAnsi="Times New Roman"/>
                <w:sz w:val="20"/>
              </w:rPr>
            </w:pPr>
            <w:r>
              <w:rPr>
                <w:rFonts w:ascii="Times New Roman" w:hAnsi="Times New Roman"/>
                <w:sz w:val="20"/>
              </w:rPr>
              <w:t>D&amp;B Delco, LLC</w:t>
            </w:r>
          </w:p>
        </w:tc>
        <w:tc>
          <w:tcPr>
            <w:tcW w:w="785" w:type="dxa"/>
            <w:tcBorders/>
            <w:shd w:fill="auto" w:val="clear"/>
            <w:vAlign w:val="bottom"/>
          </w:tcPr>
          <w:p>
            <w:pPr>
              <w:pStyle w:val="TableContents"/>
              <w:spacing w:before="0" w:after="283"/>
              <w:rPr/>
            </w:pPr>
            <w:r>
              <w:rPr/>
              <w:t>  </w:t>
            </w:r>
          </w:p>
        </w:tc>
        <w:tc>
          <w:tcPr>
            <w:tcW w:w="2968" w:type="dxa"/>
            <w:tcBorders/>
            <w:shd w:fill="auto" w:val="clear"/>
            <w:vAlign w:val="bottom"/>
          </w:tcPr>
          <w:p>
            <w:pPr>
              <w:pStyle w:val="TableContents"/>
              <w:spacing w:before="0" w:after="283"/>
              <w:jc w:val="center"/>
              <w:rPr/>
            </w:pPr>
            <w:r>
              <w:rPr/>
              <w:t>Delaware</w:t>
            </w:r>
          </w:p>
        </w:tc>
      </w:tr>
      <w:tr>
        <w:trPr/>
        <w:tc>
          <w:tcPr>
            <w:tcW w:w="6452" w:type="dxa"/>
            <w:tcBorders/>
            <w:shd w:fill="CCEEFF" w:val="clear"/>
          </w:tcPr>
          <w:p>
            <w:pPr>
              <w:pStyle w:val="TableContents"/>
              <w:spacing w:before="0" w:after="0"/>
              <w:rPr>
                <w:rFonts w:ascii="Times New Roman" w:hAnsi="Times New Roman"/>
                <w:sz w:val="20"/>
              </w:rPr>
            </w:pPr>
            <w:r>
              <w:rPr>
                <w:rFonts w:ascii="Times New Roman" w:hAnsi="Times New Roman"/>
                <w:sz w:val="20"/>
              </w:rPr>
              <w:t>D&amp;B Leasing, Inc.</w:t>
            </w:r>
          </w:p>
        </w:tc>
        <w:tc>
          <w:tcPr>
            <w:tcW w:w="785" w:type="dxa"/>
            <w:tcBorders/>
            <w:shd w:fill="CCEEFF" w:val="clear"/>
            <w:vAlign w:val="bottom"/>
          </w:tcPr>
          <w:p>
            <w:pPr>
              <w:pStyle w:val="TableContents"/>
              <w:spacing w:before="0" w:after="283"/>
              <w:rPr/>
            </w:pPr>
            <w:r>
              <w:rPr/>
              <w:t>  </w:t>
            </w:r>
          </w:p>
        </w:tc>
        <w:tc>
          <w:tcPr>
            <w:tcW w:w="2968" w:type="dxa"/>
            <w:tcBorders/>
            <w:shd w:fill="CCEEFF" w:val="clear"/>
            <w:vAlign w:val="bottom"/>
          </w:tcPr>
          <w:p>
            <w:pPr>
              <w:pStyle w:val="TableContents"/>
              <w:spacing w:before="0" w:after="283"/>
              <w:jc w:val="center"/>
              <w:rPr/>
            </w:pPr>
            <w:r>
              <w:rPr/>
              <w:t>Texas</w:t>
            </w:r>
          </w:p>
        </w:tc>
      </w:tr>
      <w:tr>
        <w:trPr/>
        <w:tc>
          <w:tcPr>
            <w:tcW w:w="6452" w:type="dxa"/>
            <w:tcBorders/>
            <w:shd w:fill="auto" w:val="clear"/>
          </w:tcPr>
          <w:p>
            <w:pPr>
              <w:pStyle w:val="TableContents"/>
              <w:spacing w:before="0" w:after="0"/>
              <w:rPr>
                <w:rFonts w:ascii="Times New Roman" w:hAnsi="Times New Roman"/>
                <w:sz w:val="20"/>
              </w:rPr>
            </w:pPr>
            <w:r>
              <w:rPr>
                <w:rFonts w:ascii="Times New Roman" w:hAnsi="Times New Roman"/>
                <w:sz w:val="20"/>
              </w:rPr>
              <w:t>D&amp;B Marketing Company, LLC</w:t>
            </w:r>
          </w:p>
        </w:tc>
        <w:tc>
          <w:tcPr>
            <w:tcW w:w="785" w:type="dxa"/>
            <w:tcBorders/>
            <w:shd w:fill="auto" w:val="clear"/>
            <w:vAlign w:val="bottom"/>
          </w:tcPr>
          <w:p>
            <w:pPr>
              <w:pStyle w:val="TableContents"/>
              <w:spacing w:before="0" w:after="283"/>
              <w:rPr/>
            </w:pPr>
            <w:r>
              <w:rPr/>
              <w:t>  </w:t>
            </w:r>
          </w:p>
        </w:tc>
        <w:tc>
          <w:tcPr>
            <w:tcW w:w="2968" w:type="dxa"/>
            <w:tcBorders/>
            <w:shd w:fill="auto" w:val="clear"/>
            <w:vAlign w:val="bottom"/>
          </w:tcPr>
          <w:p>
            <w:pPr>
              <w:pStyle w:val="TableContents"/>
              <w:spacing w:before="0" w:after="283"/>
              <w:jc w:val="center"/>
              <w:rPr/>
            </w:pPr>
            <w:r>
              <w:rPr/>
              <w:t>Virginia</w:t>
            </w:r>
          </w:p>
        </w:tc>
      </w:tr>
      <w:tr>
        <w:trPr/>
        <w:tc>
          <w:tcPr>
            <w:tcW w:w="6452" w:type="dxa"/>
            <w:tcBorders/>
            <w:shd w:fill="CCEEFF" w:val="clear"/>
          </w:tcPr>
          <w:p>
            <w:pPr>
              <w:pStyle w:val="TableContents"/>
              <w:spacing w:before="0" w:after="0"/>
              <w:rPr>
                <w:rFonts w:ascii="Times New Roman" w:hAnsi="Times New Roman"/>
                <w:sz w:val="20"/>
              </w:rPr>
            </w:pPr>
            <w:r>
              <w:rPr>
                <w:rFonts w:ascii="Times New Roman" w:hAnsi="Times New Roman"/>
                <w:sz w:val="20"/>
              </w:rPr>
              <w:t>DANDB Texas, Inc.</w:t>
            </w:r>
          </w:p>
        </w:tc>
        <w:tc>
          <w:tcPr>
            <w:tcW w:w="785" w:type="dxa"/>
            <w:tcBorders/>
            <w:shd w:fill="CCEEFF" w:val="clear"/>
            <w:vAlign w:val="bottom"/>
          </w:tcPr>
          <w:p>
            <w:pPr>
              <w:pStyle w:val="TableContents"/>
              <w:spacing w:before="0" w:after="283"/>
              <w:rPr/>
            </w:pPr>
            <w:r>
              <w:rPr/>
              <w:t>  </w:t>
            </w:r>
          </w:p>
        </w:tc>
        <w:tc>
          <w:tcPr>
            <w:tcW w:w="2968" w:type="dxa"/>
            <w:tcBorders/>
            <w:shd w:fill="CCEEFF" w:val="clear"/>
            <w:vAlign w:val="bottom"/>
          </w:tcPr>
          <w:p>
            <w:pPr>
              <w:pStyle w:val="TableContents"/>
              <w:spacing w:before="0" w:after="283"/>
              <w:jc w:val="center"/>
              <w:rPr/>
            </w:pPr>
            <w:r>
              <w:rPr/>
              <w:t>Texas</w:t>
            </w:r>
          </w:p>
        </w:tc>
      </w:tr>
      <w:tr>
        <w:trPr/>
        <w:tc>
          <w:tcPr>
            <w:tcW w:w="6452" w:type="dxa"/>
            <w:tcBorders/>
            <w:shd w:fill="auto" w:val="clear"/>
          </w:tcPr>
          <w:p>
            <w:pPr>
              <w:pStyle w:val="TableContents"/>
              <w:spacing w:before="0" w:after="0"/>
              <w:rPr>
                <w:rFonts w:ascii="Times New Roman" w:hAnsi="Times New Roman"/>
                <w:sz w:val="20"/>
              </w:rPr>
            </w:pPr>
            <w:r>
              <w:rPr>
                <w:rFonts w:ascii="Times New Roman" w:hAnsi="Times New Roman"/>
                <w:sz w:val="20"/>
              </w:rPr>
              <w:t>Tango Acquisition, Inc.</w:t>
            </w:r>
          </w:p>
        </w:tc>
        <w:tc>
          <w:tcPr>
            <w:tcW w:w="785" w:type="dxa"/>
            <w:tcBorders/>
            <w:shd w:fill="auto" w:val="clear"/>
            <w:vAlign w:val="bottom"/>
          </w:tcPr>
          <w:p>
            <w:pPr>
              <w:pStyle w:val="TableContents"/>
              <w:spacing w:before="0" w:after="283"/>
              <w:rPr/>
            </w:pPr>
            <w:r>
              <w:rPr/>
              <w:t>  </w:t>
            </w:r>
          </w:p>
        </w:tc>
        <w:tc>
          <w:tcPr>
            <w:tcW w:w="2968" w:type="dxa"/>
            <w:tcBorders/>
            <w:shd w:fill="auto" w:val="clear"/>
            <w:vAlign w:val="bottom"/>
          </w:tcPr>
          <w:p>
            <w:pPr>
              <w:pStyle w:val="TableContents"/>
              <w:spacing w:before="0" w:after="283"/>
              <w:jc w:val="center"/>
              <w:rPr/>
            </w:pPr>
            <w:r>
              <w:rPr/>
              <w:t>Delaware</w:t>
            </w:r>
          </w:p>
        </w:tc>
      </w:tr>
      <w:tr>
        <w:trPr/>
        <w:tc>
          <w:tcPr>
            <w:tcW w:w="6452" w:type="dxa"/>
            <w:tcBorders/>
            <w:shd w:fill="CCEEFF" w:val="clear"/>
          </w:tcPr>
          <w:p>
            <w:pPr>
              <w:pStyle w:val="TableContents"/>
              <w:spacing w:before="0" w:after="0"/>
              <w:rPr>
                <w:rFonts w:ascii="Times New Roman" w:hAnsi="Times New Roman"/>
                <w:sz w:val="20"/>
              </w:rPr>
            </w:pPr>
            <w:r>
              <w:rPr>
                <w:rFonts w:ascii="Times New Roman" w:hAnsi="Times New Roman"/>
                <w:sz w:val="20"/>
              </w:rPr>
              <w:t>Tango License Corporation</w:t>
            </w:r>
          </w:p>
        </w:tc>
        <w:tc>
          <w:tcPr>
            <w:tcW w:w="785" w:type="dxa"/>
            <w:tcBorders/>
            <w:shd w:fill="CCEEFF" w:val="clear"/>
            <w:vAlign w:val="bottom"/>
          </w:tcPr>
          <w:p>
            <w:pPr>
              <w:pStyle w:val="TableContents"/>
              <w:spacing w:before="0" w:after="283"/>
              <w:rPr/>
            </w:pPr>
            <w:r>
              <w:rPr/>
              <w:t>  </w:t>
            </w:r>
          </w:p>
        </w:tc>
        <w:tc>
          <w:tcPr>
            <w:tcW w:w="2968" w:type="dxa"/>
            <w:tcBorders/>
            <w:shd w:fill="CCEEFF" w:val="clear"/>
            <w:vAlign w:val="bottom"/>
          </w:tcPr>
          <w:p>
            <w:pPr>
              <w:pStyle w:val="TableContents"/>
              <w:spacing w:before="0" w:after="283"/>
              <w:jc w:val="center"/>
              <w:rPr/>
            </w:pPr>
            <w:r>
              <w:rPr/>
              <w:t>Delaware</w:t>
            </w:r>
          </w:p>
        </w:tc>
      </w:tr>
      <w:tr>
        <w:trPr/>
        <w:tc>
          <w:tcPr>
            <w:tcW w:w="6452" w:type="dxa"/>
            <w:tcBorders/>
            <w:shd w:fill="auto" w:val="clear"/>
          </w:tcPr>
          <w:p>
            <w:pPr>
              <w:pStyle w:val="TableContents"/>
              <w:spacing w:before="0" w:after="0"/>
              <w:rPr>
                <w:rFonts w:ascii="Times New Roman" w:hAnsi="Times New Roman"/>
                <w:sz w:val="20"/>
              </w:rPr>
            </w:pPr>
            <w:r>
              <w:rPr>
                <w:rFonts w:ascii="Times New Roman" w:hAnsi="Times New Roman"/>
                <w:sz w:val="20"/>
              </w:rPr>
              <w:t>Tango of Arizona, Inc.</w:t>
            </w:r>
          </w:p>
        </w:tc>
        <w:tc>
          <w:tcPr>
            <w:tcW w:w="785" w:type="dxa"/>
            <w:tcBorders/>
            <w:shd w:fill="auto" w:val="clear"/>
            <w:vAlign w:val="bottom"/>
          </w:tcPr>
          <w:p>
            <w:pPr>
              <w:pStyle w:val="TableContents"/>
              <w:spacing w:before="0" w:after="283"/>
              <w:rPr/>
            </w:pPr>
            <w:r>
              <w:rPr/>
              <w:t>  </w:t>
            </w:r>
          </w:p>
        </w:tc>
        <w:tc>
          <w:tcPr>
            <w:tcW w:w="2968" w:type="dxa"/>
            <w:tcBorders/>
            <w:shd w:fill="auto" w:val="clear"/>
            <w:vAlign w:val="bottom"/>
          </w:tcPr>
          <w:p>
            <w:pPr>
              <w:pStyle w:val="TableContents"/>
              <w:spacing w:before="0" w:after="283"/>
              <w:jc w:val="center"/>
              <w:rPr/>
            </w:pPr>
            <w:r>
              <w:rPr/>
              <w:t>Delaware</w:t>
            </w:r>
          </w:p>
        </w:tc>
      </w:tr>
      <w:tr>
        <w:trPr/>
        <w:tc>
          <w:tcPr>
            <w:tcW w:w="6452" w:type="dxa"/>
            <w:tcBorders/>
            <w:shd w:fill="CCEEFF" w:val="clear"/>
          </w:tcPr>
          <w:p>
            <w:pPr>
              <w:pStyle w:val="TableContents"/>
              <w:spacing w:before="0" w:after="0"/>
              <w:rPr>
                <w:rFonts w:ascii="Times New Roman" w:hAnsi="Times New Roman"/>
                <w:sz w:val="20"/>
              </w:rPr>
            </w:pPr>
            <w:r>
              <w:rPr>
                <w:rFonts w:ascii="Times New Roman" w:hAnsi="Times New Roman"/>
                <w:sz w:val="20"/>
              </w:rPr>
              <w:t>Tango of Arundel, Inc.</w:t>
            </w:r>
          </w:p>
        </w:tc>
        <w:tc>
          <w:tcPr>
            <w:tcW w:w="785" w:type="dxa"/>
            <w:tcBorders/>
            <w:shd w:fill="CCEEFF" w:val="clear"/>
            <w:vAlign w:val="bottom"/>
          </w:tcPr>
          <w:p>
            <w:pPr>
              <w:pStyle w:val="TableContents"/>
              <w:spacing w:before="0" w:after="283"/>
              <w:rPr/>
            </w:pPr>
            <w:r>
              <w:rPr/>
              <w:t>  </w:t>
            </w:r>
          </w:p>
        </w:tc>
        <w:tc>
          <w:tcPr>
            <w:tcW w:w="2968" w:type="dxa"/>
            <w:tcBorders/>
            <w:shd w:fill="CCEEFF" w:val="clear"/>
            <w:vAlign w:val="bottom"/>
          </w:tcPr>
          <w:p>
            <w:pPr>
              <w:pStyle w:val="TableContents"/>
              <w:spacing w:before="0" w:after="283"/>
              <w:jc w:val="center"/>
              <w:rPr/>
            </w:pPr>
            <w:r>
              <w:rPr/>
              <w:t>Delaware</w:t>
            </w:r>
          </w:p>
        </w:tc>
      </w:tr>
      <w:tr>
        <w:trPr/>
        <w:tc>
          <w:tcPr>
            <w:tcW w:w="6452" w:type="dxa"/>
            <w:tcBorders/>
            <w:shd w:fill="auto" w:val="clear"/>
          </w:tcPr>
          <w:p>
            <w:pPr>
              <w:pStyle w:val="TableContents"/>
              <w:spacing w:before="0" w:after="0"/>
              <w:rPr>
                <w:rFonts w:ascii="Times New Roman" w:hAnsi="Times New Roman"/>
                <w:sz w:val="20"/>
              </w:rPr>
            </w:pPr>
            <w:r>
              <w:rPr>
                <w:rFonts w:ascii="Times New Roman" w:hAnsi="Times New Roman"/>
                <w:sz w:val="20"/>
              </w:rPr>
              <w:t>Tango of Farmingdale, Inc.</w:t>
            </w:r>
          </w:p>
        </w:tc>
        <w:tc>
          <w:tcPr>
            <w:tcW w:w="785" w:type="dxa"/>
            <w:tcBorders/>
            <w:shd w:fill="auto" w:val="clear"/>
            <w:vAlign w:val="bottom"/>
          </w:tcPr>
          <w:p>
            <w:pPr>
              <w:pStyle w:val="TableContents"/>
              <w:spacing w:before="0" w:after="283"/>
              <w:rPr/>
            </w:pPr>
            <w:r>
              <w:rPr/>
              <w:t>  </w:t>
            </w:r>
          </w:p>
        </w:tc>
        <w:tc>
          <w:tcPr>
            <w:tcW w:w="2968" w:type="dxa"/>
            <w:tcBorders/>
            <w:shd w:fill="auto" w:val="clear"/>
            <w:vAlign w:val="bottom"/>
          </w:tcPr>
          <w:p>
            <w:pPr>
              <w:pStyle w:val="TableContents"/>
              <w:spacing w:before="0" w:after="283"/>
              <w:jc w:val="center"/>
              <w:rPr/>
            </w:pPr>
            <w:r>
              <w:rPr/>
              <w:t>Delaware</w:t>
            </w:r>
          </w:p>
        </w:tc>
      </w:tr>
      <w:tr>
        <w:trPr/>
        <w:tc>
          <w:tcPr>
            <w:tcW w:w="6452" w:type="dxa"/>
            <w:tcBorders/>
            <w:shd w:fill="CCEEFF" w:val="clear"/>
          </w:tcPr>
          <w:p>
            <w:pPr>
              <w:pStyle w:val="TableContents"/>
              <w:spacing w:before="0" w:after="0"/>
              <w:rPr>
                <w:rFonts w:ascii="Times New Roman" w:hAnsi="Times New Roman"/>
                <w:sz w:val="20"/>
              </w:rPr>
            </w:pPr>
            <w:r>
              <w:rPr>
                <w:rFonts w:ascii="Times New Roman" w:hAnsi="Times New Roman"/>
                <w:sz w:val="20"/>
              </w:rPr>
              <w:t>Tango of Franklin, Inc.</w:t>
            </w:r>
          </w:p>
        </w:tc>
        <w:tc>
          <w:tcPr>
            <w:tcW w:w="785" w:type="dxa"/>
            <w:tcBorders/>
            <w:shd w:fill="CCEEFF" w:val="clear"/>
            <w:vAlign w:val="bottom"/>
          </w:tcPr>
          <w:p>
            <w:pPr>
              <w:pStyle w:val="TableContents"/>
              <w:spacing w:before="0" w:after="283"/>
              <w:rPr/>
            </w:pPr>
            <w:r>
              <w:rPr/>
              <w:t>  </w:t>
            </w:r>
          </w:p>
        </w:tc>
        <w:tc>
          <w:tcPr>
            <w:tcW w:w="2968" w:type="dxa"/>
            <w:tcBorders/>
            <w:shd w:fill="CCEEFF" w:val="clear"/>
            <w:vAlign w:val="bottom"/>
          </w:tcPr>
          <w:p>
            <w:pPr>
              <w:pStyle w:val="TableContents"/>
              <w:spacing w:before="0" w:after="283"/>
              <w:jc w:val="center"/>
              <w:rPr/>
            </w:pPr>
            <w:r>
              <w:rPr/>
              <w:t>Delaware</w:t>
            </w:r>
          </w:p>
        </w:tc>
      </w:tr>
      <w:tr>
        <w:trPr/>
        <w:tc>
          <w:tcPr>
            <w:tcW w:w="6452" w:type="dxa"/>
            <w:tcBorders/>
            <w:shd w:fill="auto" w:val="clear"/>
          </w:tcPr>
          <w:p>
            <w:pPr>
              <w:pStyle w:val="TableContents"/>
              <w:spacing w:before="0" w:after="0"/>
              <w:rPr>
                <w:rFonts w:ascii="Times New Roman" w:hAnsi="Times New Roman"/>
                <w:sz w:val="20"/>
              </w:rPr>
            </w:pPr>
            <w:r>
              <w:rPr>
                <w:rFonts w:ascii="Times New Roman" w:hAnsi="Times New Roman"/>
                <w:sz w:val="20"/>
              </w:rPr>
              <w:t>Tango of Houston, Inc.</w:t>
            </w:r>
          </w:p>
        </w:tc>
        <w:tc>
          <w:tcPr>
            <w:tcW w:w="785" w:type="dxa"/>
            <w:tcBorders/>
            <w:shd w:fill="auto" w:val="clear"/>
            <w:vAlign w:val="bottom"/>
          </w:tcPr>
          <w:p>
            <w:pPr>
              <w:pStyle w:val="TableContents"/>
              <w:spacing w:before="0" w:after="283"/>
              <w:rPr/>
            </w:pPr>
            <w:r>
              <w:rPr/>
              <w:t>  </w:t>
            </w:r>
          </w:p>
        </w:tc>
        <w:tc>
          <w:tcPr>
            <w:tcW w:w="2968" w:type="dxa"/>
            <w:tcBorders/>
            <w:shd w:fill="auto" w:val="clear"/>
            <w:vAlign w:val="bottom"/>
          </w:tcPr>
          <w:p>
            <w:pPr>
              <w:pStyle w:val="TableContents"/>
              <w:spacing w:before="0" w:after="283"/>
              <w:jc w:val="center"/>
              <w:rPr/>
            </w:pPr>
            <w:r>
              <w:rPr/>
              <w:t>Delaware</w:t>
            </w:r>
          </w:p>
        </w:tc>
      </w:tr>
      <w:tr>
        <w:trPr/>
        <w:tc>
          <w:tcPr>
            <w:tcW w:w="6452" w:type="dxa"/>
            <w:tcBorders/>
            <w:shd w:fill="CCEEFF" w:val="clear"/>
          </w:tcPr>
          <w:p>
            <w:pPr>
              <w:pStyle w:val="TableContents"/>
              <w:spacing w:before="0" w:after="0"/>
              <w:rPr>
                <w:rFonts w:ascii="Times New Roman" w:hAnsi="Times New Roman"/>
                <w:sz w:val="20"/>
              </w:rPr>
            </w:pPr>
            <w:r>
              <w:rPr>
                <w:rFonts w:ascii="Times New Roman" w:hAnsi="Times New Roman"/>
                <w:sz w:val="20"/>
              </w:rPr>
              <w:t>Tango of North Carolina, Inc.</w:t>
            </w:r>
          </w:p>
        </w:tc>
        <w:tc>
          <w:tcPr>
            <w:tcW w:w="785" w:type="dxa"/>
            <w:tcBorders/>
            <w:shd w:fill="CCEEFF" w:val="clear"/>
            <w:vAlign w:val="bottom"/>
          </w:tcPr>
          <w:p>
            <w:pPr>
              <w:pStyle w:val="TableContents"/>
              <w:spacing w:before="0" w:after="283"/>
              <w:rPr/>
            </w:pPr>
            <w:r>
              <w:rPr/>
              <w:t>  </w:t>
            </w:r>
          </w:p>
        </w:tc>
        <w:tc>
          <w:tcPr>
            <w:tcW w:w="2968" w:type="dxa"/>
            <w:tcBorders/>
            <w:shd w:fill="CCEEFF" w:val="clear"/>
            <w:vAlign w:val="bottom"/>
          </w:tcPr>
          <w:p>
            <w:pPr>
              <w:pStyle w:val="TableContents"/>
              <w:spacing w:before="0" w:after="283"/>
              <w:jc w:val="center"/>
              <w:rPr/>
            </w:pPr>
            <w:r>
              <w:rPr/>
              <w:t>Delaware</w:t>
            </w:r>
          </w:p>
        </w:tc>
      </w:tr>
      <w:tr>
        <w:trPr/>
        <w:tc>
          <w:tcPr>
            <w:tcW w:w="6452" w:type="dxa"/>
            <w:tcBorders/>
            <w:shd w:fill="auto" w:val="clear"/>
          </w:tcPr>
          <w:p>
            <w:pPr>
              <w:pStyle w:val="TableContents"/>
              <w:spacing w:before="0" w:after="0"/>
              <w:rPr>
                <w:rFonts w:ascii="Times New Roman" w:hAnsi="Times New Roman"/>
                <w:sz w:val="20"/>
              </w:rPr>
            </w:pPr>
            <w:r>
              <w:rPr>
                <w:rFonts w:ascii="Times New Roman" w:hAnsi="Times New Roman"/>
                <w:sz w:val="20"/>
              </w:rPr>
              <w:t>Tango of Tennessee, Inc.</w:t>
            </w:r>
          </w:p>
        </w:tc>
        <w:tc>
          <w:tcPr>
            <w:tcW w:w="785" w:type="dxa"/>
            <w:tcBorders/>
            <w:shd w:fill="auto" w:val="clear"/>
            <w:vAlign w:val="bottom"/>
          </w:tcPr>
          <w:p>
            <w:pPr>
              <w:pStyle w:val="TableContents"/>
              <w:spacing w:before="0" w:after="283"/>
              <w:rPr/>
            </w:pPr>
            <w:r>
              <w:rPr/>
              <w:t>  </w:t>
            </w:r>
          </w:p>
        </w:tc>
        <w:tc>
          <w:tcPr>
            <w:tcW w:w="2968" w:type="dxa"/>
            <w:tcBorders/>
            <w:shd w:fill="auto" w:val="clear"/>
            <w:vAlign w:val="bottom"/>
          </w:tcPr>
          <w:p>
            <w:pPr>
              <w:pStyle w:val="TableContents"/>
              <w:spacing w:before="0" w:after="283"/>
              <w:jc w:val="center"/>
              <w:rPr/>
            </w:pPr>
            <w:r>
              <w:rPr/>
              <w:t>Delaware</w:t>
            </w:r>
          </w:p>
        </w:tc>
      </w:tr>
      <w:tr>
        <w:trPr/>
        <w:tc>
          <w:tcPr>
            <w:tcW w:w="6452" w:type="dxa"/>
            <w:tcBorders/>
            <w:shd w:fill="CCEEFF" w:val="clear"/>
          </w:tcPr>
          <w:p>
            <w:pPr>
              <w:pStyle w:val="TableContents"/>
              <w:spacing w:before="0" w:after="0"/>
              <w:rPr>
                <w:rFonts w:ascii="Times New Roman" w:hAnsi="Times New Roman"/>
                <w:sz w:val="20"/>
              </w:rPr>
            </w:pPr>
            <w:r>
              <w:rPr>
                <w:rFonts w:ascii="Times New Roman" w:hAnsi="Times New Roman"/>
                <w:sz w:val="20"/>
              </w:rPr>
              <w:t>Tango of Westbury, Inc.</w:t>
            </w:r>
          </w:p>
        </w:tc>
        <w:tc>
          <w:tcPr>
            <w:tcW w:w="785" w:type="dxa"/>
            <w:tcBorders/>
            <w:shd w:fill="CCEEFF" w:val="clear"/>
            <w:vAlign w:val="bottom"/>
          </w:tcPr>
          <w:p>
            <w:pPr>
              <w:pStyle w:val="TableContents"/>
              <w:spacing w:before="0" w:after="283"/>
              <w:rPr/>
            </w:pPr>
            <w:r>
              <w:rPr/>
              <w:t>  </w:t>
            </w:r>
          </w:p>
        </w:tc>
        <w:tc>
          <w:tcPr>
            <w:tcW w:w="2968" w:type="dxa"/>
            <w:tcBorders/>
            <w:shd w:fill="CCEEFF" w:val="clear"/>
            <w:vAlign w:val="bottom"/>
          </w:tcPr>
          <w:p>
            <w:pPr>
              <w:pStyle w:val="TableContents"/>
              <w:spacing w:before="0" w:after="283"/>
              <w:jc w:val="center"/>
              <w:rPr/>
            </w:pPr>
            <w:r>
              <w:rPr/>
              <w:t>Delaware</w:t>
            </w:r>
          </w:p>
        </w:tc>
      </w:tr>
      <w:tr>
        <w:trPr/>
        <w:tc>
          <w:tcPr>
            <w:tcW w:w="6452" w:type="dxa"/>
            <w:tcBorders/>
            <w:shd w:fill="auto" w:val="clear"/>
          </w:tcPr>
          <w:p>
            <w:pPr>
              <w:pStyle w:val="TableContents"/>
              <w:spacing w:before="0" w:after="0"/>
              <w:rPr>
                <w:rFonts w:ascii="Times New Roman" w:hAnsi="Times New Roman"/>
                <w:sz w:val="20"/>
              </w:rPr>
            </w:pPr>
            <w:r>
              <w:rPr>
                <w:rFonts w:ascii="Times New Roman" w:hAnsi="Times New Roman"/>
                <w:sz w:val="20"/>
              </w:rPr>
              <w:t>6131646 Canada, Inc.</w:t>
            </w:r>
          </w:p>
        </w:tc>
        <w:tc>
          <w:tcPr>
            <w:tcW w:w="785" w:type="dxa"/>
            <w:tcBorders/>
            <w:shd w:fill="auto" w:val="clear"/>
            <w:vAlign w:val="bottom"/>
          </w:tcPr>
          <w:p>
            <w:pPr>
              <w:pStyle w:val="TableContents"/>
              <w:spacing w:before="0" w:after="283"/>
              <w:rPr/>
            </w:pPr>
            <w:r>
              <w:rPr/>
              <w:t>  </w:t>
            </w:r>
          </w:p>
        </w:tc>
        <w:tc>
          <w:tcPr>
            <w:tcW w:w="2968" w:type="dxa"/>
            <w:tcBorders/>
            <w:shd w:fill="auto" w:val="clear"/>
            <w:vAlign w:val="bottom"/>
          </w:tcPr>
          <w:p>
            <w:pPr>
              <w:pStyle w:val="TableContents"/>
              <w:spacing w:before="0" w:after="283"/>
              <w:jc w:val="center"/>
              <w:rPr/>
            </w:pPr>
            <w:r>
              <w:rPr/>
              <w:t>Canada</w:t>
            </w:r>
          </w:p>
        </w:tc>
      </w:tr>
    </w:tbl>
    <w:p>
      <w:pPr>
        <w:pStyle w:val="TextBody"/>
        <w:spacing w:before="0" w:after="0"/>
        <w:jc w:val="right"/>
        <w:rPr>
          <w:rFonts w:ascii="Times New Roman" w:hAnsi="Times New Roman"/>
          <w:b/>
          <w:sz w:val="20"/>
        </w:rPr>
      </w:pPr>
      <w:r>
        <w:br w:type="page"/>
      </w:r>
      <w:bookmarkStart w:id="26" w:name="d120247dex231.htm"/>
      <w:bookmarkStart w:id="27" w:name="ksd120247dex231"/>
      <w:bookmarkEnd w:id="26"/>
      <w:bookmarkEnd w:id="27"/>
      <w:r>
        <w:rPr>
          <w:rFonts w:ascii="Times New Roman" w:hAnsi="Times New Roman"/>
          <w:b/>
          <w:sz w:val="20"/>
        </w:rPr>
        <w:t xml:space="preserve">Exhibit 23.1 </w:t>
      </w:r>
    </w:p>
    <w:p>
      <w:pPr>
        <w:pStyle w:val="TextBody"/>
        <w:spacing w:before="480" w:after="0"/>
        <w:jc w:val="center"/>
        <w:rPr>
          <w:rFonts w:ascii="Times New Roman" w:hAnsi="Times New Roman"/>
          <w:b/>
          <w:sz w:val="20"/>
        </w:rPr>
      </w:pPr>
      <w:r>
        <w:rPr>
          <w:rFonts w:ascii="Times New Roman" w:hAnsi="Times New Roman"/>
          <w:b/>
          <w:sz w:val="20"/>
        </w:rPr>
        <w:t xml:space="preserve">Consent of Independent Registered Public Accounting Firm </w:t>
      </w:r>
    </w:p>
    <w:p>
      <w:pPr>
        <w:pStyle w:val="TextBody"/>
        <w:spacing w:before="240" w:after="0"/>
        <w:jc w:val="left"/>
        <w:rPr>
          <w:rFonts w:ascii="Times New Roman" w:hAnsi="Times New Roman"/>
          <w:sz w:val="20"/>
        </w:rPr>
      </w:pPr>
      <w:r>
        <w:rPr>
          <w:rFonts w:ascii="Times New Roman" w:hAnsi="Times New Roman"/>
          <w:sz w:val="20"/>
        </w:rPr>
        <w:t xml:space="preserve">The Board of Directors </w:t>
      </w:r>
    </w:p>
    <w:p>
      <w:pPr>
        <w:pStyle w:val="TextBody"/>
        <w:spacing w:before="0" w:after="0"/>
        <w:jc w:val="left"/>
        <w:rPr>
          <w:rFonts w:ascii="Times New Roman" w:hAnsi="Times New Roman"/>
          <w:sz w:val="20"/>
        </w:rPr>
      </w:pPr>
      <w:r>
        <w:rPr>
          <w:rFonts w:ascii="Times New Roman" w:hAnsi="Times New Roman"/>
          <w:sz w:val="20"/>
        </w:rPr>
        <w:t xml:space="preserve">Dave &amp; Busters Entertainment, Inc.: </w:t>
      </w:r>
    </w:p>
    <w:p>
      <w:pPr>
        <w:pStyle w:val="TextBody"/>
        <w:spacing w:before="240" w:after="0"/>
        <w:jc w:val="left"/>
        <w:rPr>
          <w:rFonts w:ascii="Times New Roman" w:hAnsi="Times New Roman"/>
          <w:sz w:val="20"/>
        </w:rPr>
      </w:pPr>
      <w:r>
        <w:rPr>
          <w:rFonts w:ascii="Times New Roman" w:hAnsi="Times New Roman"/>
          <w:sz w:val="20"/>
        </w:rPr>
        <w:t xml:space="preserve">We consent to the incorporation by reference in the registration statements (No. 333-239590 and 333-199239) on Form S-8 and (No. 333-237664) on Form S-3 of Dave &amp; Busters Entertainment, Inc. of our reports dated March 31, 2021, with respect to the consolidated balance sheets of Dave &amp; Busters Entertainment, Inc. as of January 31, 2021, and February 2, 2020, the related consolidated statements of comprehensive income (loss), stockholders equity, and cash flows for each of the fiscal years in the three-year period ended January 31, 2021 and the related notes, and the effectiveness of internal control over financial reporting as of January 31, 2021, which reports appear in the January 31, 2021 annual report on Form 10-K of Dave &amp; Busters Entertainment, Inc. </w:t>
      </w:r>
    </w:p>
    <w:p>
      <w:pPr>
        <w:pStyle w:val="TextBody"/>
        <w:spacing w:before="240" w:after="0"/>
        <w:jc w:val="left"/>
        <w:rPr>
          <w:rFonts w:ascii="Times New Roman" w:hAnsi="Times New Roman"/>
          <w:sz w:val="20"/>
        </w:rPr>
      </w:pPr>
      <w:r>
        <w:rPr>
          <w:rFonts w:ascii="Times New Roman" w:hAnsi="Times New Roman"/>
          <w:sz w:val="20"/>
        </w:rPr>
        <w:t xml:space="preserve">Our report refers to a change in accounting principle for the adoption of Accounting Standards Update 2016-02, Leases (Topic 842). </w:t>
      </w:r>
    </w:p>
    <w:p>
      <w:pPr>
        <w:pStyle w:val="TextBody"/>
        <w:spacing w:before="240" w:after="0"/>
        <w:jc w:val="left"/>
        <w:rPr>
          <w:rFonts w:ascii="Times New Roman" w:hAnsi="Times New Roman"/>
          <w:sz w:val="20"/>
        </w:rPr>
      </w:pPr>
      <w:r>
        <w:rPr>
          <w:rFonts w:ascii="Times New Roman" w:hAnsi="Times New Roman"/>
          <w:sz w:val="20"/>
        </w:rPr>
        <w:t xml:space="preserve">/s/KPMG LLP </w:t>
      </w:r>
    </w:p>
    <w:p>
      <w:pPr>
        <w:pStyle w:val="TextBody"/>
        <w:spacing w:before="240" w:after="0"/>
        <w:jc w:val="left"/>
        <w:rPr>
          <w:rFonts w:ascii="Times New Roman" w:hAnsi="Times New Roman"/>
          <w:sz w:val="20"/>
        </w:rPr>
      </w:pPr>
      <w:r>
        <w:rPr>
          <w:rFonts w:ascii="Times New Roman" w:hAnsi="Times New Roman"/>
          <w:sz w:val="20"/>
        </w:rPr>
        <w:t xml:space="preserve">Dallas, Texas </w:t>
      </w:r>
    </w:p>
    <w:p>
      <w:pPr>
        <w:pStyle w:val="TextBody"/>
        <w:spacing w:before="0" w:after="0"/>
        <w:jc w:val="left"/>
        <w:rPr>
          <w:rFonts w:ascii="Times New Roman" w:hAnsi="Times New Roman"/>
          <w:sz w:val="20"/>
        </w:rPr>
      </w:pPr>
      <w:r>
        <w:rPr>
          <w:rFonts w:ascii="Times New Roman" w:hAnsi="Times New Roman"/>
          <w:sz w:val="20"/>
        </w:rPr>
        <w:t xml:space="preserve">March 31, 2021 </w:t>
      </w:r>
      <w:r>
        <w:br w:type="page"/>
      </w:r>
    </w:p>
    <w:p>
      <w:pPr>
        <w:pStyle w:val="TextBody"/>
        <w:spacing w:before="0" w:after="0"/>
        <w:jc w:val="right"/>
        <w:rPr>
          <w:rFonts w:ascii="Times New Roman" w:hAnsi="Times New Roman"/>
          <w:b/>
          <w:sz w:val="20"/>
        </w:rPr>
      </w:pPr>
      <w:bookmarkStart w:id="28" w:name="d120247dex311.htm"/>
      <w:bookmarkStart w:id="29" w:name="ksd120247dex311"/>
      <w:bookmarkEnd w:id="28"/>
      <w:bookmarkEnd w:id="29"/>
      <w:r>
        <w:rPr>
          <w:rFonts w:ascii="Times New Roman" w:hAnsi="Times New Roman"/>
          <w:b/>
          <w:sz w:val="20"/>
        </w:rPr>
        <w:t xml:space="preserve">Exhibit 31.1 </w:t>
      </w:r>
    </w:p>
    <w:p>
      <w:pPr>
        <w:pStyle w:val="TextBody"/>
        <w:spacing w:before="480" w:after="0"/>
        <w:jc w:val="center"/>
        <w:rPr>
          <w:rFonts w:ascii="Times New Roman" w:hAnsi="Times New Roman"/>
          <w:b/>
          <w:sz w:val="20"/>
        </w:rPr>
      </w:pPr>
      <w:r>
        <w:rPr>
          <w:rFonts w:ascii="Times New Roman" w:hAnsi="Times New Roman"/>
          <w:b/>
          <w:sz w:val="20"/>
        </w:rPr>
        <w:t xml:space="preserve">CERTIFICATION </w:t>
      </w:r>
    </w:p>
    <w:p>
      <w:pPr>
        <w:pStyle w:val="TextBody"/>
        <w:spacing w:before="240" w:after="0"/>
        <w:jc w:val="left"/>
        <w:rPr>
          <w:rFonts w:ascii="Times New Roman" w:hAnsi="Times New Roman"/>
          <w:sz w:val="20"/>
        </w:rPr>
      </w:pPr>
      <w:r>
        <w:rPr>
          <w:rFonts w:ascii="Times New Roman" w:hAnsi="Times New Roman"/>
          <w:sz w:val="20"/>
        </w:rPr>
        <w:t xml:space="preserve">I, Brian A. Jenkins, Chief Executive Officer of Dave &amp; Busters Entertainment, Inc., certify that: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1.</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 have reviewed this annual report on Form 10-K of Dave &amp; Busters Entertainment, Inc.;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2.</w:t>
            </w:r>
          </w:p>
        </w:tc>
        <w:tc>
          <w:tcPr>
            <w:tcW w:w="979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3.</w:t>
            </w:r>
          </w:p>
        </w:tc>
        <w:tc>
          <w:tcPr>
            <w:tcW w:w="979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4.</w:t>
            </w:r>
          </w:p>
        </w:tc>
        <w:tc>
          <w:tcPr>
            <w:tcW w:w="979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508"/>
        <w:gridCol w:w="9291"/>
      </w:tblGrid>
      <w:tr>
        <w:trPr/>
        <w:tc>
          <w:tcPr>
            <w:tcW w:w="406" w:type="dxa"/>
            <w:tcBorders/>
            <w:shd w:fill="auto" w:val="clear"/>
            <w:vAlign w:val="center"/>
          </w:tcPr>
          <w:p>
            <w:pPr>
              <w:pStyle w:val="TableContents"/>
              <w:spacing w:before="0" w:after="283"/>
              <w:rPr/>
            </w:pPr>
            <w:r>
              <w:rPr/>
              <w:t> </w:t>
            </w:r>
          </w:p>
        </w:tc>
        <w:tc>
          <w:tcPr>
            <w:tcW w:w="508" w:type="dxa"/>
            <w:tcBorders/>
            <w:shd w:fill="auto" w:val="clear"/>
          </w:tcPr>
          <w:p>
            <w:pPr>
              <w:pStyle w:val="TableContents"/>
              <w:spacing w:before="0" w:after="283"/>
              <w:jc w:val="left"/>
              <w:rPr/>
            </w:pPr>
            <w:r>
              <w:rPr/>
              <w:t>a)</w:t>
            </w:r>
          </w:p>
        </w:tc>
        <w:tc>
          <w:tcPr>
            <w:tcW w:w="9291"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508"/>
        <w:gridCol w:w="9291"/>
      </w:tblGrid>
      <w:tr>
        <w:trPr/>
        <w:tc>
          <w:tcPr>
            <w:tcW w:w="406" w:type="dxa"/>
            <w:tcBorders/>
            <w:shd w:fill="auto" w:val="clear"/>
            <w:vAlign w:val="center"/>
          </w:tcPr>
          <w:p>
            <w:pPr>
              <w:pStyle w:val="TableContents"/>
              <w:spacing w:before="0" w:after="283"/>
              <w:rPr/>
            </w:pPr>
            <w:r>
              <w:rPr/>
              <w:t> </w:t>
            </w:r>
          </w:p>
        </w:tc>
        <w:tc>
          <w:tcPr>
            <w:tcW w:w="508" w:type="dxa"/>
            <w:tcBorders/>
            <w:shd w:fill="auto" w:val="clear"/>
          </w:tcPr>
          <w:p>
            <w:pPr>
              <w:pStyle w:val="TableContents"/>
              <w:spacing w:before="0" w:after="283"/>
              <w:jc w:val="left"/>
              <w:rPr/>
            </w:pPr>
            <w:r>
              <w:rPr/>
              <w:t>b)</w:t>
            </w:r>
          </w:p>
        </w:tc>
        <w:tc>
          <w:tcPr>
            <w:tcW w:w="9291"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508"/>
        <w:gridCol w:w="9291"/>
      </w:tblGrid>
      <w:tr>
        <w:trPr/>
        <w:tc>
          <w:tcPr>
            <w:tcW w:w="406" w:type="dxa"/>
            <w:tcBorders/>
            <w:shd w:fill="auto" w:val="clear"/>
            <w:vAlign w:val="center"/>
          </w:tcPr>
          <w:p>
            <w:pPr>
              <w:pStyle w:val="TableContents"/>
              <w:spacing w:before="0" w:after="283"/>
              <w:rPr/>
            </w:pPr>
            <w:r>
              <w:rPr/>
              <w:t> </w:t>
            </w:r>
          </w:p>
        </w:tc>
        <w:tc>
          <w:tcPr>
            <w:tcW w:w="508" w:type="dxa"/>
            <w:tcBorders/>
            <w:shd w:fill="auto" w:val="clear"/>
          </w:tcPr>
          <w:p>
            <w:pPr>
              <w:pStyle w:val="TableContents"/>
              <w:spacing w:before="0" w:after="283"/>
              <w:jc w:val="left"/>
              <w:rPr/>
            </w:pPr>
            <w:r>
              <w:rPr/>
              <w:t>c)</w:t>
            </w:r>
          </w:p>
        </w:tc>
        <w:tc>
          <w:tcPr>
            <w:tcW w:w="9291"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507"/>
        <w:gridCol w:w="9292"/>
      </w:tblGrid>
      <w:tr>
        <w:trPr/>
        <w:tc>
          <w:tcPr>
            <w:tcW w:w="406" w:type="dxa"/>
            <w:tcBorders/>
            <w:shd w:fill="auto" w:val="clear"/>
            <w:vAlign w:val="center"/>
          </w:tcPr>
          <w:p>
            <w:pPr>
              <w:pStyle w:val="TableContents"/>
              <w:spacing w:before="0" w:after="283"/>
              <w:rPr/>
            </w:pPr>
            <w:r>
              <w:rPr/>
              <w:t> </w:t>
            </w:r>
          </w:p>
        </w:tc>
        <w:tc>
          <w:tcPr>
            <w:tcW w:w="507" w:type="dxa"/>
            <w:tcBorders/>
            <w:shd w:fill="auto" w:val="clear"/>
          </w:tcPr>
          <w:p>
            <w:pPr>
              <w:pStyle w:val="TableContents"/>
              <w:spacing w:before="0" w:after="283"/>
              <w:jc w:val="left"/>
              <w:rPr/>
            </w:pPr>
            <w:r>
              <w:rPr/>
              <w:t>d)</w:t>
            </w:r>
          </w:p>
        </w:tc>
        <w:tc>
          <w:tcPr>
            <w:tcW w:w="929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Disclosed in this report any change in the registrants internal control over financial reporting that occurred during the registrants fourth fiscal quarter that has materially affected, or is reasonably likely to materially affect, the registrants internal control over financial reporting;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5.</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registrants other certifying officer and I have disclosed, based on our most recent evaluation of internal control over financial reporting, to the registrants auditors and the audit committee of registrants board of directors (or persons performing the equivalent functions):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510"/>
        <w:gridCol w:w="9287"/>
      </w:tblGrid>
      <w:tr>
        <w:trPr/>
        <w:tc>
          <w:tcPr>
            <w:tcW w:w="408"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pPr>
            <w:r>
              <w:rPr/>
              <w:t>a)</w:t>
            </w:r>
          </w:p>
        </w:tc>
        <w:tc>
          <w:tcPr>
            <w:tcW w:w="928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509"/>
        <w:gridCol w:w="9289"/>
      </w:tblGrid>
      <w:tr>
        <w:trPr/>
        <w:tc>
          <w:tcPr>
            <w:tcW w:w="407"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pPr>
            <w:r>
              <w:rPr/>
              <w:t>b)</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Any fraud, whether or not material, that involves management or other employees who have a significant role in the registrants internal control over financial reporting.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746"/>
        <w:gridCol w:w="120"/>
        <w:gridCol w:w="300"/>
        <w:gridCol w:w="109"/>
        <w:gridCol w:w="4930"/>
      </w:tblGrid>
      <w:tr>
        <w:trPr/>
        <w:tc>
          <w:tcPr>
            <w:tcW w:w="4746"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30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bottom"/>
          </w:tcPr>
          <w:p>
            <w:pPr>
              <w:pStyle w:val="TableContents"/>
              <w:spacing w:before="0" w:after="283"/>
              <w:rPr>
                <w:sz w:val="4"/>
                <w:szCs w:val="4"/>
              </w:rPr>
            </w:pPr>
            <w:r>
              <w:rPr>
                <w:sz w:val="4"/>
                <w:szCs w:val="4"/>
              </w:rPr>
            </w:r>
          </w:p>
        </w:tc>
        <w:tc>
          <w:tcPr>
            <w:tcW w:w="4930" w:type="dxa"/>
            <w:tcBorders/>
            <w:shd w:fill="auto" w:val="clear"/>
            <w:vAlign w:val="center"/>
          </w:tcPr>
          <w:p>
            <w:pPr>
              <w:pStyle w:val="TableContents"/>
              <w:spacing w:before="0" w:after="283"/>
              <w:rPr>
                <w:sz w:val="4"/>
                <w:szCs w:val="4"/>
              </w:rPr>
            </w:pPr>
            <w:r>
              <w:rPr>
                <w:sz w:val="4"/>
                <w:szCs w:val="4"/>
              </w:rPr>
            </w:r>
          </w:p>
        </w:tc>
      </w:tr>
      <w:tr>
        <w:trPr/>
        <w:tc>
          <w:tcPr>
            <w:tcW w:w="4746" w:type="dxa"/>
            <w:tcBorders/>
            <w:shd w:fill="auto" w:val="clear"/>
          </w:tcPr>
          <w:p>
            <w:pPr>
              <w:pStyle w:val="TableContents"/>
              <w:spacing w:before="0" w:after="283"/>
              <w:rPr/>
            </w:pPr>
            <w:r>
              <w:rPr/>
              <w:t>Date: March 31, 2021</w:t>
            </w:r>
          </w:p>
        </w:tc>
        <w:tc>
          <w:tcPr>
            <w:tcW w:w="120" w:type="dxa"/>
            <w:tcBorders/>
            <w:shd w:fill="auto" w:val="clear"/>
            <w:vAlign w:val="bottom"/>
          </w:tcPr>
          <w:p>
            <w:pPr>
              <w:pStyle w:val="TableContents"/>
              <w:spacing w:before="0" w:after="283"/>
              <w:rPr/>
            </w:pPr>
            <w:r>
              <w:rPr/>
              <w:t>  </w:t>
            </w:r>
          </w:p>
        </w:tc>
        <w:tc>
          <w:tcPr>
            <w:tcW w:w="300" w:type="dxa"/>
            <w:tcBorders/>
            <w:shd w:fill="auto" w:val="clear"/>
          </w:tcPr>
          <w:p>
            <w:pPr>
              <w:pStyle w:val="TableContents"/>
              <w:spacing w:before="0" w:after="283"/>
              <w:rPr>
                <w:sz w:val="4"/>
                <w:szCs w:val="4"/>
              </w:rPr>
            </w:pPr>
            <w:r>
              <w:rPr>
                <w:sz w:val="4"/>
                <w:szCs w:val="4"/>
              </w:rPr>
            </w:r>
          </w:p>
        </w:tc>
        <w:tc>
          <w:tcPr>
            <w:tcW w:w="109" w:type="dxa"/>
            <w:tcBorders/>
            <w:shd w:fill="auto" w:val="clear"/>
            <w:vAlign w:val="bottom"/>
          </w:tcPr>
          <w:p>
            <w:pPr>
              <w:pStyle w:val="TableContents"/>
              <w:spacing w:before="0" w:after="283"/>
              <w:rPr/>
            </w:pPr>
            <w:r>
              <w:rPr/>
              <w:t> </w:t>
            </w:r>
          </w:p>
        </w:tc>
        <w:tc>
          <w:tcPr>
            <w:tcW w:w="4930" w:type="dxa"/>
            <w:tcBorders/>
            <w:shd w:fill="auto" w:val="clear"/>
          </w:tcPr>
          <w:p>
            <w:pPr>
              <w:pStyle w:val="TableContents"/>
              <w:pBdr>
                <w:bottom w:val="single" w:sz="2" w:space="1" w:color="000000"/>
              </w:pBdr>
              <w:spacing w:before="0" w:after="20"/>
              <w:rPr>
                <w:rFonts w:ascii="Times New Roman" w:hAnsi="Times New Roman"/>
                <w:sz w:val="20"/>
              </w:rPr>
            </w:pPr>
            <w:r>
              <w:rPr>
                <w:rFonts w:ascii="Times New Roman" w:hAnsi="Times New Roman"/>
                <w:sz w:val="20"/>
              </w:rPr>
              <w:t>/s/ Brian A. Jenkins</w:t>
            </w:r>
          </w:p>
        </w:tc>
      </w:tr>
      <w:tr>
        <w:trPr/>
        <w:tc>
          <w:tcPr>
            <w:tcW w:w="4746" w:type="dxa"/>
            <w:tcBorders/>
            <w:shd w:fill="auto" w:val="clea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300" w:type="dxa"/>
            <w:tcBorders/>
            <w:shd w:fill="auto" w:val="clear"/>
          </w:tcPr>
          <w:p>
            <w:pPr>
              <w:pStyle w:val="TableContents"/>
              <w:spacing w:before="0" w:after="283"/>
              <w:rPr>
                <w:sz w:val="4"/>
                <w:szCs w:val="4"/>
              </w:rPr>
            </w:pPr>
            <w:r>
              <w:rPr>
                <w:sz w:val="4"/>
                <w:szCs w:val="4"/>
              </w:rPr>
            </w:r>
          </w:p>
        </w:tc>
        <w:tc>
          <w:tcPr>
            <w:tcW w:w="109" w:type="dxa"/>
            <w:tcBorders/>
            <w:shd w:fill="auto" w:val="clear"/>
            <w:vAlign w:val="bottom"/>
          </w:tcPr>
          <w:p>
            <w:pPr>
              <w:pStyle w:val="TableContents"/>
              <w:spacing w:before="0" w:after="283"/>
              <w:rPr/>
            </w:pPr>
            <w:r>
              <w:rPr/>
              <w:t> </w:t>
            </w:r>
          </w:p>
        </w:tc>
        <w:tc>
          <w:tcPr>
            <w:tcW w:w="4930" w:type="dxa"/>
            <w:tcBorders/>
            <w:shd w:fill="auto" w:val="clear"/>
          </w:tcPr>
          <w:p>
            <w:pPr>
              <w:pStyle w:val="TableContents"/>
              <w:spacing w:before="0" w:after="283"/>
              <w:rPr/>
            </w:pPr>
            <w:r>
              <w:rPr/>
              <w:t>Brian A. Jenkins</w:t>
            </w:r>
          </w:p>
        </w:tc>
      </w:tr>
      <w:tr>
        <w:trPr/>
        <w:tc>
          <w:tcPr>
            <w:tcW w:w="4746"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300" w:type="dxa"/>
            <w:tcBorders/>
            <w:shd w:fill="auto" w:val="clear"/>
            <w:vAlign w:val="bottom"/>
          </w:tcPr>
          <w:p>
            <w:pPr>
              <w:pStyle w:val="TableContents"/>
              <w:spacing w:before="0" w:after="283"/>
              <w:rPr>
                <w:sz w:val="4"/>
                <w:szCs w:val="4"/>
              </w:rPr>
            </w:pPr>
            <w:r>
              <w:rPr>
                <w:sz w:val="4"/>
                <w:szCs w:val="4"/>
              </w:rPr>
            </w:r>
          </w:p>
        </w:tc>
        <w:tc>
          <w:tcPr>
            <w:tcW w:w="109" w:type="dxa"/>
            <w:tcBorders/>
            <w:shd w:fill="auto" w:val="clear"/>
            <w:vAlign w:val="bottom"/>
          </w:tcPr>
          <w:p>
            <w:pPr>
              <w:pStyle w:val="TableContents"/>
              <w:spacing w:before="0" w:after="283"/>
              <w:rPr/>
            </w:pPr>
            <w:r>
              <w:rPr/>
              <w:t> </w:t>
            </w:r>
          </w:p>
        </w:tc>
        <w:tc>
          <w:tcPr>
            <w:tcW w:w="4930" w:type="dxa"/>
            <w:tcBorders/>
            <w:shd w:fill="auto" w:val="clear"/>
            <w:vAlign w:val="bottom"/>
          </w:tcPr>
          <w:p>
            <w:pPr>
              <w:pStyle w:val="TableContents"/>
              <w:spacing w:before="0" w:after="283"/>
              <w:rPr/>
            </w:pPr>
            <w:r>
              <w:rPr/>
              <w:t>Chief Executive Officer</w:t>
            </w:r>
          </w:p>
        </w:tc>
      </w:tr>
      <w:tr>
        <w:trPr/>
        <w:tc>
          <w:tcPr>
            <w:tcW w:w="4746" w:type="dxa"/>
            <w:tcBorders/>
            <w:shd w:fill="auto" w:val="clea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pPr>
            <w:r>
              <w:rPr/>
              <w:t>  </w:t>
            </w:r>
          </w:p>
        </w:tc>
        <w:tc>
          <w:tcPr>
            <w:tcW w:w="300" w:type="dxa"/>
            <w:tcBorders/>
            <w:shd w:fill="auto" w:val="clear"/>
          </w:tcPr>
          <w:p>
            <w:pPr>
              <w:pStyle w:val="TableContents"/>
              <w:spacing w:before="0" w:after="283"/>
              <w:rPr>
                <w:sz w:val="4"/>
                <w:szCs w:val="4"/>
              </w:rPr>
            </w:pPr>
            <w:r>
              <w:rPr>
                <w:sz w:val="4"/>
                <w:szCs w:val="4"/>
              </w:rPr>
            </w:r>
          </w:p>
        </w:tc>
        <w:tc>
          <w:tcPr>
            <w:tcW w:w="109" w:type="dxa"/>
            <w:tcBorders/>
            <w:shd w:fill="auto" w:val="clear"/>
            <w:vAlign w:val="bottom"/>
          </w:tcPr>
          <w:p>
            <w:pPr>
              <w:pStyle w:val="TableContents"/>
              <w:spacing w:before="0" w:after="283"/>
              <w:rPr/>
            </w:pPr>
            <w:r>
              <w:rPr/>
              <w:t> </w:t>
            </w:r>
          </w:p>
        </w:tc>
        <w:tc>
          <w:tcPr>
            <w:tcW w:w="4930" w:type="dxa"/>
            <w:tcBorders/>
            <w:shd w:fill="auto" w:val="clear"/>
          </w:tcPr>
          <w:p>
            <w:pPr>
              <w:pStyle w:val="TableContents"/>
              <w:spacing w:before="0" w:after="283"/>
              <w:rPr/>
            </w:pPr>
            <w:r>
              <w:rPr/>
              <w:t>(Principal Executive Officer)</w:t>
            </w:r>
          </w:p>
        </w:tc>
      </w:tr>
    </w:tbl>
    <w:p>
      <w:pPr>
        <w:pStyle w:val="TextBody"/>
        <w:spacing w:before="0" w:after="0"/>
        <w:jc w:val="right"/>
        <w:rPr>
          <w:rFonts w:ascii="Times New Roman" w:hAnsi="Times New Roman"/>
          <w:b/>
          <w:sz w:val="20"/>
        </w:rPr>
      </w:pPr>
      <w:r>
        <w:br w:type="page"/>
      </w:r>
      <w:bookmarkStart w:id="30" w:name="d120247dex312.htm"/>
      <w:bookmarkStart w:id="31" w:name="ksd120247dex312"/>
      <w:bookmarkEnd w:id="30"/>
      <w:bookmarkEnd w:id="31"/>
      <w:r>
        <w:rPr>
          <w:rFonts w:ascii="Times New Roman" w:hAnsi="Times New Roman"/>
          <w:b/>
          <w:sz w:val="20"/>
        </w:rPr>
        <w:t xml:space="preserve">Exhibit 31.2 </w:t>
      </w:r>
    </w:p>
    <w:p>
      <w:pPr>
        <w:pStyle w:val="TextBody"/>
        <w:spacing w:before="480" w:after="0"/>
        <w:jc w:val="center"/>
        <w:rPr>
          <w:rFonts w:ascii="Times New Roman" w:hAnsi="Times New Roman"/>
          <w:b/>
          <w:sz w:val="20"/>
        </w:rPr>
      </w:pPr>
      <w:r>
        <w:rPr>
          <w:rFonts w:ascii="Times New Roman" w:hAnsi="Times New Roman"/>
          <w:b/>
          <w:sz w:val="20"/>
        </w:rPr>
        <w:t xml:space="preserve">CERTIFICATION </w:t>
      </w:r>
    </w:p>
    <w:p>
      <w:pPr>
        <w:pStyle w:val="TextBody"/>
        <w:spacing w:before="240" w:after="0"/>
        <w:jc w:val="left"/>
        <w:rPr>
          <w:rFonts w:ascii="Times New Roman" w:hAnsi="Times New Roman"/>
          <w:sz w:val="20"/>
        </w:rPr>
      </w:pPr>
      <w:r>
        <w:rPr>
          <w:rFonts w:ascii="Times New Roman" w:hAnsi="Times New Roman"/>
          <w:sz w:val="20"/>
        </w:rPr>
        <w:t xml:space="preserve">I, Scott J. Bowman, Chief Financial Officer of Dave &amp; Busters Entertainment, Inc., certify that: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1.</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 have reviewed this annual report on Form 10-K of Dave &amp; Busters Entertainment, Inc.;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2.</w:t>
            </w:r>
          </w:p>
        </w:tc>
        <w:tc>
          <w:tcPr>
            <w:tcW w:w="979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3.</w:t>
            </w:r>
          </w:p>
        </w:tc>
        <w:tc>
          <w:tcPr>
            <w:tcW w:w="979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4.</w:t>
            </w:r>
          </w:p>
        </w:tc>
        <w:tc>
          <w:tcPr>
            <w:tcW w:w="979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508"/>
        <w:gridCol w:w="9291"/>
      </w:tblGrid>
      <w:tr>
        <w:trPr/>
        <w:tc>
          <w:tcPr>
            <w:tcW w:w="406" w:type="dxa"/>
            <w:tcBorders/>
            <w:shd w:fill="auto" w:val="clear"/>
            <w:vAlign w:val="center"/>
          </w:tcPr>
          <w:p>
            <w:pPr>
              <w:pStyle w:val="TableContents"/>
              <w:spacing w:before="0" w:after="283"/>
              <w:rPr/>
            </w:pPr>
            <w:r>
              <w:rPr/>
              <w:t> </w:t>
            </w:r>
          </w:p>
        </w:tc>
        <w:tc>
          <w:tcPr>
            <w:tcW w:w="508" w:type="dxa"/>
            <w:tcBorders/>
            <w:shd w:fill="auto" w:val="clear"/>
          </w:tcPr>
          <w:p>
            <w:pPr>
              <w:pStyle w:val="TableContents"/>
              <w:spacing w:before="0" w:after="283"/>
              <w:jc w:val="left"/>
              <w:rPr/>
            </w:pPr>
            <w:r>
              <w:rPr/>
              <w:t>a)</w:t>
            </w:r>
          </w:p>
        </w:tc>
        <w:tc>
          <w:tcPr>
            <w:tcW w:w="9291"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508"/>
        <w:gridCol w:w="9291"/>
      </w:tblGrid>
      <w:tr>
        <w:trPr/>
        <w:tc>
          <w:tcPr>
            <w:tcW w:w="406" w:type="dxa"/>
            <w:tcBorders/>
            <w:shd w:fill="auto" w:val="clear"/>
            <w:vAlign w:val="center"/>
          </w:tcPr>
          <w:p>
            <w:pPr>
              <w:pStyle w:val="TableContents"/>
              <w:spacing w:before="0" w:after="283"/>
              <w:rPr/>
            </w:pPr>
            <w:r>
              <w:rPr/>
              <w:t> </w:t>
            </w:r>
          </w:p>
        </w:tc>
        <w:tc>
          <w:tcPr>
            <w:tcW w:w="508" w:type="dxa"/>
            <w:tcBorders/>
            <w:shd w:fill="auto" w:val="clear"/>
          </w:tcPr>
          <w:p>
            <w:pPr>
              <w:pStyle w:val="TableContents"/>
              <w:spacing w:before="0" w:after="283"/>
              <w:jc w:val="left"/>
              <w:rPr/>
            </w:pPr>
            <w:r>
              <w:rPr/>
              <w:t>b)</w:t>
            </w:r>
          </w:p>
        </w:tc>
        <w:tc>
          <w:tcPr>
            <w:tcW w:w="9291"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508"/>
        <w:gridCol w:w="9291"/>
      </w:tblGrid>
      <w:tr>
        <w:trPr/>
        <w:tc>
          <w:tcPr>
            <w:tcW w:w="406" w:type="dxa"/>
            <w:tcBorders/>
            <w:shd w:fill="auto" w:val="clear"/>
            <w:vAlign w:val="center"/>
          </w:tcPr>
          <w:p>
            <w:pPr>
              <w:pStyle w:val="TableContents"/>
              <w:spacing w:before="0" w:after="283"/>
              <w:rPr/>
            </w:pPr>
            <w:r>
              <w:rPr/>
              <w:t> </w:t>
            </w:r>
          </w:p>
        </w:tc>
        <w:tc>
          <w:tcPr>
            <w:tcW w:w="508" w:type="dxa"/>
            <w:tcBorders/>
            <w:shd w:fill="auto" w:val="clear"/>
          </w:tcPr>
          <w:p>
            <w:pPr>
              <w:pStyle w:val="TableContents"/>
              <w:spacing w:before="0" w:after="283"/>
              <w:jc w:val="left"/>
              <w:rPr/>
            </w:pPr>
            <w:r>
              <w:rPr/>
              <w:t>c)</w:t>
            </w:r>
          </w:p>
        </w:tc>
        <w:tc>
          <w:tcPr>
            <w:tcW w:w="9291"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507"/>
        <w:gridCol w:w="9292"/>
      </w:tblGrid>
      <w:tr>
        <w:trPr/>
        <w:tc>
          <w:tcPr>
            <w:tcW w:w="406" w:type="dxa"/>
            <w:tcBorders/>
            <w:shd w:fill="auto" w:val="clear"/>
            <w:vAlign w:val="center"/>
          </w:tcPr>
          <w:p>
            <w:pPr>
              <w:pStyle w:val="TableContents"/>
              <w:spacing w:before="0" w:after="283"/>
              <w:rPr/>
            </w:pPr>
            <w:r>
              <w:rPr/>
              <w:t> </w:t>
            </w:r>
          </w:p>
        </w:tc>
        <w:tc>
          <w:tcPr>
            <w:tcW w:w="507" w:type="dxa"/>
            <w:tcBorders/>
            <w:shd w:fill="auto" w:val="clear"/>
          </w:tcPr>
          <w:p>
            <w:pPr>
              <w:pStyle w:val="TableContents"/>
              <w:spacing w:before="0" w:after="283"/>
              <w:jc w:val="left"/>
              <w:rPr/>
            </w:pPr>
            <w:r>
              <w:rPr/>
              <w:t>d)</w:t>
            </w:r>
          </w:p>
        </w:tc>
        <w:tc>
          <w:tcPr>
            <w:tcW w:w="929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Disclosed in this report any change in the registrants internal control over financial reporting that occurred during the registrants fourth fiscal quarter that has materially affected, or is reasonably likely to materially affect, the registrants internal control over financial reporting;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5.</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registrants other certifying officer and I have disclosed, based on our most recent evaluation of internal control over financial reporting, to the registrants auditors and the audit committee of registrants board of directors (or persons performing the equivalent functions):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510"/>
        <w:gridCol w:w="9287"/>
      </w:tblGrid>
      <w:tr>
        <w:trPr/>
        <w:tc>
          <w:tcPr>
            <w:tcW w:w="408"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pPr>
            <w:r>
              <w:rPr/>
              <w:t>a)</w:t>
            </w:r>
          </w:p>
        </w:tc>
        <w:tc>
          <w:tcPr>
            <w:tcW w:w="928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509"/>
        <w:gridCol w:w="9289"/>
      </w:tblGrid>
      <w:tr>
        <w:trPr/>
        <w:tc>
          <w:tcPr>
            <w:tcW w:w="407"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pPr>
            <w:r>
              <w:rPr/>
              <w:t>b)</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Any fraud, whether or not material, that involves management or other employees who have a significant role in the registrants internal control over financial reporting.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347"/>
        <w:gridCol w:w="110"/>
        <w:gridCol w:w="596"/>
        <w:gridCol w:w="121"/>
        <w:gridCol w:w="5031"/>
      </w:tblGrid>
      <w:tr>
        <w:trPr/>
        <w:tc>
          <w:tcPr>
            <w:tcW w:w="4347"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bottom"/>
          </w:tcPr>
          <w:p>
            <w:pPr>
              <w:pStyle w:val="TableContents"/>
              <w:spacing w:before="0" w:after="283"/>
              <w:rPr>
                <w:sz w:val="4"/>
                <w:szCs w:val="4"/>
              </w:rPr>
            </w:pPr>
            <w:r>
              <w:rPr>
                <w:sz w:val="4"/>
                <w:szCs w:val="4"/>
              </w:rPr>
            </w:r>
          </w:p>
        </w:tc>
        <w:tc>
          <w:tcPr>
            <w:tcW w:w="596"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bottom"/>
          </w:tcPr>
          <w:p>
            <w:pPr>
              <w:pStyle w:val="TableContents"/>
              <w:spacing w:before="0" w:after="283"/>
              <w:rPr>
                <w:sz w:val="4"/>
                <w:szCs w:val="4"/>
              </w:rPr>
            </w:pPr>
            <w:r>
              <w:rPr>
                <w:sz w:val="4"/>
                <w:szCs w:val="4"/>
              </w:rPr>
            </w:r>
          </w:p>
        </w:tc>
        <w:tc>
          <w:tcPr>
            <w:tcW w:w="5031" w:type="dxa"/>
            <w:tcBorders/>
            <w:shd w:fill="auto" w:val="clear"/>
            <w:vAlign w:val="center"/>
          </w:tcPr>
          <w:p>
            <w:pPr>
              <w:pStyle w:val="TableContents"/>
              <w:spacing w:before="0" w:after="283"/>
              <w:rPr>
                <w:sz w:val="4"/>
                <w:szCs w:val="4"/>
              </w:rPr>
            </w:pPr>
            <w:r>
              <w:rPr>
                <w:sz w:val="4"/>
                <w:szCs w:val="4"/>
              </w:rPr>
            </w:r>
          </w:p>
        </w:tc>
      </w:tr>
      <w:tr>
        <w:trPr/>
        <w:tc>
          <w:tcPr>
            <w:tcW w:w="4347" w:type="dxa"/>
            <w:tcBorders/>
            <w:shd w:fill="auto" w:val="clear"/>
            <w:vAlign w:val="bottom"/>
          </w:tcPr>
          <w:p>
            <w:pPr>
              <w:pStyle w:val="TableContents"/>
              <w:spacing w:before="0" w:after="283"/>
              <w:rPr/>
            </w:pPr>
            <w:r>
              <w:rPr/>
              <w:t>Date: March 31, 2021</w:t>
            </w:r>
          </w:p>
        </w:tc>
        <w:tc>
          <w:tcPr>
            <w:tcW w:w="110" w:type="dxa"/>
            <w:tcBorders/>
            <w:shd w:fill="auto" w:val="clear"/>
            <w:vAlign w:val="bottom"/>
          </w:tcPr>
          <w:p>
            <w:pPr>
              <w:pStyle w:val="TableContents"/>
              <w:spacing w:before="0" w:after="283"/>
              <w:rPr/>
            </w:pPr>
            <w:r>
              <w:rPr/>
              <w:t> </w:t>
            </w:r>
          </w:p>
        </w:tc>
        <w:tc>
          <w:tcPr>
            <w:tcW w:w="596" w:type="dxa"/>
            <w:tcBorders/>
            <w:shd w:fill="auto" w:val="clear"/>
            <w:vAlign w:val="bottom"/>
          </w:tcPr>
          <w:p>
            <w:pPr>
              <w:pStyle w:val="TableContents"/>
              <w:spacing w:before="0" w:after="283"/>
              <w:rPr>
                <w:sz w:val="4"/>
                <w:szCs w:val="4"/>
              </w:rPr>
            </w:pPr>
            <w:r>
              <w:rPr>
                <w:sz w:val="4"/>
                <w:szCs w:val="4"/>
              </w:rPr>
            </w:r>
          </w:p>
        </w:tc>
        <w:tc>
          <w:tcPr>
            <w:tcW w:w="121" w:type="dxa"/>
            <w:tcBorders/>
            <w:shd w:fill="auto" w:val="clear"/>
            <w:vAlign w:val="bottom"/>
          </w:tcPr>
          <w:p>
            <w:pPr>
              <w:pStyle w:val="TableContents"/>
              <w:spacing w:before="0" w:after="283"/>
              <w:rPr/>
            </w:pPr>
            <w:r>
              <w:rPr/>
              <w:t>  </w:t>
            </w:r>
          </w:p>
        </w:tc>
        <w:tc>
          <w:tcPr>
            <w:tcW w:w="5031" w:type="dxa"/>
            <w:tcBorders/>
            <w:shd w:fill="auto" w:val="clear"/>
            <w:vAlign w:val="bottom"/>
          </w:tcPr>
          <w:p>
            <w:pPr>
              <w:pStyle w:val="TableContents"/>
              <w:pBdr>
                <w:bottom w:val="single" w:sz="2" w:space="1" w:color="000000"/>
              </w:pBdr>
              <w:spacing w:before="0" w:after="20"/>
              <w:rPr>
                <w:rFonts w:ascii="Times New Roman" w:hAnsi="Times New Roman"/>
                <w:sz w:val="20"/>
              </w:rPr>
            </w:pPr>
            <w:r>
              <w:rPr>
                <w:rFonts w:ascii="Times New Roman" w:hAnsi="Times New Roman"/>
                <w:sz w:val="20"/>
              </w:rPr>
              <w:t>/s/ Scott J. Bowman</w:t>
            </w:r>
          </w:p>
        </w:tc>
      </w:tr>
      <w:tr>
        <w:trPr/>
        <w:tc>
          <w:tcPr>
            <w:tcW w:w="4347" w:type="dxa"/>
            <w:tcBorders/>
            <w:shd w:fill="auto" w:val="clear"/>
            <w:vAlign w:val="bottom"/>
          </w:tcPr>
          <w:p>
            <w:pPr>
              <w:pStyle w:val="TableContents"/>
              <w:spacing w:before="0" w:after="283"/>
              <w:rPr>
                <w:sz w:val="4"/>
                <w:szCs w:val="4"/>
              </w:rPr>
            </w:pPr>
            <w:r>
              <w:rPr>
                <w:sz w:val="4"/>
                <w:szCs w:val="4"/>
              </w:rPr>
            </w:r>
          </w:p>
        </w:tc>
        <w:tc>
          <w:tcPr>
            <w:tcW w:w="110" w:type="dxa"/>
            <w:tcBorders/>
            <w:shd w:fill="auto" w:val="clear"/>
            <w:vAlign w:val="bottom"/>
          </w:tcPr>
          <w:p>
            <w:pPr>
              <w:pStyle w:val="TableContents"/>
              <w:spacing w:before="0" w:after="283"/>
              <w:rPr/>
            </w:pPr>
            <w:r>
              <w:rPr/>
              <w:t> </w:t>
            </w:r>
          </w:p>
        </w:tc>
        <w:tc>
          <w:tcPr>
            <w:tcW w:w="596" w:type="dxa"/>
            <w:tcBorders/>
            <w:shd w:fill="auto" w:val="clear"/>
            <w:vAlign w:val="bottom"/>
          </w:tcPr>
          <w:p>
            <w:pPr>
              <w:pStyle w:val="TableContents"/>
              <w:spacing w:before="0" w:after="283"/>
              <w:rPr>
                <w:sz w:val="4"/>
                <w:szCs w:val="4"/>
              </w:rPr>
            </w:pPr>
            <w:r>
              <w:rPr>
                <w:sz w:val="4"/>
                <w:szCs w:val="4"/>
              </w:rPr>
            </w:r>
          </w:p>
        </w:tc>
        <w:tc>
          <w:tcPr>
            <w:tcW w:w="121" w:type="dxa"/>
            <w:tcBorders/>
            <w:shd w:fill="auto" w:val="clear"/>
            <w:vAlign w:val="bottom"/>
          </w:tcPr>
          <w:p>
            <w:pPr>
              <w:pStyle w:val="TableContents"/>
              <w:spacing w:before="0" w:after="283"/>
              <w:rPr/>
            </w:pPr>
            <w:r>
              <w:rPr/>
              <w:t>  </w:t>
            </w:r>
          </w:p>
        </w:tc>
        <w:tc>
          <w:tcPr>
            <w:tcW w:w="5031" w:type="dxa"/>
            <w:tcBorders/>
            <w:shd w:fill="auto" w:val="clear"/>
            <w:vAlign w:val="bottom"/>
          </w:tcPr>
          <w:p>
            <w:pPr>
              <w:pStyle w:val="TableContents"/>
              <w:spacing w:before="0" w:after="283"/>
              <w:rPr/>
            </w:pPr>
            <w:r>
              <w:rPr/>
              <w:t>Scott J. Bowman</w:t>
            </w:r>
          </w:p>
        </w:tc>
      </w:tr>
      <w:tr>
        <w:trPr/>
        <w:tc>
          <w:tcPr>
            <w:tcW w:w="4347" w:type="dxa"/>
            <w:tcBorders/>
            <w:shd w:fill="auto" w:val="clear"/>
            <w:vAlign w:val="bottom"/>
          </w:tcPr>
          <w:p>
            <w:pPr>
              <w:pStyle w:val="TableContents"/>
              <w:spacing w:before="0" w:after="283"/>
              <w:rPr>
                <w:sz w:val="4"/>
                <w:szCs w:val="4"/>
              </w:rPr>
            </w:pPr>
            <w:r>
              <w:rPr>
                <w:sz w:val="4"/>
                <w:szCs w:val="4"/>
              </w:rPr>
            </w:r>
          </w:p>
        </w:tc>
        <w:tc>
          <w:tcPr>
            <w:tcW w:w="110" w:type="dxa"/>
            <w:tcBorders/>
            <w:shd w:fill="auto" w:val="clear"/>
            <w:vAlign w:val="bottom"/>
          </w:tcPr>
          <w:p>
            <w:pPr>
              <w:pStyle w:val="TableContents"/>
              <w:spacing w:before="0" w:after="283"/>
              <w:rPr/>
            </w:pPr>
            <w:r>
              <w:rPr/>
              <w:t> </w:t>
            </w:r>
          </w:p>
        </w:tc>
        <w:tc>
          <w:tcPr>
            <w:tcW w:w="596" w:type="dxa"/>
            <w:tcBorders/>
            <w:shd w:fill="auto" w:val="clear"/>
            <w:vAlign w:val="bottom"/>
          </w:tcPr>
          <w:p>
            <w:pPr>
              <w:pStyle w:val="TableContents"/>
              <w:spacing w:before="0" w:after="283"/>
              <w:rPr>
                <w:sz w:val="4"/>
                <w:szCs w:val="4"/>
              </w:rPr>
            </w:pPr>
            <w:r>
              <w:rPr>
                <w:sz w:val="4"/>
                <w:szCs w:val="4"/>
              </w:rPr>
            </w:r>
          </w:p>
        </w:tc>
        <w:tc>
          <w:tcPr>
            <w:tcW w:w="121" w:type="dxa"/>
            <w:tcBorders/>
            <w:shd w:fill="auto" w:val="clear"/>
            <w:vAlign w:val="bottom"/>
          </w:tcPr>
          <w:p>
            <w:pPr>
              <w:pStyle w:val="TableContents"/>
              <w:spacing w:before="0" w:after="283"/>
              <w:rPr/>
            </w:pPr>
            <w:r>
              <w:rPr/>
              <w:t>  </w:t>
            </w:r>
          </w:p>
        </w:tc>
        <w:tc>
          <w:tcPr>
            <w:tcW w:w="5031"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Chief Financial Officer</w:t>
            </w:r>
          </w:p>
          <w:p>
            <w:pPr>
              <w:pStyle w:val="TableContents"/>
              <w:spacing w:before="0" w:after="20"/>
              <w:rPr>
                <w:rFonts w:ascii="Times New Roman" w:hAnsi="Times New Roman"/>
                <w:sz w:val="20"/>
              </w:rPr>
            </w:pPr>
            <w:r>
              <w:rPr>
                <w:rFonts w:ascii="Times New Roman" w:hAnsi="Times New Roman"/>
                <w:sz w:val="20"/>
              </w:rPr>
              <w:t>(Principal Financial and Accounting Officer)</w:t>
            </w:r>
          </w:p>
        </w:tc>
      </w:tr>
    </w:tbl>
    <w:p>
      <w:pPr>
        <w:pStyle w:val="TextBody"/>
        <w:spacing w:before="0" w:after="0"/>
        <w:jc w:val="right"/>
        <w:rPr>
          <w:rFonts w:ascii="Times New Roman" w:hAnsi="Times New Roman"/>
          <w:b/>
          <w:sz w:val="20"/>
        </w:rPr>
      </w:pPr>
      <w:r>
        <w:br w:type="page"/>
      </w:r>
      <w:bookmarkStart w:id="32" w:name="d120247dex321.htm"/>
      <w:bookmarkStart w:id="33" w:name="ksd120247dex321"/>
      <w:bookmarkEnd w:id="32"/>
      <w:bookmarkEnd w:id="33"/>
      <w:r>
        <w:rPr>
          <w:rFonts w:ascii="Times New Roman" w:hAnsi="Times New Roman"/>
          <w:b/>
          <w:sz w:val="20"/>
        </w:rPr>
        <w:t xml:space="preserve">Exhibit 32.1 </w:t>
      </w:r>
    </w:p>
    <w:p>
      <w:pPr>
        <w:pStyle w:val="TextBody"/>
        <w:spacing w:before="480" w:after="0"/>
        <w:jc w:val="center"/>
        <w:rPr>
          <w:rFonts w:ascii="Times New Roman" w:hAnsi="Times New Roman"/>
          <w:b/>
          <w:sz w:val="20"/>
        </w:rPr>
      </w:pPr>
      <w:r>
        <w:rPr>
          <w:rFonts w:ascii="Times New Roman" w:hAnsi="Times New Roman"/>
          <w:b/>
          <w:sz w:val="20"/>
        </w:rPr>
        <w:t xml:space="preserve">CERTIFICATION </w:t>
      </w:r>
    </w:p>
    <w:p>
      <w:pPr>
        <w:pStyle w:val="TextBody"/>
        <w:spacing w:before="240" w:after="0"/>
        <w:jc w:val="left"/>
        <w:rPr>
          <w:rFonts w:ascii="Times New Roman" w:hAnsi="Times New Roman"/>
          <w:sz w:val="20"/>
        </w:rPr>
      </w:pPr>
      <w:r>
        <w:rPr>
          <w:rFonts w:ascii="Times New Roman" w:hAnsi="Times New Roman"/>
          <w:sz w:val="20"/>
        </w:rPr>
        <w:t xml:space="preserve">In connection with the Annual Report of Dave &amp; Busters Entertainment, Inc. (the Company) on Form 10-K for the period ended January 31, 2021 as filed with the Securities and Exchange Commission on the date hereof (the Report), I, Brian A. Jenkins, Chief Executive Officer of the Company, certify, pursuant to 18 U.S.C. Section 1350, that: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508"/>
        <w:gridCol w:w="9290"/>
      </w:tblGrid>
      <w:tr>
        <w:trPr/>
        <w:tc>
          <w:tcPr>
            <w:tcW w:w="407" w:type="dxa"/>
            <w:tcBorders/>
            <w:shd w:fill="auto" w:val="clear"/>
            <w:vAlign w:val="center"/>
          </w:tcPr>
          <w:p>
            <w:pPr>
              <w:pStyle w:val="TableContents"/>
              <w:spacing w:before="0" w:after="283"/>
              <w:rPr/>
            </w:pPr>
            <w:r>
              <w:rPr/>
              <w:t> </w:t>
            </w:r>
          </w:p>
        </w:tc>
        <w:tc>
          <w:tcPr>
            <w:tcW w:w="508" w:type="dxa"/>
            <w:tcBorders/>
            <w:shd w:fill="auto" w:val="clear"/>
          </w:tcPr>
          <w:p>
            <w:pPr>
              <w:pStyle w:val="TableContents"/>
              <w:spacing w:before="0" w:after="283"/>
              <w:jc w:val="left"/>
              <w:rPr/>
            </w:pPr>
            <w:r>
              <w:rPr/>
              <w:t>(1)</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Report fully complies with the applicable requirements of Section 13(a) or 15(d), as applicable, of the Securities Exchange Act of 1934;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510"/>
        <w:gridCol w:w="9288"/>
      </w:tblGrid>
      <w:tr>
        <w:trPr/>
        <w:tc>
          <w:tcPr>
            <w:tcW w:w="407"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pPr>
            <w:r>
              <w:rPr/>
              <w:t>(2)</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information contained in the Report fairly presents, in all material respects, the financial condition and results of operations of the Company. </w:t>
            </w:r>
          </w:p>
        </w:tc>
      </w:tr>
    </w:tbl>
    <w:p>
      <w:pPr>
        <w:pStyle w:val="TextBody"/>
        <w:spacing w:before="240" w:after="0"/>
        <w:jc w:val="left"/>
        <w:rPr>
          <w:rFonts w:ascii="Times New Roman" w:hAnsi="Times New Roman"/>
          <w:sz w:val="20"/>
        </w:rPr>
      </w:pPr>
      <w:r>
        <w:rPr>
          <w:rFonts w:ascii="Times New Roman" w:hAnsi="Times New Roman"/>
          <w:sz w:val="20"/>
        </w:rPr>
        <w:t xml:space="preserve">Date: March 31, 2021 </w:t>
      </w:r>
    </w:p>
    <w:p>
      <w:pPr>
        <w:pStyle w:val="TextBody"/>
        <w:spacing w:before="0" w:after="0"/>
        <w:jc w:val="left"/>
        <w:rPr/>
      </w:pPr>
      <w:r>
        <w:rPr/>
        <w:t> </w:t>
      </w:r>
    </w:p>
    <w:tbl>
      <w:tblPr>
        <w:tblW w:w="2000" w:type="pct"/>
        <w:jc w:val="right"/>
        <w:tblInd w:w="0" w:type="dxa"/>
        <w:tblCellMar>
          <w:top w:w="0" w:type="dxa"/>
          <w:left w:w="0" w:type="dxa"/>
          <w:bottom w:w="0" w:type="dxa"/>
          <w:right w:w="0" w:type="dxa"/>
        </w:tblCellMar>
      </w:tblPr>
      <w:tblGrid>
        <w:gridCol w:w="4082"/>
      </w:tblGrid>
      <w:tr>
        <w:trPr/>
        <w:tc>
          <w:tcPr>
            <w:tcW w:w="4082" w:type="dxa"/>
            <w:tcBorders/>
            <w:shd w:fill="auto" w:val="clear"/>
            <w:vAlign w:val="center"/>
          </w:tcPr>
          <w:p>
            <w:pPr>
              <w:pStyle w:val="TableContents"/>
              <w:spacing w:before="0" w:after="283"/>
              <w:rPr>
                <w:sz w:val="4"/>
                <w:szCs w:val="4"/>
              </w:rPr>
            </w:pPr>
            <w:r>
              <w:rPr>
                <w:sz w:val="4"/>
                <w:szCs w:val="4"/>
              </w:rPr>
            </w:r>
          </w:p>
        </w:tc>
      </w:tr>
      <w:tr>
        <w:trPr/>
        <w:tc>
          <w:tcPr>
            <w:tcW w:w="4082" w:type="dxa"/>
            <w:tcBorders/>
            <w:shd w:fill="auto" w:val="clear"/>
          </w:tcPr>
          <w:p>
            <w:pPr>
              <w:pStyle w:val="TableContents"/>
              <w:pBdr>
                <w:bottom w:val="single" w:sz="2" w:space="1" w:color="000000"/>
              </w:pBdr>
              <w:spacing w:before="0" w:after="20"/>
              <w:rPr>
                <w:rFonts w:ascii="Times New Roman" w:hAnsi="Times New Roman"/>
                <w:sz w:val="20"/>
              </w:rPr>
            </w:pPr>
            <w:r>
              <w:rPr>
                <w:rFonts w:ascii="Times New Roman" w:hAnsi="Times New Roman"/>
                <w:sz w:val="20"/>
              </w:rPr>
              <w:t>/s/ Brian A. Jenkins</w:t>
            </w:r>
          </w:p>
        </w:tc>
      </w:tr>
      <w:tr>
        <w:trPr/>
        <w:tc>
          <w:tcPr>
            <w:tcW w:w="4082" w:type="dxa"/>
            <w:tcBorders/>
            <w:shd w:fill="auto" w:val="clear"/>
          </w:tcPr>
          <w:p>
            <w:pPr>
              <w:pStyle w:val="TableContents"/>
              <w:spacing w:before="0" w:after="283"/>
              <w:rPr/>
            </w:pPr>
            <w:r>
              <w:rPr/>
              <w:t>Brian A. Jenkins</w:t>
            </w:r>
          </w:p>
        </w:tc>
      </w:tr>
      <w:tr>
        <w:trPr/>
        <w:tc>
          <w:tcPr>
            <w:tcW w:w="4082" w:type="dxa"/>
            <w:tcBorders/>
            <w:shd w:fill="auto" w:val="clear"/>
          </w:tcPr>
          <w:p>
            <w:pPr>
              <w:pStyle w:val="TableContents"/>
              <w:spacing w:before="0" w:after="283"/>
              <w:rPr/>
            </w:pPr>
            <w:r>
              <w:rPr/>
              <w:t>Chief Executive Officer</w:t>
            </w:r>
          </w:p>
        </w:tc>
      </w:tr>
      <w:tr>
        <w:trPr/>
        <w:tc>
          <w:tcPr>
            <w:tcW w:w="4082" w:type="dxa"/>
            <w:tcBorders/>
            <w:shd w:fill="auto" w:val="clear"/>
          </w:tcPr>
          <w:p>
            <w:pPr>
              <w:pStyle w:val="TableContents"/>
              <w:spacing w:before="0" w:after="283"/>
              <w:rPr/>
            </w:pPr>
            <w:r>
              <w:rPr/>
              <w:t>(Principal Executive Officer)</w:t>
            </w:r>
          </w:p>
        </w:tc>
      </w:tr>
    </w:tbl>
    <w:p>
      <w:pPr>
        <w:pStyle w:val="TextBody"/>
        <w:spacing w:before="0" w:after="0"/>
        <w:jc w:val="right"/>
        <w:rPr>
          <w:rFonts w:ascii="Times New Roman" w:hAnsi="Times New Roman"/>
          <w:b/>
          <w:sz w:val="20"/>
        </w:rPr>
      </w:pPr>
      <w:r>
        <w:br w:type="page"/>
      </w:r>
      <w:bookmarkStart w:id="34" w:name="d120247dex322.htm"/>
      <w:bookmarkStart w:id="35" w:name="ksd120247dex322"/>
      <w:bookmarkEnd w:id="34"/>
      <w:bookmarkEnd w:id="35"/>
      <w:r>
        <w:rPr>
          <w:rFonts w:ascii="Times New Roman" w:hAnsi="Times New Roman"/>
          <w:b/>
          <w:sz w:val="20"/>
        </w:rPr>
        <w:t xml:space="preserve">Exhibit 32.2 </w:t>
      </w:r>
    </w:p>
    <w:p>
      <w:pPr>
        <w:pStyle w:val="TextBody"/>
        <w:spacing w:before="480" w:after="0"/>
        <w:jc w:val="center"/>
        <w:rPr>
          <w:rFonts w:ascii="Times New Roman" w:hAnsi="Times New Roman"/>
          <w:b/>
          <w:sz w:val="20"/>
        </w:rPr>
      </w:pPr>
      <w:r>
        <w:rPr>
          <w:rFonts w:ascii="Times New Roman" w:hAnsi="Times New Roman"/>
          <w:b/>
          <w:sz w:val="20"/>
        </w:rPr>
        <w:t xml:space="preserve">CERTIFICATION </w:t>
      </w:r>
    </w:p>
    <w:p>
      <w:pPr>
        <w:pStyle w:val="TextBody"/>
        <w:spacing w:before="240" w:after="0"/>
        <w:jc w:val="left"/>
        <w:rPr>
          <w:rFonts w:ascii="Times New Roman" w:hAnsi="Times New Roman"/>
          <w:sz w:val="20"/>
        </w:rPr>
      </w:pPr>
      <w:r>
        <w:rPr>
          <w:rFonts w:ascii="Times New Roman" w:hAnsi="Times New Roman"/>
          <w:sz w:val="20"/>
        </w:rPr>
        <w:t xml:space="preserve">In connection with the Annual Report of Dave &amp; Busters Entertainment, Inc. (the Company) on Form 10-K for the period ended January 31, 2021 as filed with the Securities and Exchange Commission on the date hereof (the Report), I, Scott J. Bowman, Chief Financial Officer of the Company, certify, pursuant to 18 U.S.C. Section 1350, that: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508"/>
        <w:gridCol w:w="9290"/>
      </w:tblGrid>
      <w:tr>
        <w:trPr/>
        <w:tc>
          <w:tcPr>
            <w:tcW w:w="407" w:type="dxa"/>
            <w:tcBorders/>
            <w:shd w:fill="auto" w:val="clear"/>
            <w:vAlign w:val="center"/>
          </w:tcPr>
          <w:p>
            <w:pPr>
              <w:pStyle w:val="TableContents"/>
              <w:spacing w:before="0" w:after="283"/>
              <w:rPr/>
            </w:pPr>
            <w:r>
              <w:rPr/>
              <w:t> </w:t>
            </w:r>
          </w:p>
        </w:tc>
        <w:tc>
          <w:tcPr>
            <w:tcW w:w="508" w:type="dxa"/>
            <w:tcBorders/>
            <w:shd w:fill="auto" w:val="clear"/>
          </w:tcPr>
          <w:p>
            <w:pPr>
              <w:pStyle w:val="TableContents"/>
              <w:spacing w:before="0" w:after="283"/>
              <w:jc w:val="left"/>
              <w:rPr/>
            </w:pPr>
            <w:r>
              <w:rPr/>
              <w:t>(1)</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Report fully complies with the applicable requirements of Section 13(a) or 15(d), as applicable, of the Securities Exchange Act of 1934;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510"/>
        <w:gridCol w:w="9288"/>
      </w:tblGrid>
      <w:tr>
        <w:trPr/>
        <w:tc>
          <w:tcPr>
            <w:tcW w:w="407"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pPr>
            <w:r>
              <w:rPr/>
              <w:t>(2)</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information contained in the Report fairly presents, in all material respects, the financial condition and results of operations of the Company. </w:t>
            </w:r>
          </w:p>
        </w:tc>
      </w:tr>
    </w:tbl>
    <w:p>
      <w:pPr>
        <w:pStyle w:val="TextBody"/>
        <w:spacing w:before="240" w:after="0"/>
        <w:jc w:val="left"/>
        <w:rPr>
          <w:rFonts w:ascii="Times New Roman" w:hAnsi="Times New Roman"/>
          <w:sz w:val="20"/>
        </w:rPr>
      </w:pPr>
      <w:r>
        <w:rPr>
          <w:rFonts w:ascii="Times New Roman" w:hAnsi="Times New Roman"/>
          <w:sz w:val="20"/>
        </w:rPr>
        <w:t xml:space="preserve">Date: March 31, 2021 </w:t>
      </w:r>
    </w:p>
    <w:p>
      <w:pPr>
        <w:pStyle w:val="TextBody"/>
        <w:spacing w:before="0" w:after="0"/>
        <w:jc w:val="left"/>
        <w:rPr/>
      </w:pPr>
      <w:r>
        <w:rPr/>
        <w:t> </w:t>
      </w:r>
    </w:p>
    <w:tbl>
      <w:tblPr>
        <w:tblW w:w="2000" w:type="pct"/>
        <w:jc w:val="right"/>
        <w:tblInd w:w="0" w:type="dxa"/>
        <w:tblCellMar>
          <w:top w:w="0" w:type="dxa"/>
          <w:left w:w="0" w:type="dxa"/>
          <w:bottom w:w="0" w:type="dxa"/>
          <w:right w:w="0" w:type="dxa"/>
        </w:tblCellMar>
      </w:tblPr>
      <w:tblGrid>
        <w:gridCol w:w="4082"/>
      </w:tblGrid>
      <w:tr>
        <w:trPr/>
        <w:tc>
          <w:tcPr>
            <w:tcW w:w="4082" w:type="dxa"/>
            <w:tcBorders/>
            <w:shd w:fill="auto" w:val="clear"/>
            <w:vAlign w:val="center"/>
          </w:tcPr>
          <w:p>
            <w:pPr>
              <w:pStyle w:val="TableContents"/>
              <w:spacing w:before="0" w:after="283"/>
              <w:rPr>
                <w:sz w:val="4"/>
                <w:szCs w:val="4"/>
              </w:rPr>
            </w:pPr>
            <w:r>
              <w:rPr>
                <w:sz w:val="4"/>
                <w:szCs w:val="4"/>
              </w:rPr>
            </w:r>
          </w:p>
        </w:tc>
      </w:tr>
      <w:tr>
        <w:trPr/>
        <w:tc>
          <w:tcPr>
            <w:tcW w:w="4082" w:type="dxa"/>
            <w:tcBorders/>
            <w:shd w:fill="auto" w:val="clear"/>
          </w:tcPr>
          <w:p>
            <w:pPr>
              <w:pStyle w:val="TableContents"/>
              <w:pBdr>
                <w:bottom w:val="single" w:sz="2" w:space="1" w:color="000000"/>
              </w:pBdr>
              <w:spacing w:before="0" w:after="20"/>
              <w:rPr>
                <w:rFonts w:ascii="Times New Roman" w:hAnsi="Times New Roman"/>
                <w:sz w:val="20"/>
              </w:rPr>
            </w:pPr>
            <w:r>
              <w:rPr>
                <w:rFonts w:ascii="Times New Roman" w:hAnsi="Times New Roman"/>
                <w:sz w:val="20"/>
              </w:rPr>
              <w:t>/s/ Scott J. Bowman</w:t>
            </w:r>
          </w:p>
        </w:tc>
      </w:tr>
      <w:tr>
        <w:trPr/>
        <w:tc>
          <w:tcPr>
            <w:tcW w:w="4082" w:type="dxa"/>
            <w:tcBorders/>
            <w:shd w:fill="auto" w:val="clear"/>
          </w:tcPr>
          <w:p>
            <w:pPr>
              <w:pStyle w:val="TableContents"/>
              <w:spacing w:before="0" w:after="0"/>
              <w:rPr>
                <w:rFonts w:ascii="Times New Roman" w:hAnsi="Times New Roman"/>
                <w:sz w:val="20"/>
              </w:rPr>
            </w:pPr>
            <w:r>
              <w:rPr>
                <w:rFonts w:ascii="Times New Roman" w:hAnsi="Times New Roman"/>
                <w:sz w:val="20"/>
              </w:rPr>
              <w:t>Scott J. Bowman</w:t>
            </w:r>
          </w:p>
        </w:tc>
      </w:tr>
      <w:tr>
        <w:trPr/>
        <w:tc>
          <w:tcPr>
            <w:tcW w:w="4082" w:type="dxa"/>
            <w:tcBorders/>
            <w:shd w:fill="auto" w:val="clear"/>
          </w:tcPr>
          <w:p>
            <w:pPr>
              <w:pStyle w:val="TableContents"/>
              <w:spacing w:before="0" w:after="0"/>
              <w:rPr>
                <w:rFonts w:ascii="Times New Roman" w:hAnsi="Times New Roman"/>
                <w:sz w:val="20"/>
              </w:rPr>
            </w:pPr>
            <w:r>
              <w:rPr>
                <w:rFonts w:ascii="Times New Roman" w:hAnsi="Times New Roman"/>
                <w:sz w:val="20"/>
              </w:rPr>
              <w:t>Chief Financial Officer</w:t>
            </w:r>
          </w:p>
          <w:p>
            <w:pPr>
              <w:pStyle w:val="TableContents"/>
              <w:spacing w:before="0" w:after="20"/>
              <w:rPr>
                <w:rFonts w:ascii="Times New Roman" w:hAnsi="Times New Roman"/>
                <w:sz w:val="20"/>
              </w:rPr>
            </w:pPr>
            <w:r>
              <w:rPr>
                <w:rFonts w:ascii="Times New Roman" w:hAnsi="Times New Roman"/>
                <w:sz w:val="20"/>
              </w:rPr>
              <w:t>(Principal Financial and Accounting Officer)</w:t>
            </w:r>
          </w:p>
        </w:tc>
      </w:tr>
    </w:tbl>
    <w:p>
      <w:pPr>
        <w:pStyle w:val="TextBody"/>
        <w:spacing w:before="0" w:after="283"/>
        <w:rPr/>
      </w:pPr>
      <w:r>
        <w:br w:type="page"/>
      </w:r>
      <w:r>
        <w:rPr/>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1525769/000114420417032049/v468800_ex3-1.htm" TargetMode="External"/><Relationship Id="rId4" Type="http://schemas.openxmlformats.org/officeDocument/2006/relationships/hyperlink" Target="http://www.sec.gov/Archives/edgar/data/1525769/000114420417032049/v468800_ex3-1.htm" TargetMode="External"/><Relationship Id="rId5" Type="http://schemas.openxmlformats.org/officeDocument/2006/relationships/hyperlink" Target="http://www.sec.gov/Archives/edgar/data/1525769/000114420417032049/v468800_ex3-1.htm" TargetMode="External"/><Relationship Id="rId6" Type="http://schemas.openxmlformats.org/officeDocument/2006/relationships/hyperlink" Target="http://www.sec.gov/Archives/edgar/data/1525769/000114420417032049/v468800_ex3-1.htm" TargetMode="External"/><Relationship Id="rId7" Type="http://schemas.openxmlformats.org/officeDocument/2006/relationships/hyperlink" Target="http://www.sec.gov/Archives/edgar/data/1525769/000114420417032049/v468800_ex3-1.htm" TargetMode="External"/><Relationship Id="rId8" Type="http://schemas.openxmlformats.org/officeDocument/2006/relationships/hyperlink" Target="http://www.sec.gov/Archives/edgar/data/1525769/000114420417032049/v468800_ex3-2.htm" TargetMode="External"/><Relationship Id="rId9" Type="http://schemas.openxmlformats.org/officeDocument/2006/relationships/hyperlink" Target="http://www.sec.gov/Archives/edgar/data/1525769/000114420417032049/v468800_ex3-2.htm" TargetMode="External"/><Relationship Id="rId10" Type="http://schemas.openxmlformats.org/officeDocument/2006/relationships/hyperlink" Target="http://www.sec.gov/Archives/edgar/data/1525769/000114420417032049/v468800_ex3-2.htm" TargetMode="External"/><Relationship Id="rId11" Type="http://schemas.openxmlformats.org/officeDocument/2006/relationships/hyperlink" Target="http://www.sec.gov/Archives/edgar/data/1525769/000114420417032049/v468800_ex3-2.htm" TargetMode="External"/><Relationship Id="rId12" Type="http://schemas.openxmlformats.org/officeDocument/2006/relationships/hyperlink" Target="http://www.sec.gov/Archives/edgar/data/1525769/000114420417032049/v468800_ex3-2.htm" TargetMode="External"/><Relationship Id="rId13" Type="http://schemas.openxmlformats.org/officeDocument/2006/relationships/hyperlink" Target="http://www.sec.gov/Archives/edgar/data/1525769/000110465920035620/tm2013195d1_ex3-1.htm" TargetMode="External"/><Relationship Id="rId14" Type="http://schemas.openxmlformats.org/officeDocument/2006/relationships/hyperlink" Target="http://www.sec.gov/Archives/edgar/data/1525769/000110465920035620/tm2013195d1_ex3-1.htm" TargetMode="External"/><Relationship Id="rId15" Type="http://schemas.openxmlformats.org/officeDocument/2006/relationships/hyperlink" Target="http://www.sec.gov/Archives/edgar/data/1525769/000110465920035620/tm2013195d1_ex3-1.htm" TargetMode="External"/><Relationship Id="rId16" Type="http://schemas.openxmlformats.org/officeDocument/2006/relationships/hyperlink" Target="http://www.sec.gov/Archives/edgar/data/1525769/000110465920035620/tm2013195d1_ex3-1.htm" TargetMode="External"/><Relationship Id="rId17" Type="http://schemas.openxmlformats.org/officeDocument/2006/relationships/hyperlink" Target="http://www.sec.gov/Archives/edgar/data/1525769/000110465920035620/tm2013195d1_ex3-1.htm" TargetMode="External"/><Relationship Id="rId18" Type="http://schemas.openxmlformats.org/officeDocument/2006/relationships/hyperlink" Target="http://www.sec.gov/Archives/edgar/data/1525769/000119312514350516/d735753dex41.htm" TargetMode="External"/><Relationship Id="rId19" Type="http://schemas.openxmlformats.org/officeDocument/2006/relationships/hyperlink" Target="http://www.sec.gov/Archives/edgar/data/1525769/000119312514350516/d735753dex41.htm" TargetMode="External"/><Relationship Id="rId20" Type="http://schemas.openxmlformats.org/officeDocument/2006/relationships/hyperlink" Target="http://www.sec.gov/Archives/edgar/data/1525769/000119312514350516/d735753dex41.htm" TargetMode="External"/><Relationship Id="rId21" Type="http://schemas.openxmlformats.org/officeDocument/2006/relationships/hyperlink" Target="http://www.sec.gov/Archives/edgar/data/1525769/000119312514350516/d735753dex41.htm" TargetMode="External"/><Relationship Id="rId22" Type="http://schemas.openxmlformats.org/officeDocument/2006/relationships/hyperlink" Target="http://www.sec.gov/Archives/edgar/data/1525769/000119312514350516/d735753dex41.htm" TargetMode="External"/><Relationship Id="rId23" Type="http://schemas.openxmlformats.org/officeDocument/2006/relationships/hyperlink" Target="http://www.sec.gov/Archives/edgar/data/1525769/000110465920035620/tm2013195d1_ex4-1.htm" TargetMode="External"/><Relationship Id="rId24" Type="http://schemas.openxmlformats.org/officeDocument/2006/relationships/hyperlink" Target="http://www.sec.gov/Archives/edgar/data/1525769/000110465920035620/tm2013195d1_ex4-1.htm" TargetMode="External"/><Relationship Id="rId25" Type="http://schemas.openxmlformats.org/officeDocument/2006/relationships/hyperlink" Target="http://www.sec.gov/Archives/edgar/data/1525769/000110465920035620/tm2013195d1_ex4-1.htm" TargetMode="External"/><Relationship Id="rId26" Type="http://schemas.openxmlformats.org/officeDocument/2006/relationships/hyperlink" Target="http://www.sec.gov/Archives/edgar/data/1525769/000110465920035620/tm2013195d1_ex4-1.htm" TargetMode="External"/><Relationship Id="rId27" Type="http://schemas.openxmlformats.org/officeDocument/2006/relationships/hyperlink" Target="http://www.sec.gov/Archives/edgar/data/1525769/000110465920035620/tm2013195d1_ex4-1.htm" TargetMode="External"/><Relationship Id="rId28" Type="http://schemas.openxmlformats.org/officeDocument/2006/relationships/hyperlink" Target="http://www.sec.gov/Archives/edgar/data/1525769/000110465920118595/tm2033932d1_ex4-1.htm" TargetMode="External"/><Relationship Id="rId29" Type="http://schemas.openxmlformats.org/officeDocument/2006/relationships/hyperlink" Target="http://www.sec.gov/Archives/edgar/data/1525769/000110465920118595/tm2033932d1_ex4-1.htm" TargetMode="External"/><Relationship Id="rId30" Type="http://schemas.openxmlformats.org/officeDocument/2006/relationships/hyperlink" Target="http://www.sec.gov/Archives/edgar/data/1525769/000110465920118595/tm2033932d1_ex4-1.htm" TargetMode="External"/><Relationship Id="rId31" Type="http://schemas.openxmlformats.org/officeDocument/2006/relationships/hyperlink" Target="http://www.sec.gov/Archives/edgar/data/1525769/000110465920118595/tm2033932d1_ex4-1.htm" TargetMode="External"/><Relationship Id="rId32" Type="http://schemas.openxmlformats.org/officeDocument/2006/relationships/hyperlink" Target="http://www.sec.gov/Archives/edgar/data/1525769/000110465920118595/tm2033932d1_ex4-1.htm" TargetMode="External"/><Relationship Id="rId33" Type="http://schemas.openxmlformats.org/officeDocument/2006/relationships/hyperlink" Target="http://www.sec.gov/Archives/edgar/data/1525769/000110465920118595/tm2033932d1_ex4-1.htm" TargetMode="External"/><Relationship Id="rId34" Type="http://schemas.openxmlformats.org/officeDocument/2006/relationships/hyperlink" Target="http://www.sec.gov/Archives/edgar/data/1525769/000110465920118595/tm2033932d1_ex4-1.htm" TargetMode="External"/><Relationship Id="rId35" Type="http://schemas.openxmlformats.org/officeDocument/2006/relationships/hyperlink" Target="http://www.sec.gov/Archives/edgar/data/1525769/000110465920118595/tm2033932d1_ex4-1.htm" TargetMode="External"/><Relationship Id="rId36" Type="http://schemas.openxmlformats.org/officeDocument/2006/relationships/hyperlink" Target="http://www.sec.gov/Archives/edgar/data/1525769/000110465920118595/tm2033932d1_ex4-1.htm" TargetMode="External"/><Relationship Id="rId37" Type="http://schemas.openxmlformats.org/officeDocument/2006/relationships/hyperlink" Target="http://www.sec.gov/Archives/edgar/data/1525769/000110465920118595/tm2033932d1_ex4-1.htm" TargetMode="External"/><Relationship Id="rId38" Type="http://schemas.openxmlformats.org/officeDocument/2006/relationships/hyperlink" Target="http://www.sec.gov/Archives/edgar/data/1525769/000119312515323448/d17514dex101.htm" TargetMode="External"/><Relationship Id="rId39" Type="http://schemas.openxmlformats.org/officeDocument/2006/relationships/hyperlink" Target="http://www.sec.gov/Archives/edgar/data/1525769/000119312515323448/d17514dex101.htm" TargetMode="External"/><Relationship Id="rId40" Type="http://schemas.openxmlformats.org/officeDocument/2006/relationships/hyperlink" Target="http://www.sec.gov/Archives/edgar/data/1525769/000119312515323448/d17514dex101.htm" TargetMode="External"/><Relationship Id="rId41" Type="http://schemas.openxmlformats.org/officeDocument/2006/relationships/hyperlink" Target="http://www.sec.gov/Archives/edgar/data/1525769/000119312515323448/d17514dex101.htm" TargetMode="External"/><Relationship Id="rId42" Type="http://schemas.openxmlformats.org/officeDocument/2006/relationships/hyperlink" Target="http://www.sec.gov/Archives/edgar/data/1525769/000119312515323448/d17514dex101.htm" TargetMode="External"/><Relationship Id="rId43" Type="http://schemas.openxmlformats.org/officeDocument/2006/relationships/hyperlink" Target="http://www.sec.gov/Archives/edgar/data/943823/000119312510185917/dex103.htm" TargetMode="External"/><Relationship Id="rId44" Type="http://schemas.openxmlformats.org/officeDocument/2006/relationships/hyperlink" Target="http://www.sec.gov/Archives/edgar/data/943823/000119312510185917/dex103.htm" TargetMode="External"/><Relationship Id="rId45" Type="http://schemas.openxmlformats.org/officeDocument/2006/relationships/hyperlink" Target="http://www.sec.gov/Archives/edgar/data/943823/000119312510185917/dex103.htm" TargetMode="External"/><Relationship Id="rId46" Type="http://schemas.openxmlformats.org/officeDocument/2006/relationships/hyperlink" Target="http://www.sec.gov/Archives/edgar/data/943823/000119312510185917/dex103.htm" TargetMode="External"/><Relationship Id="rId47" Type="http://schemas.openxmlformats.org/officeDocument/2006/relationships/hyperlink" Target="http://www.sec.gov/Archives/edgar/data/943823/000119312510185917/dex103.htm" TargetMode="External"/><Relationship Id="rId48" Type="http://schemas.openxmlformats.org/officeDocument/2006/relationships/hyperlink" Target="http://www.sec.gov/Archives/edgar/data/943823/000119312511165456/dex102.htm" TargetMode="External"/><Relationship Id="rId49" Type="http://schemas.openxmlformats.org/officeDocument/2006/relationships/hyperlink" Target="http://www.sec.gov/Archives/edgar/data/943823/000119312511165456/dex102.htm" TargetMode="External"/><Relationship Id="rId50" Type="http://schemas.openxmlformats.org/officeDocument/2006/relationships/hyperlink" Target="http://www.sec.gov/Archives/edgar/data/943823/000119312511165456/dex102.htm" TargetMode="External"/><Relationship Id="rId51" Type="http://schemas.openxmlformats.org/officeDocument/2006/relationships/hyperlink" Target="http://www.sec.gov/Archives/edgar/data/943823/000119312511165456/dex102.htm" TargetMode="External"/><Relationship Id="rId52" Type="http://schemas.openxmlformats.org/officeDocument/2006/relationships/hyperlink" Target="http://www.sec.gov/Archives/edgar/data/943823/000119312511165456/dex102.htm" TargetMode="External"/><Relationship Id="rId53" Type="http://schemas.openxmlformats.org/officeDocument/2006/relationships/hyperlink" Target="http://www.sec.gov/Archives/edgar/data/943823/000119312513156522/d451929dex106.htm" TargetMode="External"/><Relationship Id="rId54" Type="http://schemas.openxmlformats.org/officeDocument/2006/relationships/hyperlink" Target="http://www.sec.gov/Archives/edgar/data/943823/000119312513156522/d451929dex106.htm" TargetMode="External"/><Relationship Id="rId55" Type="http://schemas.openxmlformats.org/officeDocument/2006/relationships/hyperlink" Target="http://www.sec.gov/Archives/edgar/data/943823/000119312513156522/d451929dex106.htm" TargetMode="External"/><Relationship Id="rId56" Type="http://schemas.openxmlformats.org/officeDocument/2006/relationships/hyperlink" Target="http://www.sec.gov/Archives/edgar/data/943823/000119312513156522/d451929dex106.htm" TargetMode="External"/><Relationship Id="rId57" Type="http://schemas.openxmlformats.org/officeDocument/2006/relationships/hyperlink" Target="http://www.sec.gov/Archives/edgar/data/943823/000119312513156522/d451929dex106.htm" TargetMode="External"/><Relationship Id="rId58" Type="http://schemas.openxmlformats.org/officeDocument/2006/relationships/hyperlink" Target="http://www.sec.gov/Archives/edgar/data/1525769/000119312515323448/d17514dex107.htm" TargetMode="External"/><Relationship Id="rId59" Type="http://schemas.openxmlformats.org/officeDocument/2006/relationships/hyperlink" Target="http://www.sec.gov/Archives/edgar/data/1525769/000119312515323448/d17514dex107.htm" TargetMode="External"/><Relationship Id="rId60" Type="http://schemas.openxmlformats.org/officeDocument/2006/relationships/hyperlink" Target="http://www.sec.gov/Archives/edgar/data/1525769/000119312515323448/d17514dex107.htm" TargetMode="External"/><Relationship Id="rId61" Type="http://schemas.openxmlformats.org/officeDocument/2006/relationships/hyperlink" Target="http://www.sec.gov/Archives/edgar/data/1525769/000119312515323448/d17514dex107.htm" TargetMode="External"/><Relationship Id="rId62" Type="http://schemas.openxmlformats.org/officeDocument/2006/relationships/hyperlink" Target="http://www.sec.gov/Archives/edgar/data/1525769/000119312515323448/d17514dex107.htm" TargetMode="External"/><Relationship Id="rId63" Type="http://schemas.openxmlformats.org/officeDocument/2006/relationships/hyperlink" Target="http://www.sec.gov/Archives/edgar/data/1525769/000119312515323448/d17514dex108.htm" TargetMode="External"/><Relationship Id="rId64" Type="http://schemas.openxmlformats.org/officeDocument/2006/relationships/hyperlink" Target="http://www.sec.gov/Archives/edgar/data/1525769/000119312515323448/d17514dex108.htm" TargetMode="External"/><Relationship Id="rId65" Type="http://schemas.openxmlformats.org/officeDocument/2006/relationships/hyperlink" Target="http://www.sec.gov/Archives/edgar/data/1525769/000119312515323448/d17514dex108.htm" TargetMode="External"/><Relationship Id="rId66" Type="http://schemas.openxmlformats.org/officeDocument/2006/relationships/hyperlink" Target="http://www.sec.gov/Archives/edgar/data/1525769/000119312515323448/d17514dex108.htm" TargetMode="External"/><Relationship Id="rId67" Type="http://schemas.openxmlformats.org/officeDocument/2006/relationships/hyperlink" Target="http://www.sec.gov/Archives/edgar/data/1525769/000119312515323448/d17514dex108.htm" TargetMode="External"/><Relationship Id="rId68" Type="http://schemas.openxmlformats.org/officeDocument/2006/relationships/hyperlink" Target="http://www.sec.gov/Archives/edgar/data/1525769/000119312515323448/d17514dex109.htm" TargetMode="External"/><Relationship Id="rId69" Type="http://schemas.openxmlformats.org/officeDocument/2006/relationships/hyperlink" Target="http://www.sec.gov/Archives/edgar/data/1525769/000119312515323448/d17514dex109.htm" TargetMode="External"/><Relationship Id="rId70" Type="http://schemas.openxmlformats.org/officeDocument/2006/relationships/hyperlink" Target="http://www.sec.gov/Archives/edgar/data/1525769/000119312515323448/d17514dex109.htm" TargetMode="External"/><Relationship Id="rId71" Type="http://schemas.openxmlformats.org/officeDocument/2006/relationships/hyperlink" Target="http://www.sec.gov/Archives/edgar/data/1525769/000119312515323448/d17514dex109.htm" TargetMode="External"/><Relationship Id="rId72" Type="http://schemas.openxmlformats.org/officeDocument/2006/relationships/hyperlink" Target="http://www.sec.gov/Archives/edgar/data/1525769/000119312515323448/d17514dex109.htm" TargetMode="External"/><Relationship Id="rId73" Type="http://schemas.openxmlformats.org/officeDocument/2006/relationships/hyperlink" Target="http://www.sec.gov/Archives/edgar/data/1525769/000119312515323448/d17514dex1010.htm" TargetMode="External"/><Relationship Id="rId74" Type="http://schemas.openxmlformats.org/officeDocument/2006/relationships/hyperlink" Target="http://www.sec.gov/Archives/edgar/data/1525769/000119312515323448/d17514dex1010.htm" TargetMode="External"/><Relationship Id="rId75" Type="http://schemas.openxmlformats.org/officeDocument/2006/relationships/hyperlink" Target="http://www.sec.gov/Archives/edgar/data/1525769/000119312515323448/d17514dex1010.htm" TargetMode="External"/><Relationship Id="rId76" Type="http://schemas.openxmlformats.org/officeDocument/2006/relationships/hyperlink" Target="http://www.sec.gov/Archives/edgar/data/1525769/000119312515323448/d17514dex1010.htm" TargetMode="External"/><Relationship Id="rId77" Type="http://schemas.openxmlformats.org/officeDocument/2006/relationships/hyperlink" Target="http://www.sec.gov/Archives/edgar/data/1525769/000119312515323448/d17514dex1010.htm" TargetMode="External"/><Relationship Id="rId78" Type="http://schemas.openxmlformats.org/officeDocument/2006/relationships/hyperlink" Target="http://www.sec.gov/Archives/edgar/data/1525769/000119312520314977/d16873dex101.htm" TargetMode="External"/><Relationship Id="rId79" Type="http://schemas.openxmlformats.org/officeDocument/2006/relationships/hyperlink" Target="http://www.sec.gov/Archives/edgar/data/1525769/000119312520314977/d16873dex101.htm" TargetMode="External"/><Relationship Id="rId80" Type="http://schemas.openxmlformats.org/officeDocument/2006/relationships/hyperlink" Target="http://www.sec.gov/Archives/edgar/data/1525769/000119312520314977/d16873dex101.htm" TargetMode="External"/><Relationship Id="rId81" Type="http://schemas.openxmlformats.org/officeDocument/2006/relationships/hyperlink" Target="http://www.sec.gov/Archives/edgar/data/1525769/000119312520314977/d16873dex101.htm" TargetMode="External"/><Relationship Id="rId82" Type="http://schemas.openxmlformats.org/officeDocument/2006/relationships/hyperlink" Target="http://www.sec.gov/Archives/edgar/data/1525769/000119312520314977/d16873dex101.htm" TargetMode="External"/><Relationship Id="rId83" Type="http://schemas.openxmlformats.org/officeDocument/2006/relationships/hyperlink" Target="http://www.sec.gov/Archives/edgar/data/1525769/000119312514350516/d735753dex1012.htm" TargetMode="External"/><Relationship Id="rId84" Type="http://schemas.openxmlformats.org/officeDocument/2006/relationships/hyperlink" Target="http://www.sec.gov/Archives/edgar/data/1525769/000119312514350516/d735753dex1012.htm" TargetMode="External"/><Relationship Id="rId85" Type="http://schemas.openxmlformats.org/officeDocument/2006/relationships/hyperlink" Target="http://www.sec.gov/Archives/edgar/data/1525769/000119312514350516/d735753dex1012.htm" TargetMode="External"/><Relationship Id="rId86" Type="http://schemas.openxmlformats.org/officeDocument/2006/relationships/hyperlink" Target="http://www.sec.gov/Archives/edgar/data/1525769/000119312514350516/d735753dex1012.htm" TargetMode="External"/><Relationship Id="rId87" Type="http://schemas.openxmlformats.org/officeDocument/2006/relationships/hyperlink" Target="http://www.sec.gov/Archives/edgar/data/1525769/000119312514350516/d735753dex1012.htm" TargetMode="External"/><Relationship Id="rId88" Type="http://schemas.openxmlformats.org/officeDocument/2006/relationships/hyperlink" Target="http://www.sec.gov/Archives/edgar/data/1525769/000114420417044736/v473864_ex10-1.htm" TargetMode="External"/><Relationship Id="rId89" Type="http://schemas.openxmlformats.org/officeDocument/2006/relationships/hyperlink" Target="http://www.sec.gov/Archives/edgar/data/1525769/000114420417044736/v473864_ex10-1.htm" TargetMode="External"/><Relationship Id="rId90" Type="http://schemas.openxmlformats.org/officeDocument/2006/relationships/hyperlink" Target="http://www.sec.gov/Archives/edgar/data/1525769/000114420417044736/v473864_ex10-1.htm" TargetMode="External"/><Relationship Id="rId91" Type="http://schemas.openxmlformats.org/officeDocument/2006/relationships/hyperlink" Target="http://www.sec.gov/Archives/edgar/data/1525769/000119312520166738/d916852dex102.htm" TargetMode="External"/><Relationship Id="rId92" Type="http://schemas.openxmlformats.org/officeDocument/2006/relationships/hyperlink" Target="http://www.sec.gov/Archives/edgar/data/1525769/000119312520166738/d916852dex102.htm" TargetMode="External"/><Relationship Id="rId93" Type="http://schemas.openxmlformats.org/officeDocument/2006/relationships/hyperlink" Target="http://www.sec.gov/Archives/edgar/data/1525769/000119312520166738/d916852dex102.htm" TargetMode="External"/><Relationship Id="rId94" Type="http://schemas.openxmlformats.org/officeDocument/2006/relationships/hyperlink" Target="http://www.sec.gov/Archives/edgar/data/1525769/000119312520166738/d916852dex102.htm" TargetMode="External"/><Relationship Id="rId95" Type="http://schemas.openxmlformats.org/officeDocument/2006/relationships/hyperlink" Target="http://www.sec.gov/Archives/edgar/data/1525769/000119312520166738/d916852dex102.htm" TargetMode="External"/><Relationship Id="rId96" Type="http://schemas.openxmlformats.org/officeDocument/2006/relationships/hyperlink" Target="http://www.sec.gov/Archives/edgar/data/1525769/000110465920118595/tm2033932d1_ex10-1.htm" TargetMode="External"/><Relationship Id="rId97" Type="http://schemas.openxmlformats.org/officeDocument/2006/relationships/hyperlink" Target="http://www.sec.gov/Archives/edgar/data/1525769/000110465920118595/tm2033932d1_ex10-1.htm" TargetMode="External"/><Relationship Id="rId98" Type="http://schemas.openxmlformats.org/officeDocument/2006/relationships/hyperlink" Target="http://www.sec.gov/Archives/edgar/data/1525769/000110465920118595/tm2033932d1_ex10-1.htm" TargetMode="External"/><Relationship Id="rId99" Type="http://schemas.openxmlformats.org/officeDocument/2006/relationships/hyperlink" Target="http://www.sec.gov/Archives/edgar/data/1525769/000110465920118595/tm2033932d1_ex10-1.htm" TargetMode="External"/><Relationship Id="rId100" Type="http://schemas.openxmlformats.org/officeDocument/2006/relationships/hyperlink" Target="http://www.sec.gov/Archives/edgar/data/1525769/000110465920118595/tm2033932d1_ex10-1.htm" TargetMode="External"/><Relationship Id="rId101" Type="http://schemas.openxmlformats.org/officeDocument/2006/relationships/hyperlink" Target="http://www.sec.gov/Archives/edgar/data/1525769/000119312519170337/d740439dex101.htm" TargetMode="External"/><Relationship Id="rId102" Type="http://schemas.openxmlformats.org/officeDocument/2006/relationships/hyperlink" Target="http://www.sec.gov/Archives/edgar/data/1525769/000119312519170337/d740439dex101.htm" TargetMode="External"/><Relationship Id="rId103" Type="http://schemas.openxmlformats.org/officeDocument/2006/relationships/hyperlink" Target="http://www.sec.gov/Archives/edgar/data/1525769/000119312519170337/d740439dex101.htm" TargetMode="External"/><Relationship Id="rId104" Type="http://schemas.openxmlformats.org/officeDocument/2006/relationships/hyperlink" Target="http://www.sec.gov/Archives/edgar/data/1525769/000119312519170337/d740439dex101.htm" TargetMode="External"/><Relationship Id="rId105" Type="http://schemas.openxmlformats.org/officeDocument/2006/relationships/hyperlink" Target="http://www.sec.gov/Archives/edgar/data/1525769/000119312519170337/d740439dex101.htm" TargetMode="External"/><Relationship Id="rId106" Type="http://schemas.openxmlformats.org/officeDocument/2006/relationships/hyperlink" Target="http://www.sec.gov/Archives/edgar/data/1525769/000119312519170337/d740439dex102.htm" TargetMode="External"/><Relationship Id="rId107" Type="http://schemas.openxmlformats.org/officeDocument/2006/relationships/hyperlink" Target="http://www.sec.gov/Archives/edgar/data/1525769/000119312519170337/d740439dex102.htm" TargetMode="External"/><Relationship Id="rId108" Type="http://schemas.openxmlformats.org/officeDocument/2006/relationships/hyperlink" Target="http://www.sec.gov/Archives/edgar/data/1525769/000119312519170337/d740439dex102.htm" TargetMode="External"/><Relationship Id="rId109" Type="http://schemas.openxmlformats.org/officeDocument/2006/relationships/hyperlink" Target="http://www.sec.gov/Archives/edgar/data/1525769/000119312519170337/d740439dex102.htm" TargetMode="External"/><Relationship Id="rId110" Type="http://schemas.openxmlformats.org/officeDocument/2006/relationships/hyperlink" Target="http://www.sec.gov/Archives/edgar/data/1525769/000119312519170337/d740439dex102.htm" TargetMode="External"/><Relationship Id="rId111" Type="http://schemas.openxmlformats.org/officeDocument/2006/relationships/hyperlink" Target="http://www.sec.gov/Archives/edgar/data/1525769/000119312519170337/d740439dex103.htm" TargetMode="External"/><Relationship Id="rId112" Type="http://schemas.openxmlformats.org/officeDocument/2006/relationships/hyperlink" Target="http://www.sec.gov/Archives/edgar/data/1525769/000119312519170337/d740439dex103.htm" TargetMode="External"/><Relationship Id="rId113" Type="http://schemas.openxmlformats.org/officeDocument/2006/relationships/hyperlink" Target="http://www.sec.gov/Archives/edgar/data/1525769/000119312519170337/d740439dex103.htm" TargetMode="External"/><Relationship Id="rId114" Type="http://schemas.openxmlformats.org/officeDocument/2006/relationships/hyperlink" Target="http://www.sec.gov/Archives/edgar/data/1525769/000119312519170337/d740439dex103.htm" TargetMode="External"/><Relationship Id="rId115" Type="http://schemas.openxmlformats.org/officeDocument/2006/relationships/hyperlink" Target="http://www.sec.gov/Archives/edgar/data/1525769/000119312519170337/d740439dex103.htm" TargetMode="External"/><Relationship Id="rId116" Type="http://schemas.openxmlformats.org/officeDocument/2006/relationships/hyperlink" Target="http://www.sec.gov/Archives/edgar/data/1525769/000119312519170337/d740439dex104.htm" TargetMode="External"/><Relationship Id="rId117" Type="http://schemas.openxmlformats.org/officeDocument/2006/relationships/hyperlink" Target="http://www.sec.gov/Archives/edgar/data/1525769/000119312519170337/d740439dex104.htm" TargetMode="External"/><Relationship Id="rId118" Type="http://schemas.openxmlformats.org/officeDocument/2006/relationships/hyperlink" Target="http://www.sec.gov/Archives/edgar/data/1525769/000119312519170337/d740439dex104.htm" TargetMode="External"/><Relationship Id="rId119" Type="http://schemas.openxmlformats.org/officeDocument/2006/relationships/hyperlink" Target="http://www.sec.gov/Archives/edgar/data/1525769/000119312519170337/d740439dex104.htm" TargetMode="External"/><Relationship Id="rId120" Type="http://schemas.openxmlformats.org/officeDocument/2006/relationships/hyperlink" Target="http://www.sec.gov/Archives/edgar/data/1525769/000119312519170337/d740439dex104.htm" TargetMode="External"/><Relationship Id="rId121" Type="http://schemas.openxmlformats.org/officeDocument/2006/relationships/hyperlink" Target="http://www.sec.gov/Archives/edgar/data/1525769/000110465920055876/tm2018455d2_ex10-1.htm" TargetMode="External"/><Relationship Id="rId122" Type="http://schemas.openxmlformats.org/officeDocument/2006/relationships/hyperlink" Target="http://www.sec.gov/Archives/edgar/data/1525769/000110465920055876/tm2018455d2_ex10-1.htm" TargetMode="External"/><Relationship Id="rId123" Type="http://schemas.openxmlformats.org/officeDocument/2006/relationships/hyperlink" Target="http://www.sec.gov/Archives/edgar/data/1525769/000110465920055876/tm2018455d2_ex10-1.htm" TargetMode="External"/><Relationship Id="rId124" Type="http://schemas.openxmlformats.org/officeDocument/2006/relationships/hyperlink" Target="http://www.sec.gov/Archives/edgar/data/1525769/000110465920055876/tm2018455d2_ex10-1.htm" TargetMode="External"/><Relationship Id="rId125" Type="http://schemas.openxmlformats.org/officeDocument/2006/relationships/hyperlink" Target="http://www.sec.gov/Archives/edgar/data/1525769/000110465920055876/tm2018455d2_ex10-1.htm" TargetMode="External"/><Relationship Id="rId126" Type="http://schemas.openxmlformats.org/officeDocument/2006/relationships/hyperlink" Target="http://www.sec.gov/Archives/edgar/data/1525769/000110465920055876/tm2018455d2_ex10-2.htm" TargetMode="External"/><Relationship Id="rId127" Type="http://schemas.openxmlformats.org/officeDocument/2006/relationships/hyperlink" Target="http://www.sec.gov/Archives/edgar/data/1525769/000110465920055876/tm2018455d2_ex10-2.htm" TargetMode="External"/><Relationship Id="rId128" Type="http://schemas.openxmlformats.org/officeDocument/2006/relationships/hyperlink" Target="http://www.sec.gov/Archives/edgar/data/1525769/000110465920055876/tm2018455d2_ex10-2.htm" TargetMode="External"/><Relationship Id="rId129" Type="http://schemas.openxmlformats.org/officeDocument/2006/relationships/hyperlink" Target="http://www.sec.gov/Archives/edgar/data/1525769/000110465920055876/tm2018455d2_ex10-2.htm" TargetMode="External"/><Relationship Id="rId130" Type="http://schemas.openxmlformats.org/officeDocument/2006/relationships/hyperlink" Target="http://www.sec.gov/Archives/edgar/data/1525769/000110465920055876/tm2018455d2_ex10-2.htm" TargetMode="External"/><Relationship Id="rId131" Type="http://schemas.openxmlformats.org/officeDocument/2006/relationships/fontTable" Target="fontTable.xml"/><Relationship Id="rId13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21</Pages>
  <Words>50916</Words>
  <CharactersWithSpaces>335017</CharactersWithSpaces>
  <Paragraphs>11303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EX-32.2</dc:title>
</cp:coreProperties>
</file>