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156210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30, 2022</w:t>
      </w:r>
    </w:p>
    <w:p>
      <w:pPr>
        <w:spacing w:after="0" w:line="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294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-5080</wp:posOffset>
            </wp:positionV>
            <wp:extent cx="1305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Dave &amp; Buster’s Entertainment,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4920" w:type="dxa"/>
            <w:vAlign w:val="bottom"/>
            <w:gridSpan w:val="4"/>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20" w:type="dxa"/>
            <w:vAlign w:val="bottom"/>
            <w:gridSpan w:val="3"/>
          </w:tcPr>
          <w:p>
            <w:pPr>
              <w:jc w:val="right"/>
              <w:ind w:right="2162"/>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190"/>
        </w:trPr>
        <w:tc>
          <w:tcPr>
            <w:tcW w:w="4920" w:type="dxa"/>
            <w:vAlign w:val="bottom"/>
            <w:gridSpan w:val="4"/>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2"/>
              <w:spacing w:after="0"/>
              <w:rPr>
                <w:sz w:val="20"/>
                <w:szCs w:val="20"/>
                <w:color w:val="auto"/>
              </w:rPr>
            </w:pPr>
            <w:r>
              <w:rPr>
                <w:rFonts w:ascii="Times New Roman" w:cs="Times New Roman" w:eastAsia="Times New Roman" w:hAnsi="Times New Roman"/>
                <w:sz w:val="14"/>
                <w:szCs w:val="14"/>
                <w:b w:val="1"/>
                <w:bCs w:val="1"/>
                <w:color w:val="auto"/>
              </w:rPr>
              <w:t>(I.R.S. Employer ID)</w:t>
            </w:r>
          </w:p>
        </w:tc>
      </w:tr>
      <w:tr>
        <w:trPr>
          <w:trHeight w:val="309"/>
        </w:trPr>
        <w:tc>
          <w:tcPr>
            <w:tcW w:w="4920" w:type="dxa"/>
            <w:vAlign w:val="bottom"/>
            <w:gridSpan w:val="4"/>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9"/>
              </w:rPr>
              <w:t>1221 S. Beltline Rd., Suite 500, Coppell, Texas, 75019</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20" w:type="dxa"/>
            <w:vAlign w:val="bottom"/>
            <w:gridSpan w:val="3"/>
          </w:tcPr>
          <w:p>
            <w:pPr>
              <w:jc w:val="right"/>
              <w:ind w:right="2042"/>
              <w:spacing w:after="0"/>
              <w:rPr>
                <w:sz w:val="20"/>
                <w:szCs w:val="20"/>
                <w:color w:val="auto"/>
              </w:rPr>
            </w:pPr>
            <w:r>
              <w:rPr>
                <w:rFonts w:ascii="Times New Roman" w:cs="Times New Roman" w:eastAsia="Times New Roman" w:hAnsi="Times New Roman"/>
                <w:sz w:val="18"/>
                <w:szCs w:val="18"/>
                <w:b w:val="1"/>
                <w:bCs w:val="1"/>
                <w:color w:val="auto"/>
              </w:rPr>
              <w:t>(214) 357-9588</w:t>
            </w:r>
          </w:p>
        </w:tc>
      </w:tr>
      <w:tr>
        <w:trPr>
          <w:trHeight w:val="190"/>
        </w:trPr>
        <w:tc>
          <w:tcPr>
            <w:tcW w:w="4920" w:type="dxa"/>
            <w:vAlign w:val="bottom"/>
            <w:gridSpan w:val="4"/>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20" w:type="dxa"/>
            <w:vAlign w:val="bottom"/>
            <w:gridSpan w:val="3"/>
          </w:tcPr>
          <w:p>
            <w:pPr>
              <w:jc w:val="center"/>
              <w:ind w:right="1562"/>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r>
      <w:tr>
        <w:trPr>
          <w:trHeight w:val="256"/>
        </w:trPr>
        <w:tc>
          <w:tcPr>
            <w:tcW w:w="3740" w:type="dxa"/>
            <w:vAlign w:val="bottom"/>
          </w:tcPr>
          <w:p>
            <w:pPr>
              <w:spacing w:after="0"/>
              <w:rPr>
                <w:sz w:val="22"/>
                <w:szCs w:val="22"/>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213"/>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318"/>
        </w:trPr>
        <w:tc>
          <w:tcPr>
            <w:tcW w:w="492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1060" w:type="dxa"/>
            <w:vAlign w:val="bottom"/>
            <w:tcBorders>
              <w:top w:val="single" w:sz="8" w:color="auto"/>
            </w:tcBorders>
            <w:gridSpan w:val="2"/>
          </w:tcPr>
          <w:p>
            <w:pPr>
              <w:spacing w:after="0"/>
              <w:rPr>
                <w:sz w:val="20"/>
                <w:szCs w:val="20"/>
                <w:color w:val="auto"/>
              </w:rPr>
            </w:pPr>
          </w:p>
        </w:tc>
        <w:tc>
          <w:tcPr>
            <w:tcW w:w="2380" w:type="dxa"/>
            <w:vAlign w:val="bottom"/>
            <w:tcBorders>
              <w:top w:val="single" w:sz="8" w:color="auto"/>
            </w:tcBorders>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120" w:right="20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0" w:lineRule="exact"/>
        <w:rPr>
          <w:sz w:val="24"/>
          <w:szCs w:val="24"/>
          <w:color w:val="auto"/>
        </w:rPr>
      </w:pPr>
    </w:p>
    <w:p>
      <w:pPr>
        <w:ind w:left="120"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120" w:firstLine="4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December 1, 2022, the registrant had 48,290,288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223520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80" w:right="266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FORM 10-Q FOR QUARTERLY PERIOD ENDED OCTOBER 30, 2022 TABLE OF CONTENTS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860" w:type="dxa"/>
            <w:vAlign w:val="bottom"/>
            <w:vMerge w:val="continue"/>
          </w:tcPr>
          <w:p>
            <w:pPr>
              <w:spacing w:after="0"/>
              <w:rPr>
                <w:sz w:val="15"/>
                <w:szCs w:val="15"/>
                <w:color w:val="auto"/>
              </w:rPr>
            </w:pPr>
          </w:p>
        </w:tc>
        <w:tc>
          <w:tcPr>
            <w:tcW w:w="9800" w:type="dxa"/>
            <w:vAlign w:val="bottom"/>
            <w:gridSpan w:val="10"/>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60" w:type="dxa"/>
            <w:vAlign w:val="bottom"/>
            <w:gridSpan w:val="6"/>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2220" w:type="dxa"/>
            <w:vAlign w:val="bottom"/>
            <w:tcBorders>
              <w:top w:val="single" w:sz="8" w:color="0000EE"/>
            </w:tcBorders>
            <w:gridSpan w:val="6"/>
          </w:tcPr>
          <w:p>
            <w:pPr>
              <w:spacing w:after="0"/>
              <w:rPr>
                <w:sz w:val="17"/>
                <w:szCs w:val="17"/>
                <w:color w:val="auto"/>
              </w:rPr>
            </w:pPr>
          </w:p>
        </w:tc>
        <w:tc>
          <w:tcPr>
            <w:tcW w:w="69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0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460" w:type="dxa"/>
            <w:vAlign w:val="bottom"/>
            <w:gridSpan w:val="9"/>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DAVE &amp; BUSTER’S ENTERTAINMENT,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9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8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0" w:type="dxa"/>
            <w:vAlign w:val="bottom"/>
            <w:shd w:val="clear" w:color="auto" w:fill="CCEEFF"/>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108,211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1,155,955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1,298,801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1,037,197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787,048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22,867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3,685,090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2,345,790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0" w:type="dxa"/>
            <w:vAlign w:val="bottom"/>
            <w:vMerge w:val="restart"/>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1,583,910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1,277,539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1,222,208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431,395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04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62,280,788 shares at October 30, 2022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61,563,613 at January 30, 2022; outstanding: 48,276,202 shares at October 30, 2022 and 48,489,935 at January 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20"/>
                <w:szCs w:val="20"/>
                <w:color w:val="auto"/>
              </w:rPr>
            </w:pPr>
          </w:p>
        </w:tc>
        <w:tc>
          <w:tcPr>
            <w:tcW w:w="7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566,242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548,776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Treasury stock, 14,004,586 and 13,073,678 shares as of October 30, 2022 and January 30, 2022, respectively</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(637,947)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(605,435)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335,131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275,460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3,685,090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2,345,790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7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8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828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09"/>
        </w:trPr>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165,855</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315,351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210,229</w:t>
            </w: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481,206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317,976</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48,939</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30,082</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27,316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22,531</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76,255</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52,613</w:t>
            </w:r>
          </w:p>
        </w:tc>
        <w:tc>
          <w:tcPr>
            <w:tcW w:w="120" w:type="dxa"/>
            <w:vAlign w:val="bottom"/>
          </w:tcPr>
          <w:p>
            <w:pPr>
              <w:spacing w:after="0"/>
              <w:rPr>
                <w:sz w:val="19"/>
                <w:szCs w:val="19"/>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125,919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78,995</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163,846</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103,322</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32,777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22,104</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48,427</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34,381</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3,874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2,092</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451,098</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293,507</w:t>
            </w:r>
          </w:p>
        </w:tc>
        <w:tc>
          <w:tcPr>
            <w:tcW w:w="120" w:type="dxa"/>
            <w:vAlign w:val="bottom"/>
          </w:tcPr>
          <w:p>
            <w:pPr>
              <w:spacing w:after="0"/>
              <w:rPr>
                <w:sz w:val="20"/>
                <w:szCs w:val="20"/>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30,108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24,469</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28,374</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13,423</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2,829</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(benefit from) income taxes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20" w:type="dxa"/>
            <w:vAlign w:val="bottom"/>
          </w:tcPr>
          <w:p>
            <w:pPr>
              <w:spacing w:after="0"/>
              <w:rPr>
                <w:sz w:val="19"/>
                <w:szCs w:val="19"/>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(2,368)</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120" w:type="dxa"/>
            <w:vAlign w:val="bottom"/>
          </w:tcPr>
          <w:p>
            <w:pPr>
              <w:spacing w:after="0"/>
              <w:rPr>
                <w:sz w:val="19"/>
                <w:szCs w:val="19"/>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1,337</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2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48,256,090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48,277,358</w:t>
            </w:r>
          </w:p>
        </w:tc>
      </w:tr>
      <w:tr>
        <w:trPr>
          <w:trHeight w:val="234"/>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48,740,003</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49,283,503</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32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48"/>
        </w:trPr>
        <w:tc>
          <w:tcPr>
            <w:tcW w:w="5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320" w:type="dxa"/>
            <w:vAlign w:val="bottom"/>
          </w:tcPr>
          <w:p>
            <w:pPr>
              <w:spacing w:after="0"/>
              <w:rPr>
                <w:sz w:val="15"/>
                <w:szCs w:val="15"/>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474,762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644,443</w:t>
            </w:r>
          </w:p>
        </w:tc>
        <w:tc>
          <w:tcPr>
            <w:tcW w:w="60" w:type="dxa"/>
            <w:vAlign w:val="bottom"/>
          </w:tcPr>
          <w:p>
            <w:pPr>
              <w:spacing w:after="0"/>
              <w:rPr>
                <w:sz w:val="19"/>
                <w:szCs w:val="19"/>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1,400,666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960,954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138,655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86,366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83,157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63,729</w:t>
            </w: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9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221,812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150,095</w:t>
            </w:r>
          </w:p>
        </w:tc>
        <w:tc>
          <w:tcPr>
            <w:tcW w:w="6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332,954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209,897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430,711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292,883</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98,784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57,665</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120,329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104,355</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10,784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5,427</w:t>
            </w:r>
          </w:p>
        </w:tc>
      </w:tr>
      <w:tr>
        <w:trPr>
          <w:trHeight w:val="230"/>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9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1,215,374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820,322</w:t>
            </w:r>
          </w:p>
        </w:tc>
        <w:tc>
          <w:tcPr>
            <w:tcW w:w="60" w:type="dxa"/>
            <w:vAlign w:val="bottom"/>
          </w:tcPr>
          <w:p>
            <w:pPr>
              <w:spacing w:after="0"/>
              <w:rPr>
                <w:sz w:val="20"/>
                <w:szCs w:val="20"/>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185,292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140,632</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56,883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41,971</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refinance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2,829</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9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95,832</w:t>
            </w:r>
          </w:p>
        </w:tc>
        <w:tc>
          <w:tcPr>
            <w:tcW w:w="6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28,940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12,842</w:t>
            </w: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97,990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82,990</w:t>
            </w:r>
          </w:p>
        </w:tc>
        <w:tc>
          <w:tcPr>
            <w:tcW w:w="6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60" w:type="dxa"/>
            <w:vAlign w:val="bottom"/>
          </w:tcPr>
          <w:p>
            <w:pPr>
              <w:spacing w:after="0"/>
              <w:rPr>
                <w:sz w:val="19"/>
                <w:szCs w:val="19"/>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2,605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4,126</w:t>
            </w: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87,116</w:t>
            </w:r>
          </w:p>
        </w:tc>
        <w:tc>
          <w:tcPr>
            <w:tcW w:w="6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48,556,001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48,050,558</w:t>
            </w:r>
          </w:p>
        </w:tc>
      </w:tr>
      <w:tr>
        <w:trPr>
          <w:trHeight w:val="234"/>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49,173,864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49,257,269</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(UNAUDITED) </w:t>
      </w:r>
      <w:r>
        <w:rPr>
          <w:rFonts w:ascii="Times New Roman" w:cs="Times New Roman" w:eastAsia="Times New Roman" w:hAnsi="Times New Roman"/>
          <w:sz w:val="18"/>
          <w:szCs w:val="18"/>
          <w:color w:val="auto"/>
        </w:rPr>
        <w:t>(in thousands, except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October 30, 2022</w:t>
            </w: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July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62,214,255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$622</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$562,671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13,987,601</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$(637,209)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$356,379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228</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66,533</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16,985</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October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62,280,788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566,242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14,004,586</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(637,947</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433,121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361,016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October 31, 2021</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78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August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61,276,473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$540,348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13,020,098</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$(603,686)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$229,875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10,585</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1,371</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87,542</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1,616</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October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61,364,015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545,168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13,021,714</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(603,745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309,481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246,559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(UNAUDITED) </w:t>
      </w:r>
      <w:r>
        <w:rPr>
          <w:rFonts w:ascii="Times New Roman" w:cs="Times New Roman" w:eastAsia="Times New Roman" w:hAnsi="Times New Roman"/>
          <w:sz w:val="18"/>
          <w:szCs w:val="18"/>
          <w:color w:val="auto"/>
        </w:rPr>
        <w:t>(in thousands, except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Thirty-Nine Weeks Ended October 30, 2022</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61,563,613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$548,776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13,073,678</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$(605,435)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$275,460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97,990</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97,990</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2,971</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11,481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717,175</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5,985</w:t>
            </w:r>
          </w:p>
        </w:tc>
        <w:tc>
          <w:tcPr>
            <w:tcW w:w="2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5,992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930,908</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(32,512)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(32,512)</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October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62,280,788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566,242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14,004,586</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(637,947</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433,121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361,016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Thirty-Nine Weeks Ended October 31, 2021</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60,488,833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$531,191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12,842,227</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$(595,970)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$153,232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82,990</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82,990</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4,114</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875,182</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4,041</w:t>
            </w:r>
          </w:p>
        </w:tc>
        <w:tc>
          <w:tcPr>
            <w:tcW w:w="2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4,050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179,487</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(7,775)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(7,775)</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October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61,364,015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545,168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13,021,714</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(603,745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309,481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246,559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Thirty-Nine</w:t>
            </w:r>
          </w:p>
        </w:tc>
        <w:tc>
          <w:tcPr>
            <w:tcW w:w="10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Thirty-Nine</w:t>
            </w:r>
          </w:p>
        </w:tc>
      </w:tr>
      <w:tr>
        <w:trPr>
          <w:trHeight w:val="148"/>
        </w:trPr>
        <w:tc>
          <w:tcPr>
            <w:tcW w:w="8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1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r>
      <w:tr>
        <w:trPr>
          <w:trHeight w:val="173"/>
        </w:trPr>
        <w:tc>
          <w:tcPr>
            <w:tcW w:w="820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97,990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82,990</w:t>
            </w: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120,329</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104,355</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5,660</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29,283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(6,191)</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2,829</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9,936</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assets and liabilities acquired: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(13,449)</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19,069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2,418</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(1,859)</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(30,486)</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(3,419)</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43,410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19,069</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(6,346)</w:t>
            </w: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300,965</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198,498</w:t>
            </w:r>
          </w:p>
        </w:tc>
        <w:tc>
          <w:tcPr>
            <w:tcW w:w="120" w:type="dxa"/>
            <w:vAlign w:val="bottom"/>
          </w:tcPr>
          <w:p>
            <w:pPr>
              <w:spacing w:after="0"/>
              <w:rPr>
                <w:sz w:val="20"/>
                <w:szCs w:val="20"/>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(164,020)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(63,559)</w:t>
            </w: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(818,678)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(981,896)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(63,009)</w:t>
            </w: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821,500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37,000</w:t>
            </w: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debt</w:t>
            </w:r>
          </w:p>
        </w:tc>
        <w:tc>
          <w:tcPr>
            <w:tcW w:w="10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(152,000)</w:t>
            </w: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 and prepayment premiums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(17,748)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w:t>
            </w: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4,050</w:t>
            </w: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share repurchase program</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10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(7,775)</w:t>
            </w: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(120,375)</w:t>
            </w: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82,301</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2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25,910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11,891</w:t>
            </w: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108,211</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27,005</w:t>
            </w:r>
          </w:p>
        </w:tc>
        <w:tc>
          <w:tcPr>
            <w:tcW w:w="12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fixed asset 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6,314</w:t>
            </w: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(refund received) for income taxes, net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16,043</w:t>
            </w:r>
          </w:p>
        </w:tc>
      </w:tr>
      <w:tr>
        <w:trPr>
          <w:trHeight w:val="234"/>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33,348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43,910</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80" w:right="254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thousands, except share and per share amounts)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Coppell, Texas, is a leading operator of high-volume entertainment and dining venues (“stores”) in North America for adults and families.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June 29, 2022 (the “Closing Date”), the Company completed its previously announced acquisition (the “Main Event Acquisition” or “the Acquisition”) of 100% of the equity interests of Ardent Leisure US Holding Inc. (“Ardent US”), pursuant to that certain Agreement and Plan of Merger (the “Merger Agreement”), dated April 6, 2022, by and among the Company, Ardent US, Delta Bravo Merger Sub, Inc, the Company’s wholly-owned subsidiary formed for the purpose of completing the transactions set forth in the Merger Agreement, for the limited purposes set forth therein, Ardent Leisure Group Limited (“Ardent”), and, for the limited purposes set forth therein, RB ME LP (“RedBird”) and RB ME Blocker, LLC, REB ME Series 2019 Investor Aggregator LP and RedBird Series 2019 GP Co-Invest, LP.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thirty-nine weeks ended October 30, 2022, the Company opened seven Dave &amp; Buster’s branded stores located in Bakersfield, California, Long Beach, California, Lynwood, Washington, Sioux Falls, South Dakota, Brooklyn (Atlantic Center), New York, Modesto, California, and Augusta, Georgia, which includes three stores that opened during the thirteen weeks ended October 30, 2022. As of October 30, 2022, the Company owned and operated 151 Dave &amp; Buster’s stores located in 41 states, Puerto Rico and one Canadian province as well as 49 Main Event and 3 The Summit stores (collectively referred to as “Main Event”), located in 17 states.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as two operating units aggregated into one reportable segment. The Company operates on a 52 or 53-week fiscal year that ends on the Sunday after the Saturday closest to January 31. Each quarterly period reported has 13 weeks. Fiscal 2022 and 2021, which end on January 29, 2023, and January 30, 2022, respectively, contain 52 weeks.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30, 2022, included in our Annual Report on Form 10-K as filed with the SEC.</w:t>
      </w:r>
    </w:p>
    <w:p>
      <w:pPr>
        <w:spacing w:after="0" w:line="18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thirty-nine weeks ended October 30, 2022 are not necessarily indicative of results that may be expected for any other interim period or for the fiscal year ending January 29, 2023.</w:t>
      </w:r>
    </w:p>
    <w:p>
      <w:pPr>
        <w:spacing w:after="0" w:line="179"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A book overdraft of $16,673 is presented in “Accounts payable” in the Consolidated Balance Sheets as of January 30, 2022. There was no book overdraft as of October 30, 2022. Changes in the book overdraft position are presented within “Net cash provided by operating activities” within the Consolidated Statements of Cash Flows.</w:t>
      </w:r>
    </w:p>
    <w:p>
      <w:pPr>
        <w:spacing w:after="0" w:line="182"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The fair value of the Company’s interest rate swap was determined based upon Level Two inputs which includes valuation models as reported by our counterparties and third-party valuation specialists. These valuation models are based on the present value of expected cash flows using forward rate curves. The fair value of our senior secured notes was $446,329 and $456,204 as of October 30, 2022 and January 30, 2022, respectively. The fair value of the Company’s term note was $927,943 as of October 30, 2022. The fair value of the Company’s debt is determined based on a discounted cash flow method, using a sector-specific yield curve based on market-derived, trade price data as of the measurement date, and is classified as a Level Two input within the fair value hierarchy.</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also measures certain non-financial assets (primarily property and equipment, right-of-use (“ROU”) assets, goodwill, tradenames, and other assets) at fair value on a non-recurring basis in connection with its periodic evaluations of such assets for potential impairment. During the second quarter of fiscal 2022, an impairment of $1,841 was recognized related to Main Event’s corporate headquarters lease, which was abandoned, and was included in “General and administrative expenses” in the Consolidated Statements of Comprehensive Income. During the first and third quarters of fiscal 2022, there were no impairments recognized.</w:t>
      </w:r>
    </w:p>
    <w:p>
      <w:pPr>
        <w:spacing w:after="0" w:line="179" w:lineRule="exact"/>
        <w:rPr>
          <w:sz w:val="20"/>
          <w:szCs w:val="20"/>
          <w:color w:val="auto"/>
        </w:rPr>
      </w:pPr>
    </w:p>
    <w:p>
      <w:pPr>
        <w:ind w:left="120" w:right="280" w:firstLine="44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rate swaps </w:t>
      </w:r>
      <w:r>
        <w:rPr>
          <w:rFonts w:ascii="Times New Roman" w:cs="Times New Roman" w:eastAsia="Times New Roman" w:hAnsi="Times New Roman"/>
          <w:sz w:val="17"/>
          <w:szCs w:val="17"/>
          <w:color w:val="auto"/>
        </w:rPr>
        <w:t>— Effective February 28, 2019, the Company entered into three interest rate swap agreements to manage our exposure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rate movements on our variable rate credit facility. The notional amount of the swap agreements, which matured August 17, 2022, totaled $350,000 and the fixed rate of interest for all agreements was 2.47%. Effective April 14, 2020, the Company amended its existing credit facility agreement to obtain relief from its financial covenants, and as a result, the variable interest rate terms were modified to create an interest rate floor of</w:t>
      </w:r>
    </w:p>
    <w:p>
      <w:pPr>
        <w:ind w:left="120"/>
        <w:spacing w:after="0" w:line="252" w:lineRule="auto"/>
        <w:rPr>
          <w:sz w:val="20"/>
          <w:szCs w:val="20"/>
          <w:color w:val="auto"/>
        </w:rPr>
      </w:pPr>
      <w:r>
        <w:rPr>
          <w:rFonts w:ascii="Times New Roman" w:cs="Times New Roman" w:eastAsia="Times New Roman" w:hAnsi="Times New Roman"/>
          <w:sz w:val="18"/>
          <w:szCs w:val="18"/>
          <w:color w:val="auto"/>
        </w:rPr>
        <w:t>1.00%. Accordingly, the Company discontinued the hedging relationship as of April 14, 2020 (de-designation date), and the Company reclassified the accumulated other comprehensive loss of $17,609 as of the de-designation date into “Interest expense, net” using a straight-line approach over the remaining life of the originally designated hedging relationship. Effective June 16, 2022, one of the three interest rate swap agreements was terminated before maturity. As of October 30, 2022, there is no remaining unamortized balance to be reclassified. Effective with the de-designation, any gain or loss on the derivatives was previously recognized in earnings in the period in which the change occurred. For the thirty-nine weeks ended October 30, 2022 and October 31, 2021, a gain of $679 and a loss of $92, respectively, were recognized, which are included in “Other store operating expenses” in the Consolidated Statements of Comprehensive Income.</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outstanding interest rate swap derivatives liability was $3,823 as of January 30, 2022, with no balance as of October 30, 2022 as the interest rate swap is no longer outstanding. The balance was previously included in “Accrued liabilities” in the Consolidated Balance Sheets. The following table summarizes the activity in accumulated other comprehensive loss related to our derivative instruments: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30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64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280" w:type="dxa"/>
            <w:vAlign w:val="bottom"/>
          </w:tcPr>
          <w:p>
            <w:pPr>
              <w:spacing w:after="0"/>
              <w:rPr>
                <w:sz w:val="12"/>
                <w:szCs w:val="12"/>
                <w:color w:val="auto"/>
              </w:rPr>
            </w:pPr>
          </w:p>
        </w:tc>
        <w:tc>
          <w:tcPr>
            <w:tcW w:w="10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100" w:type="dxa"/>
            <w:vAlign w:val="bottom"/>
          </w:tcPr>
          <w:p>
            <w:pPr>
              <w:spacing w:after="0"/>
              <w:rPr>
                <w:sz w:val="12"/>
                <w:szCs w:val="12"/>
                <w:color w:val="auto"/>
              </w:rPr>
            </w:pP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reclassified or amortized into interest</w:t>
            </w: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1,886</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4,088</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(5,660)</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(1,117)</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w:t>
            </w:r>
          </w:p>
        </w:tc>
      </w:tr>
    </w:tbl>
    <w:p>
      <w:pPr>
        <w:spacing w:after="0" w:line="17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Amusement revenues are primarily recognized upon utilization of game play credits on cards purchased and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activate video and redemption games. Redemption games allow customers to earn tickets, which may be redeemed for prizes.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and thirty-nine weeks ended October 30, 2022, we recognized revenue of approximately $7,800 and $38,600, respectively, related to the amount in deferred amusement revenue as of the end of fiscal 2021 (or as of the Closing Date of the Acquisition).</w:t>
      </w:r>
    </w:p>
    <w:p>
      <w:pPr>
        <w:spacing w:after="0" w:line="18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thirty-nine weeks ended October 30, 2022, we recognized revenue of approximately $1,900 and $5,200 respectively, related to the amount in deferred gift card revenue as of the end of fiscal 2021 (or as of the Closing Date of the Acquisition), of which approximately $730 and $1,160, respectively, was breakage revenue.</w:t>
      </w:r>
    </w:p>
    <w:p>
      <w:pPr>
        <w:spacing w:after="0" w:line="17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equity </w:t>
      </w:r>
      <w:r>
        <w:rPr>
          <w:rFonts w:ascii="Times New Roman" w:cs="Times New Roman" w:eastAsia="Times New Roman" w:hAnsi="Times New Roman"/>
          <w:sz w:val="18"/>
          <w:szCs w:val="18"/>
          <w:color w:val="auto"/>
        </w:rPr>
        <w:t>— In our consolidated financial statements, the Company treats shares withheld for tax purposes on behalf of our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vesting of time-based and performance restricted stock units as common stock repurchases because they reduce the number of shares that would have been issued upon vesting. During the thirty-nine weeks ended October 30, 2022 and October 31, 2021, respectively, we withheld 165,920 and 179,487 shares of common stock to satisfy $7,497 and $7,775 of employees’ tax obligations, respectively.</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(loss) per share is computed by dividing net income available to common shareholders by the basic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 For the thirteen weeks ended October 30, 2022 and October 31, 2021, the Company excluded anti-dilutive awards from the calculation of approximately 322,284 and 236,279 respectively. For the thirty-nine weeks ended October 30, 2022, and October 31, 2021, the Company excluded anti-dilutive awards from the calculation of approximately 227,316 and 161,093, respectively. Basic weighted average shares outstanding are reconciled to diluted weighted average shares outstanding as follows:</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94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5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4600" w:type="dxa"/>
            <w:vAlign w:val="bottom"/>
          </w:tcPr>
          <w:p>
            <w:pPr>
              <w:spacing w:after="0"/>
              <w:rPr>
                <w:sz w:val="12"/>
                <w:szCs w:val="12"/>
                <w:color w:val="auto"/>
              </w:rPr>
            </w:pPr>
          </w:p>
        </w:tc>
        <w:tc>
          <w:tcPr>
            <w:tcW w:w="14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42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40" w:type="dxa"/>
            <w:vAlign w:val="bottom"/>
          </w:tcPr>
          <w:p>
            <w:pPr>
              <w:spacing w:after="0"/>
              <w:rPr>
                <w:sz w:val="12"/>
                <w:szCs w:val="12"/>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48,256,090</w:t>
            </w:r>
          </w:p>
        </w:tc>
        <w:tc>
          <w:tcPr>
            <w:tcW w:w="4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48,277,358</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48,556,001</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dilutive impact of awards</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483,913</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1,006,145</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617,863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1,206,711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48,740,003</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49,283,503</w:t>
            </w: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49,173,864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49,257,269</w:t>
            </w:r>
          </w:p>
        </w:tc>
      </w:tr>
    </w:tbl>
    <w:p>
      <w:pPr>
        <w:spacing w:after="0" w:line="194"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We reviewed the accounting pronouncements that became effective for our fiscal year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that either they were not applicable, or they did not have a material impact on the consolidated financial statements. We also reviewed the recently issued accounting pronouncements to be adopted in future periods and determined that they are not expected to have a material impact on the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June 29, 2022, the Company acquired Main Event for approximately $832,472 in net cash and contingent consideration. Dallas-based Main Event, which debuted in 1998, is also focused on food, drinks, and games, largely for the demographic target of families with young children. The acquisition is expected to put the Company in a strategic position for accelerated, profitable growth in both brands as well as create cost synergies with our Dave &amp; Buster’s brand.</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Main Event Acquisition was made at a price above the determined fair value of the acquired identifiable net assets, resulting in goodwill, primarily due to expectations of the synergies that will be realized by combining the businesses and the benefits that will be gained from the assembled workforce. These synergies include the elimination of redundant facilities, functions, and staffing. None of the goodwill recorded from this business combination is expected to be tax deductible.</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using the acquisition method of accounting with assets acquired and liabilities assumed recorded at fair value, and the results of Main Event have been included in the accompanying financial statements from June 29, 2022, the date of acquisition. Acquisition transaction costs totaling approximately $12,800 were recorded in general and administrative expenses as incurred.</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summarizes the purchase consideration paid, which consisted of cash consideration of $835,000 (adjusted for cash on hand, payment of certain Ardent US liabilities and other normal closing adjustments), resulting in gross cash consideration paid of $853,219. The final cash consideration was subject to normal post-closing adjustments and was settled in the third quarter of 2022.</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320" w:top="482"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purchase price and net assets acquired in the Main Event Acquisition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consideration</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13,794</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acquired</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(34,541)</w:t>
            </w: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832,472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338,275</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282,742</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20,118</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11,651</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41,977</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321,074</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23,696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6,273</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 excluding goodwill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318,089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514,383</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80" w:hanging="424"/>
        <w:spacing w:after="0" w:line="255"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obligation to pay, in cash, an aggregate amount equal to any “Transaction Tax Benefits,” with respect to any taxable year of the Company after the Closing Date ending on or before December 31, 2028, including the current taxable year. Transaction Tax Benefits is generally defined as any reduction in the Company’s liabilities for U.S. federal and state income taxes due to the use of net operating losses generated prior to the Closing Date. The contingent consideration could range from $0 (if no Transaction Tax Benefits are achieved) to a cap, as defined in the Merger Agreement of approximately $14,600 (undiscounted) and will be paid to the selling shareholders in cash. The contingent consideration was initially valued based on the present value of the maximum amount provided in the Merger Agreement pending completion of the valuation analysis.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for the Acquisition was based on estimates of the fair value of the net assets acquired and are subject to adjustment for up to one year upon finalization, largely with respect to acquired property and equipment; lease assets and liabilities; deferred taxes; and contingent consideration. Measurements of these items inherently require significant estimates and assumptions considered to be Level Three fair value estimates.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fair values of property and equipment were determined using a cost approach that utilized the Replacement Cost New methodology. Key inputs and assumptions include current cost estimates, functional and economic obsolescence. The fair values of the real estate leases were determined using a market approach that utilized the Above-Below Regression methodology. Key inputs and assumptions include mean rental rates (based on metrics such as rent/revenue and operating cash flow/revenue) and discount rate. The fair value of the tradename was determined using an income approach that utilized the Relief from Royalty methodology. Key inputs and assumptions include the Company’s projected future EBITDA, royalty rates, discount rate, and long-term growth rate.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preliminary fair values of acquisition-related intangible assets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Useful Life(Yrs)</w:t>
            </w: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Favorable/(unfavorable) lease contracts, net</w:t>
            </w:r>
          </w:p>
        </w:tc>
        <w:tc>
          <w:tcPr>
            <w:tcW w:w="1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(2,866)</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99,200</w:t>
            </w:r>
          </w:p>
        </w:tc>
        <w:tc>
          <w:tcPr>
            <w:tcW w:w="4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Indefinite</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15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96,334</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preliminary allocation of the purchase price consideration is based on preliminary valuations performed to determine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net assets as of the Closing Date. The Company has conducted a preliminary assessment of the valuations and has recognized provisional deferred income tax amounts in its preliminary allocation for the identified assets and liabilities. However, the Company is continuing its procedures to identify information pertaining to these matters during the measurement period. If new information is obtained about facts and circumstances that existed at the Closing Date, the Company will either adjust its measurement of provisional deferred income tax amounts or recognize and measure assets and liabilities not previously identified.</w:t>
      </w:r>
    </w:p>
    <w:p>
      <w:pPr>
        <w:sectPr>
          <w:pgSz w:w="11900" w:h="16838" w:orient="portrait"/>
          <w:cols w:equalWidth="0" w:num="1">
            <w:col w:w="11080"/>
          </w:cols>
          <w:pgMar w:left="320" w:top="482" w:right="499" w:bottom="1440" w:gutter="0" w:footer="0" w:header="0"/>
        </w:sectPr>
      </w:pP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82" w:right="4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reflect the Acquisition as if it had occurred on February 1, 2021, the unaudited pro forma results include adjustments to reflect, among other things, the interest expense from debt financings obtained to partially fund the cash consideration transferred. Pro forma adjustments were tax effected at the Company’s historical statutory rates in effect for the respective periods. The unaudited pro forma amounts are not necessarily indicative of the combined results of operations that would have been realized had the acquisitions and related financings occurred on the aforementioned dates, nor are they meant to be indicative of any anticipated combined results of operations that the Company will experience after the transaction. In addition, the amounts do not include any adjustments for actions that may be taken following the completion of the transaction, such as expected cost savings, operating synergies, or revenue enhancements that may be realized subsequent to the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unaudited pro forma information provides the effect of the Main Event Acquisition as if the acquisition had occurred on February 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334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10/30/2022</w:t>
            </w:r>
          </w:p>
        </w:tc>
        <w:tc>
          <w:tcPr>
            <w:tcW w:w="5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10/31/2021</w:t>
            </w:r>
          </w:p>
        </w:tc>
        <w:tc>
          <w:tcPr>
            <w:tcW w:w="40" w:type="dxa"/>
            <w:vAlign w:val="bottom"/>
            <w:tcBorders>
              <w:bottom w:val="single" w:sz="8" w:color="CCEEFF"/>
            </w:tcBorders>
          </w:tcPr>
          <w:p>
            <w:pPr>
              <w:spacing w:after="0"/>
              <w:rPr>
                <w:sz w:val="12"/>
                <w:szCs w:val="12"/>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1,601,279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1,240,263</w:t>
            </w:r>
          </w:p>
        </w:tc>
        <w:tc>
          <w:tcPr>
            <w:tcW w:w="40" w:type="dxa"/>
            <w:vAlign w:val="bottom"/>
            <w:shd w:val="clear" w:color="auto" w:fill="CCEEFF"/>
          </w:tcPr>
          <w:p>
            <w:pPr>
              <w:spacing w:after="0"/>
              <w:rPr>
                <w:sz w:val="18"/>
                <w:szCs w:val="18"/>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86,740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62,313</w:t>
            </w:r>
          </w:p>
        </w:tc>
      </w:tr>
    </w:tbl>
    <w:p>
      <w:pPr>
        <w:spacing w:after="0" w:line="17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Main Event’s revenues attributable to the Company in the thirteen and thirty-nine weeks ended October 30, 2022, subsequent to the acquisition date, were $106,803 and $158,208, respectively. Main Event’s net income attributable to the Company in the thirteen and thirty-nine weeks ended October 30, 2022, subsequent to the acquisition date, were $780 and $6,448, respectively.</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historical consolidated financial information of the Company and Main Event has been adjusted in the pro forma information to give effect to pro forma events that are directly attributable to the acquisition and related financing arrangements and are factually supportable.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 Net</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Goodwill is evaluated at the reporting unit level. Goodwill is not subject to amortization and is evaluated for impairment annually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frequently if an event occurs or circumstances change that would more likely than not reduce the fair value below carrying amount. Such events or circumstances generally include the occurrence of operating losses or a significant decline in earnings. The Company is permitted to first assess qualitative factors to determine whether the quantitative goodwill impairment test is necessary. If the qualitative assessment results in a determination that the fair value is more likely than not less than carrying amount, the Company performs a quantitative goodwill impairment test. The Company may bypass the qualitative assessment in any period and proceed directly to the goodwill impairment test. The Company estimates fair value by using forecasts of discounted future cash flows and peer market multiples. The Company would record an impairment charge based on the excess of the carrying amount over fair value (limited to the amount of goodwill). The Company determined that no impairments existed in periods reflected. The carrying amount of goodwill is impacted by foreign currency translation adjustments.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during fiscal 2022 and fiscal 2021 are as follows: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$272,597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Currency adjustment</w:t>
            </w:r>
          </w:p>
        </w:tc>
        <w:tc>
          <w:tcPr>
            <w:tcW w:w="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272,597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Currency adjustment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Main Event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514,383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Balance at October 30,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787,048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0" w:right="5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 Intangible assets consist of favorable and unfavorable lease contracts and tradenames. Favorable and unfavorable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with definite lives are being amortized using the straight-line method over their estimated useful lives, which range up to 10 years. The Company reviews these intangible assets for impairment when indication of potential impairment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312" w:lineRule="auto"/>
        <w:rPr>
          <w:sz w:val="20"/>
          <w:szCs w:val="20"/>
          <w:color w:val="auto"/>
        </w:rPr>
      </w:pPr>
      <w:r>
        <w:rPr>
          <w:rFonts w:ascii="Times New Roman" w:cs="Times New Roman" w:eastAsia="Times New Roman" w:hAnsi="Times New Roman"/>
          <w:sz w:val="17"/>
          <w:szCs w:val="17"/>
          <w:color w:val="auto"/>
        </w:rPr>
        <w:t>exists, such as a significant reduction in cash flows associated with the assets. When impairment indicators exist, the Company determines whether the carrying value of its intangible assets exceeds the related undiscounted cash flows. In these situations, the carrying value is written down to fair value.</w:t>
      </w:r>
    </w:p>
    <w:p>
      <w:pPr>
        <w:spacing w:after="0" w:line="140"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Tradenames with indefinite lives are not amortized and are reviewed for impairment annually or whenever events or changes in circumstances indicate they may be impaired. The Company may perform an optional qualitative assessment. If the Company determines that the fair value of the indefinite-lived intangible asset is more likely than not greater than its carrying amount, no additional testing is necessary. If not, or if the Company bypasses the optional qualitative assessment, the carrying value is written down to the fair value, if applicable.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carrying amount of intangibles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160" w:type="dxa"/>
            <w:vAlign w:val="bottom"/>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Favorable/unfavorable lease contracts, net</w:t>
            </w: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Tradenames (indefinite lived)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178,200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79,000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0"/>
                <w:szCs w:val="20"/>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estimated amortization of our net unfavorable lease contracts as of October 30, 2022:</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159</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636</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636</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636</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636</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Accrued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end of each period: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108,417</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net (1)</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59,682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45,445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47,939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27,447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15,394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11,855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16,438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Occupancy costs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11,690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20,575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22,998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8,629</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9,800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14,137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7,189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5,262</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insurance</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6,700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18,870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16,233</w:t>
            </w:r>
          </w:p>
        </w:tc>
      </w:tr>
      <w:tr>
        <w:trPr>
          <w:trHeight w:val="27"/>
        </w:trPr>
        <w:tc>
          <w:tcPr>
            <w:tcW w:w="4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339,254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248,493</w:t>
            </w:r>
          </w:p>
        </w:tc>
      </w:tr>
      <w:tr>
        <w:trPr>
          <w:trHeight w:val="20"/>
        </w:trPr>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0" w:hanging="424"/>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leasehold incentive receivables of $11,274 and $10,064 as of October 30, 2022 and January 30, 2022, respectively, is reflected as a reduction of the current portion of operating lease liabilities.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fiscal 2020 and the first half of fiscal 2021, the Company entered into rent relief agreements with our respective landlords. The Company elected to apply an available practical expedient to account for lease concessions and deferrals resulting directly from the COVID-19 pandemic as though the enforceable rights and obligations to the deferrals existed in the respective contracts at lease inception and not account for the concessions as lease modifications unless the concession results in a substantial increase in the Company’s obligations. The majority of rent relief agreements qualified for this accounting election, and the remaining agreements were treated as lease modifications, primarily due to a significant extension of the lease term. The Company has bifurcated our current operating lease liabilities into the portion that remains subject to accretion and the portion that is accounted for as a deferral of payments. The current portion of deferred occupancy costs is included in “Accrued liabilities” and the balance, or $3,994 and $8,434 as of October 30, 2022, and January 30, 2022, respectively, is included in “Other liabilities” in the Consolidated Balance Sheets.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5"/>
                <w:szCs w:val="15"/>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3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10/30/2022</w:t>
            </w:r>
          </w:p>
        </w:tc>
        <w:tc>
          <w:tcPr>
            <w:tcW w:w="9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10/31/2021</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10/30/2022</w:t>
            </w: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10/31/2021</w:t>
            </w:r>
          </w:p>
        </w:tc>
        <w:tc>
          <w:tcPr>
            <w:tcW w:w="60" w:type="dxa"/>
            <w:vAlign w:val="bottom"/>
          </w:tcPr>
          <w:p>
            <w:pPr>
              <w:spacing w:after="0"/>
              <w:rPr>
                <w:sz w:val="12"/>
                <w:szCs w:val="12"/>
                <w:color w:val="auto"/>
              </w:rPr>
            </w:pP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$ 46,107</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$ 33,915</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$119,713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$100,506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lease payments on operating lease liabilities were as follows as of October 30, 2022, by fiscal year:</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35,717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191,775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192,162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193,349</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194,597</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1,799,995</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operating lease liability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2,607,595</w:t>
            </w: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(952,729)</w:t>
            </w: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1,654,866</w:t>
            </w:r>
          </w:p>
        </w:tc>
        <w:tc>
          <w:tcPr>
            <w:tcW w:w="100" w:type="dxa"/>
            <w:vAlign w:val="bottom"/>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Operating lease payments in the table above includes minimum lease payments for future sites for which the leases have commenced. Operating lease payments exclude approximately $207,000 of minimum lease payments for twelve executed facility leases which have not yet commenced.</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850,000</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outstanding</w:t>
            </w: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1,290,000</w:t>
            </w: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Pr>
          <w:p>
            <w:pPr>
              <w:spacing w:after="0"/>
              <w:rPr>
                <w:sz w:val="18"/>
                <w:szCs w:val="18"/>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Original issue discount on term loan</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(40,456)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19"/>
                <w:szCs w:val="19"/>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(18,836)</w:t>
            </w: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(8,605)</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1,222,208</w:t>
            </w: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431,395</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fiscal 2020, the Company issued $550,000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$110,000 outstanding principal amount of the Notes, and paid prepayment premiums of $3,300, plus accrued and unpaid interest to the date of redemptions. The early redemptions of the Notes resulted in a loss on extinguishment of approximately $2,300 related to a proportional amount of unamortized issuance costs. Beginning October 27, 2022, the Company may elect to further redeem the Notes, in whole or in part, at certain specified redemption prices, plus accrued and unpaid interest, at the redemption date.</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Main Event Acquisition on June 29, 2022, D&amp;B Inc entered into a senior secured credit agreement, which refinanced the $500,000 existing revolving facility, extended the maturity date to June 29, 2027, and added a new term loan facility in the aggregate principal amount of $850,000, with a maturity date of June 29, 2029 (“Credit Facility”). The proceeds of the term loan, net of an original issue discount of $42,500, were used to pay the consideration for the Acquisition. The revolving credit facility can expire before the stated maturity date if the aggregate outstanding principal amount of the Notes exceeds $100,000 ninety-one days prior to November 1, 2025. A portion of the revolving facility not to exceed $35,000 is available for the issuance of letters of credit. At the end of the third quarter of fiscal 2022, we had letters of credit outstanding of $8,905 and an unused commitment balance of $491,095 under the revolving facility. The Credit Facility may be increased through incremental facilities, by an amount equal to the greater of (i) $400,000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interest rates per annum applicable to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After the Company’s third quarter of fiscal 2022, the margin for SOFR revolving loans are subject to a pricing grid based on net total leverage, ranging from 4.25% to 4.75%, and commitment fees are subject to a pricing grid based on net total leverage, ranging from 0.30% to 0.50%.</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Amortization of debt issuance costs and original issue discount was $2,882 and $5,477 for the thirteen and thirty-nine weeks ended October 30, 2022, and $1,070 and $3,275 for the thirteen and thirty-nine weeks ended October 31, 2021, respectively, and is included in “Interest expense, net” in the Consolidated Statements of Comprehensive Income. For the thirty-nine weeks ended October 30, 2022, and October 31, 2021, the Company’s weighted average effective interest rate on our total debt facilities (before capitalized interest amounts) was 9.5% and 10.3%, respectively. During the second quarter of fiscal 2022, the Company recognized a loss of $1,479, related to the write off of unamortized debt issuance costs associated with exiting creditors of the refinanced revolving facility.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beginning with the Company’s first full fiscal quarter after the Closing Date. We were in compliance with our covenants and the terms of our debt agreements as of October 30,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The Company’s assessments of potential liabilities associated with these claims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w:t>
      </w:r>
    </w:p>
    <w:p>
      <w:pPr>
        <w:spacing w:after="0" w:line="1"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the ultimate costs of resolving these cases may be substantially higher or lower than estimated. The Company continues to aggressively defend these cases.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Share-Based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expense related to share-based compensation was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40" w:type="dxa"/>
            <w:vAlign w:val="bottom"/>
          </w:tcPr>
          <w:p>
            <w:pPr>
              <w:spacing w:after="0"/>
              <w:rPr>
                <w:sz w:val="12"/>
                <w:szCs w:val="12"/>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share-based compensation award activity during the thirty-nine weeks ended October 30, 2022 were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000s)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1,006,933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922,799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513,420</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1,640,283</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(175,699)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adjusted units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vestings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(541,476)</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(26,166)</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(127,626)</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30, 2022</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1,318,488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unrecognized compensation expense</w:t>
            </w:r>
          </w:p>
        </w:tc>
        <w:tc>
          <w:tcPr>
            <w:tcW w:w="1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51,145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Fair value of our time-based and performance-based restricted stock units is based on our closing stock price on the date of grant. The grant date fair value of stock options was determined using the Black-Scholes option valuation model. The grant date fair value of performance-based awards with market conditions was determined using the Monte Carlo valuation model. The unrecognized expense will all be substantially recognized through the end of fiscal 2025.</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2022, the Company granted certain options, time-based, performance-based, and market-based restricted stock units to the newly appointed chief executive officer. The majority of these grants vest over five years, but the market-based restricted stock units can vest earlier if the targets are achieved prior to that time. As a result, the requisite service period for such grants was determined to be less than the explicit service period.</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2022, the Company granted certain options, time-based, performance-based, and market-based restricted stock units to its executive officers and other senior executives. The fair value of these grants was approximately $27,500 and the majority of these awards will vest over five years, but the market-based restricted stock units can vest earlier if the targets are achieved prior to that time. As a result, the requisite service period for such grants was determined to be less than the explicit service period.</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During the thirty-nine weeks ended October 30, 2022 and October 31, 2021, excess tax expense (benefit) of $(2,108) and $(6,034), respectively, were recognized in the “Provision for income taxes” in the Consolidated Statement of Comprehensive Income and classified as a source in operating activities in the Consolidated Statement of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thirty-nine weeks ended October 30, 2022, was 22.8%, compared to 13.4% for the thirty-nine weeks ended October 31, 2021. The previous year tax provision includes higher excess tax benefits associated with share-based compensation and credits associated with the reversal of certain tax valuation allowances.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The application of the technical amendments made by the CARES Act to qualified improvement property resulted in additional tax net operating losses which were carried back from fiscal 2020 and fiscal 2019 to years with a higher federal corporate income tax rate. During the second quarter of fiscal 2021, the Company filed the fiscal 2020 carryback claims for federal tax refunds of approximately $57,400, of which approximately $33,200 were received during the first quarter of fiscal 2022.</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29, 2022.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29, 2022.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21"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On June 29, 2022, the Company completed its previously announced Main Event Acquisition. As of October 30, 2022, there were 49 family entertainment centers under the name Main Event and 3 family entertainment centers under the name The Summit (collectively referred to as “Main Event”), operating in 17 states. Refer to Note 2,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to the Unaudited Consolidated Financial Statements for further details.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Financial Highlights</w:t>
      </w:r>
    </w:p>
    <w:p>
      <w:pPr>
        <w:spacing w:after="0" w:line="135" w:lineRule="exact"/>
        <w:rPr>
          <w:sz w:val="20"/>
          <w:szCs w:val="20"/>
          <w:color w:val="auto"/>
        </w:rPr>
      </w:pPr>
    </w:p>
    <w:p>
      <w:pPr>
        <w:ind w:left="1080" w:right="34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revenue of $481,206 increased 51.3% from the third quarter of 2021 and increased 60.7% from the third quarter of 2019. Main Event branded stores contributed $106,803 of revenue during the quarter.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at Dave &amp; Buster’s branded stores increased 13.8% compared with the same period in 2021 and 13.6% compared with the same period in 2019.</w:t>
      </w:r>
    </w:p>
    <w:p>
      <w:pPr>
        <w:spacing w:after="0" w:line="67"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$1,918, or 4 cents per diluted share, compared with net income of $10,585, or 21 cents per diluted share in the third quarter of 2021 and net income of $482, or 2 cents per diluted share in the third quarter of 2019. Net income in the third quarter of fiscal 2022 was impacted by $4,029 of incremental acquisition and integration costs related to the Main Event Acquisition.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$89,973 increased 31.9% from the third quarter of 2021 and increased 94.4% from the third quarter of 2019.</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quarter with $108,211 in cash and $491,095 of liquidity available under the Company’s revolving credit facility.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names “Dave &amp; Buster’s” and “Main Event”.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Dave &amp; Buster’s stores, which average 40,000 square feet, range in size between 16,000 and 70,000 square feet. Our Main Event stores, which average 54,000 square feet, range in size between 46,000 and 74,000 square feet. Generally, our stores are open seven days a week, with normal hours of operation generally from between 10:00 to 11:30 a.m. until midnight, with stores typically open for extended hours on weekends.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These measures include:</w:t>
      </w:r>
    </w:p>
    <w:p>
      <w:pPr>
        <w:spacing w:after="0" w:line="158"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2022 is defined as stores open for a full 18 months before the beginning of fiscal 2020 and excludes two stores that the Company elected not to reopen after they were closed in March 2020 due to local operating limitations and one store in Cary, North Carolina that was closed and relocated during the fourth quarter of fiscal 2021. For the first through third quarter of fiscal 2022, our comparable store base consisted of 113 stores. Our Main Event stores were not included in comparable store sales for the thirteen and thirty-nine weeks ended October 30, 2022.</w:t>
      </w:r>
    </w:p>
    <w:p>
      <w:pPr>
        <w:spacing w:after="0" w:line="18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For the thirty-nine weeks ended October 30, 2022, we opened seven new Dave &amp; Buster’s stores.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9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(loss)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 or 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on a 52 or 53-week fiscal year that ends on the Sunday after the Saturday closest to January 31. Each quarterly period has 13 weeks,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in a 53-week year when the fourth quarter has 14 weeks. All references to the third quarter of 2022 relate to the 13-week period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30, 2022. All references to the third quarter of 2021 relate to the 13-week period ended October 31, 2021. All references to the third quarter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relate to the 13-week period ended November 3, 2019. Fiscal 2022, fiscal 2021 and fiscal 2019 consist of 52 weeks. All dollar amounts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presented in thousands, unless otherwise noted, except share and per share amounts.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new stores historically open with sales volumes in excess of their expected long-term run-rate levels, which we refer to as a “honeymoon” effect. We traditionally expect our new store sales volumes in year two to be approximately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80"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6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 October 30, 2022 Compared to Thirteen Weeks Ended October 31, 2021</w:t>
      </w:r>
    </w:p>
    <w:p>
      <w:pPr>
        <w:spacing w:after="0" w:line="117"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0" w:type="dxa"/>
            <w:vAlign w:val="bottom"/>
          </w:tcPr>
          <w:p>
            <w:pPr>
              <w:spacing w:after="0"/>
              <w:rPr>
                <w:sz w:val="13"/>
                <w:szCs w:val="13"/>
                <w:color w:val="auto"/>
              </w:rPr>
            </w:pPr>
          </w:p>
        </w:tc>
        <w:tc>
          <w:tcPr>
            <w:tcW w:w="15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9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165,855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107,747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315,351</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210,229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481,206</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317,976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48,939</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30,082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27,316</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22,531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76,255</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52,613</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125,919</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78,995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163,846</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103,322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32,777</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22,104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48,427</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34,381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3,874</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451,098</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293,507</w:t>
            </w: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30,108</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24,469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28,374</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13,423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8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320" w:type="dxa"/>
            <w:vAlign w:val="bottom"/>
            <w:vMerge w:val="continue"/>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30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comparable store sales (1)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at end of period (1)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stores at end of period (1)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60" w:hanging="424"/>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comparable store count as of the end of the third quarter of fiscal 2022 excludes a store in Cary, North Carolina, which was closed and relocated during the fourth quarter of fiscal 2021. Company-owned stores as of October 30, 2022, include 52 Main Event stores, which were acquired on June 29, 2022. These stores are not considered comparable stores.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320" w:top="482"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1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2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6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Borders>
              <w:bottom w:val="single" w:sz="8" w:color="CCEEFF"/>
            </w:tcBorders>
          </w:tcPr>
          <w:p>
            <w:pPr>
              <w:spacing w:after="0"/>
              <w:rPr>
                <w:sz w:val="15"/>
                <w:szCs w:val="15"/>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1,918</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$10,585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28,374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13,423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(2,368)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48,427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34,381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78,535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58,850</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3,778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2,092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3,112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89,973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68,209</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hanging="424"/>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$4,029 in costs related to the acquisition and integration of Main Event for the thirteen weeks ended October 30, 2022 and approximately $3,100 of severance costs for the thirteen weeks ended October 31, 2021. Refer to Note 2 of the Unaudited Consolidated Financial Statements for more information.</w:t>
      </w:r>
    </w:p>
    <w:p>
      <w:pPr>
        <w:spacing w:after="0" w:line="27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left="2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30,108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$24,469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32,777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22,104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48,427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34,381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2,092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115,186</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83,046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380" w:type="dxa"/>
            <w:vAlign w:val="bottom"/>
          </w:tcPr>
          <w:p>
            <w:pPr>
              <w:spacing w:after="0"/>
              <w:rPr>
                <w:sz w:val="13"/>
                <w:szCs w:val="13"/>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3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3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10"/>
        </w:trPr>
        <w:tc>
          <w:tcPr>
            <w:tcW w:w="3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3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44,524</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2,893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9,455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8,402</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3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w:t>
            </w:r>
          </w:p>
        </w:tc>
        <w:tc>
          <w:tcPr>
            <w:tcW w:w="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3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20,625</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5,717</w:t>
            </w:r>
          </w:p>
        </w:tc>
      </w:tr>
      <w:tr>
        <w:trPr>
          <w:trHeight w:val="365"/>
        </w:trPr>
        <w:tc>
          <w:tcPr>
            <w:tcW w:w="3920" w:type="dxa"/>
            <w:vAlign w:val="bottom"/>
          </w:tcPr>
          <w:p>
            <w:pPr>
              <w:spacing w:after="0"/>
              <w:rPr>
                <w:sz w:val="24"/>
                <w:szCs w:val="24"/>
                <w:color w:val="auto"/>
              </w:rPr>
            </w:pPr>
          </w:p>
        </w:tc>
        <w:tc>
          <w:tcPr>
            <w:tcW w:w="33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March 2020, a novel strain of coronavirus (“COVID-19”) outbreak was declared a global pandemic and a National Public Health Emergency. Shortly after the national emergency declaration, state and local officials began placing restrictions on businesses, some of which allowed To-Go or curbside service only while others limited capacity in the dining room or arcade “(Midway”). By March 20, 2020, all our 137 operating stores were temporarily closed. On April 30, 2020, our first store re-opened to the public, and by the end of fiscal 2020, 107 of our 140 stores were open and operating. These stores were operating with a combination of limited menus, reduced dining room seating, reduced game availability in the Midway, reduced operating hours and other restrictions referred to as “limited operations” or “operating in limited capacity.” As of the end of the first quarter of fiscal 2021, 138 of our 141 stores were operating in some limited capacity. The Company re-opened the remaining stores that had been temporarily closed by the end of the second quarter of fiscal 2021. During the first quarter of fiscal 2022 any remaining local COVID-19 related operating restrictions on re-opened stores were removed.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29, 2022, the Company completed the Main Event Acquisition, acquiring 49 Main Event and 3 The Summit stores.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720" w:type="dxa"/>
            <w:vAlign w:val="bottom"/>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481,206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317,976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163,230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257,732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revenues—Dave &amp; Buster’s</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weeks—Dave &amp; Buster’s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revenues—Main Event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106,803</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weeks—Main Event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and deferrals—Dave &amp; Buster’s</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6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(3,813)</w:t>
            </w:r>
          </w:p>
        </w:tc>
      </w:tr>
    </w:tbl>
    <w:p>
      <w:pPr>
        <w:spacing w:after="0" w:line="19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Total revenues increased $163,230, or 51.3%, to $481,206 in the third quarter of fiscal 2022 compared to total revenues of $317,976 in the third quarter of fiscal 2021. The increase in revenue is primarily attributable to $106,803 in revenue from our Main Event stores, and a 13.8% increase in comparable store sales. The table below represents our revenue mix for the fiscal periods indicated. The shift in mix from amusement sales to food and beverage sales is due, in part, to increased special events, and food price increases effective midway through the third quarter of fiscal 2021.</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28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040" w:type="dxa"/>
            <w:vAlign w:val="bottom"/>
            <w:tcBorders>
              <w:top w:val="single" w:sz="8" w:color="auto"/>
            </w:tcBorders>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sales</w:t>
            </w:r>
          </w:p>
        </w:tc>
        <w:tc>
          <w:tcPr>
            <w:tcW w:w="104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shd w:val="clear" w:color="auto" w:fill="CCEEFF"/>
          </w:tcPr>
          <w:p>
            <w:pPr>
              <w:spacing w:after="0"/>
              <w:rPr>
                <w:sz w:val="18"/>
                <w:szCs w:val="18"/>
                <w:color w:val="auto"/>
              </w:rPr>
            </w:pPr>
          </w:p>
        </w:tc>
        <w:tc>
          <w:tcPr>
            <w:tcW w:w="2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23.5%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Beverage sales</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sales</w:t>
            </w:r>
          </w:p>
        </w:tc>
        <w:tc>
          <w:tcPr>
            <w:tcW w:w="2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64.3%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Comparable store revenue increased $35,686 or 13.8%, in the third quarter of fiscal 2022 compared to the third quarter of fiscal 2021, due to the reasons noted above, including a 0.2% increase in comparable store operating weeks. Comparable store sales in the third quarter of fiscal 2022 increased 13.6% compared to the third quarter of fiscal 2019.</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Food sales at comparable stores increased by $11,998, or 20.2%, to $71,518 in the third quarter of fiscal 2022 from $59,520 in the third quarter of fiscal 2021. Beverage sales at comparable stores increased by $4,093, or 13.7%, to $33,930 in the third quarter of fiscal 2022 from $29,837 in the 2021 comparison period. Comparable store amusement and other revenues in the third quarter of fiscal 2022 increased by $19,595, or 11.6%, to $187,968 from $168,373 in the comparable period of fiscal 2021.</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Dave &amp; Buster’s non-comparable store revenue increased $24,556 in the third quarter of fiscal 2022 compared to the third quarter of fiscal 2021, for the same reasons noted above, including 86 more store operating weeks.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total cost of products was $76,255 for the third quarter of fiscal 2022 and $52,613 for the third quarter of fiscal 2021. The total cost of products as a percentage of total revenues decreased to 15.8% for the third quarter of fiscal 2022 compared to 16.5% for the third quarter of fiscal 2021.</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increased to $48,939 compared to $30,082 for the third quarter of fiscal 2021. Cost of food and beverage products, as a percentage of food and beverage revenues, increased to 29.5% for the third quarter of fiscal 2022 from 27.9% for the third quarter of fiscal 2021. The unfavorable impacts of commodity cost increases primarily in grocery products during the third quarter of fiscal 2022 were partially offset by poultry cost decreases and food price increases.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increased to $27,316 in the third quarter of fiscal 2022 compared to $22,531 in the third quarter of fiscal 2021. The costs of amusement and other, as a percentage of amusement and other revenues, decreased to 8.7% for the third quarter of fiscal 2022 from 10.7% in the third quarter of fiscal 2021. This decrease was driven primarily by a change in prices at the game level implemented late in fiscal 2021 and lower amusement product costs.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Total operating payroll and benefits increased by $46,924 to $125,919 in the third quarter of fiscal 2022 compared to $78,995 in the third quarter of fiscal 2021. Total operating payroll and benefits for the third quarter of fiscal 2022 included approximately $34,529 of payroll and benefits from our Main Event stores. The total cost of operating payroll and benefits as a percentage of total revenues was 26.2% in the third quarter of fiscal 2022 compared to 24.8% in the third quarter of fiscal 2021. This increase is primarily due to an hourly wage rate increase, partially offset by lower incentive compensation as the third quarter of fiscal 2021 included referral and retention incentives.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Other store operating expenses increased by $60,524, or 58.6%, to $163,846 in the third quarter of fiscal 2022 compared to $103,322 in the third quarter of fiscal 2021. The increase is primarily due to the addition of $35,149 of operating costs related to our Main Event stores, the impact of new Dave &amp; Buster’s store openings, utilities, maintenance, higher security cost, cleaning services and higher marketing spend. Other store operating expense as a percentage of total revenues increased to 34.0% in the third quarter of fiscal 2022 compared to 32.5% in the third quarter of fiscal 2021. This increase in basis points was due primarily to increased security costs, cleaning services, and higher marketing spend.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$10,673 to $32,777 in the third quarter of fiscal 2022 compared to $22,104 in the third quarter of fiscal 2021. The increase in general and administrative expenses was driven primarily by $4,029 of transaction and integration costs related to the Main Event Acquisition, and higher payroll and incentive compensation, including the addition of Main Event store support center personnel. General and administrative expenses as a percentage of total revenues decreased to 6.8% in the third quarter of fiscal 2022 compared to 7.0% in the third quarter of fiscal 2021 due primarily to sales leverage.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$48,427 in the third quarter of fiscal 2022 compared to $34,381 in the third quarter of fiscal 2021, primarily due to the addition of Main Event.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Pre-opening costs increased by $1,782 to $3,874 in the third quarter of fiscal 2022 compared to $2,092 in the third quarter of fiscal 2021 due largely to an increase in the number of new Dave &amp; Buster’s store openings compared to the same time period of the previous year and due to $772 of pre-opening costs related to Main Event stores.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$14,951 to $28,374 in the third quarter of fiscal 2022 compared to $13,423 in the third quarter of fiscal 2021 due primarily to an increase in average outstanding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third quarter of fiscal 2022 was a benefit of 10.6%, compared to a benefit of 28.8% for the third quarter of fiscal 2021. The previous quarter tax provision includes higher excess tax benefits associated with share-based compensation and credits associated with the reversal of certain tax valuation allowances.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Thirty-nine Weeks Ended October 30, 2022 Compared to Thirty-nine Weeks Ended October 31, 2021</w:t>
      </w:r>
    </w:p>
    <w:p>
      <w:pPr>
        <w:spacing w:after="0" w:line="117"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100" w:type="dxa"/>
            <w:vAlign w:val="bottom"/>
          </w:tcPr>
          <w:p>
            <w:pPr>
              <w:spacing w:after="0"/>
              <w:rPr>
                <w:sz w:val="13"/>
                <w:szCs w:val="13"/>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left="29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474,762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316,511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925,904</w:t>
            </w:r>
          </w:p>
        </w:tc>
        <w:tc>
          <w:tcPr>
            <w:tcW w:w="3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644,443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1,400,666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960,954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138,655</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86,366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83,157</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63,729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221,812</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150,095</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332,954</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209,897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430,711</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292,883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98,784</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57,665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120,329</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104,355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10,784</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5,427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1,215,374</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820,322</w:t>
            </w:r>
          </w:p>
        </w:tc>
        <w:tc>
          <w:tcPr>
            <w:tcW w:w="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185,292</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140,632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56,883</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41,971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1,479</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2,829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126,930</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95,832</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12,842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97,990</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82,990</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comparable store sales (1)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at end of period (1)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stores at end of period (1)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80" w:hanging="424"/>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comparable store count as of the end of the third quarter of fiscal 2022 excludes a store in Cary, North Carolina, which was closed and relocated during the fourth quarter of fiscal 2021. Company-owned stores as of October 30, 2022, includes 52 Main Event stores, which were acquired on June 29, 2022. These stores are not considered comparable stores.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82"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100" w:type="dxa"/>
            <w:vAlign w:val="bottom"/>
          </w:tcPr>
          <w:p>
            <w:pPr>
              <w:spacing w:after="0"/>
              <w:rPr>
                <w:sz w:val="13"/>
                <w:szCs w:val="13"/>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48"/>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left="2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67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Borders>
              <w:bottom w:val="single" w:sz="8" w:color="CCEEFF"/>
            </w:tcBorders>
          </w:tcPr>
          <w:p>
            <w:pPr>
              <w:spacing w:after="0"/>
              <w:rPr>
                <w:sz w:val="15"/>
                <w:szCs w:val="15"/>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97,990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82,990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56,883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41,971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28,940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12,842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120,329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104,355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305,621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244,987</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11,481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9,936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10,784</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22,431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352,770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264,066</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60" w:hanging="424"/>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$22,299 in costs related to the acquisition and integration of Main Event. Refer to Note 2 of the Unaudited Consolidated Financial Statements for more information.</w:t>
      </w:r>
    </w:p>
    <w:p>
      <w:pPr>
        <w:spacing w:after="0" w:line="26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2"/>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4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$185,292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$140,632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98,784</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57,665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120,329</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104,355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415,189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308,079</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Payments from landlords.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40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49"/>
        </w:trPr>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400" w:type="dxa"/>
            <w:vAlign w:val="bottom"/>
          </w:tcPr>
          <w:p>
            <w:pPr>
              <w:spacing w:after="0"/>
              <w:rPr>
                <w:sz w:val="15"/>
                <w:szCs w:val="15"/>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09"/>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116,671</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22,231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12,809</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23,028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16,692</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69,873</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19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28,553</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7,802</w:t>
            </w:r>
          </w:p>
        </w:tc>
      </w:tr>
      <w:tr>
        <w:trPr>
          <w:trHeight w:val="364"/>
        </w:trPr>
        <w:tc>
          <w:tcPr>
            <w:tcW w:w="348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40"/>
          </w:cols>
          <w:pgMar w:left="320" w:top="482"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29, 2022, the Company completed the Main Event Acquisition, acquiring 49 Main Event and 3 The Summit stores.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58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1,400,666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960,954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439,712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995,860</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789,143</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206,717</w:t>
            </w: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revenues—Dave &amp; Buster’s</w:t>
            </w: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184,492</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weeks—Dave &amp; Buster’s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revenues—Main Event</w:t>
            </w: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158,208</w:t>
            </w: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weeks—Main Event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and deferrals—Dave &amp; Buster’s</w:t>
            </w: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(8,661)</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(12,682)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Total revenues increased $439,712 to $1,400,666 in the thirty-nine weeks ended October 30, 2022, compared to total revenues of $960,954 in the thirty-nine weeks ended October 31, 2021. The increase in revenue is attributable to an additional 423 new Dave &amp; Buster’s store operating weeks, and a 26.2% increase in comparable store sales compared to the same period of the previous year, when some of our stores remained temporarily closed as a result of the COVID-19 pandemic, and the removal of local COVID-19 related operating restrictions on re-opened stores. The increase was also driven by $158,208 in revenue from our Main Event stores. The table below represents our revenue mix for the fiscal periods indicated. The shift in mix from amusement sales to food and beverage sales is due, in part, to increased special events, and food price increases effective midway through the third quarter of fiscal 2021.</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28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040" w:type="dxa"/>
            <w:vAlign w:val="bottom"/>
            <w:tcBorders>
              <w:top w:val="single" w:sz="8" w:color="auto"/>
            </w:tcBorders>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auto"/>
              </w:rPr>
              <w:t>October 30, 2022</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sales</w:t>
            </w:r>
          </w:p>
        </w:tc>
        <w:tc>
          <w:tcPr>
            <w:tcW w:w="104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shd w:val="clear" w:color="auto" w:fill="CCEEFF"/>
          </w:tcPr>
          <w:p>
            <w:pPr>
              <w:spacing w:after="0"/>
              <w:rPr>
                <w:sz w:val="18"/>
                <w:szCs w:val="18"/>
                <w:color w:val="auto"/>
              </w:rPr>
            </w:pPr>
          </w:p>
        </w:tc>
        <w:tc>
          <w:tcPr>
            <w:tcW w:w="2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23.1%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Beverage sales</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10.8%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sales</w:t>
            </w:r>
          </w:p>
        </w:tc>
        <w:tc>
          <w:tcPr>
            <w:tcW w:w="2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65.3%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8.0%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Comparable store revenue increased $206,717 or 26.2%, in the thirty-nine weeks ended October 30, 2022, compared to the comparable period of fiscal 2021, due to the reasons noted above, including a 4.8% increase in comparable store operating weeks. Comparable store sales in the thirty-nine weeks ended October 30, 2022, increased 11.2% compared to the comparable period of fiscal 2019.</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Food sales at comparable stores increased by $57,676 to $233,378 in the thirty-nine weeks ended October 30, 2022, from $175,702 in the comparable period of fiscal 2021. Beverage sales at comparable stores increased by $27,038 to $110,983 in the thirty-nine weeks ended October 30, 2022, from $83,945 in the comparable period of 2021. Comparable store amusement and other revenues in the thirty-nine weeks ended October 30, 2022, increased by $122,000 to $651,498 from $529,496 in the comparable period of fiscal 2021.</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Non-comparable Dave &amp; Buster’s store revenue increased $70,767 in the thirty-nine weeks ended October 30, 2022, compared to the comparable period of fiscal 2021, for the same reasons noted above, including 220 more store operating weeks.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82"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$221,812 for the thirty-nine weeks ended October 30, 2022, and $150,095 for the comparable period of fiscal 2021. The total cost of products as a percentage of total revenues increased to 15.8% for the thirty-nine weeks ended October 30, 2022, compared to 15.6% for the comparable period of fiscal 2021.</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increased to $138,655 compared to $86,366 for the comparable period of fiscal 2021. Cost of food and beverage products, as a percentage of food and beverage revenues, increased to 29.2% for the thirty-nine weeks ended October 30, 2022, from 27.3% for the comparable period of fiscal 2021. The increase was due to unfavorable impacts of commodity cost increases, primarily in meat and dairy products, during the first thirty-nine weeks of fiscal 2022, and were partially offset by food price increases.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increased to $83,157 in the thirty-nine weeks ended October 30, 2022, compared to $63,729 in the comparable period of fiscal 2021. The costs of amusement and other, as a percentage of amusement and other revenues, decreased to 9.0% for the thirty-nine weeks ended October 30, 2022, from 9.9% in the comparable period of fiscal 2021. This decrease was driven primarily by a change in prices at the game level implemented late in fiscal 2021.</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Total operating payroll and benefits increased by $123,057 to $332,954 in the thirty-nine weeks ended October 30, 2022, compared to $209,897 in the comparable period of fiscal 2021. The total cost of operating payroll and benefits as a percentage of total revenues was 23.8% in the thirty-nine weeks ended October 30, 2022, compared to 21.8% in the comparable period of fiscal 2021. This increase is primarily due to an hourly wage rate increase and an increase in labor hours worked as open positions were filled, partially offset by lower incentive compensation costs as fiscal 2021 included referral and retention incentives.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Other store operating expenses increased by $137,828 to $430,711 in the thirty-nine weeks ended October 30, 2022, compared to $292,883 in the comparable period of fiscal 2021. The increase is primarily due to higher utilities, supplies, maintenance, marketing, and other services as well as $47,920 of costs related to Main Event. Other store operating expense as a percentage of total revenues increased to 30.7% in the thirty-nine weeks ended October 30, 2022, compared to 30.5% in the comparable period of fiscal 2021. This increase was due primarily to the reasons noted above.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$41,119 to $98,784 in the thirty-nine weeks ended October 30, 2022, compared to $57,665 in the comparable period of fiscal 2021. The increase in general and administrative expenses was driven primarily by $22,299 of transaction and integration costs related to the Main Event Acquisition, $1,841 impairment of the existing Main Event corporate office right-of-use operating lease asset, and higher payroll and incentive compensation expense. General and administrative expenses, as a percentage of total revenues increased to 7.1% in the thirty-nine weeks ended October 30, 2022 compared to 6.0% in the comparable period of fiscal 2021 due to the reasons noted above.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to $120,329 in the thirty-nine weeks ended October 30, 2022, compared to $104,355 in the comparable period of fiscal 2021, primarily due to the addition of the Main Event. Incremental depreciation for Main Event was partially offset by a net decrease in depreciation expense at Dave &amp; Buster’s stores as the impact of assets reaching the end of their depreciable lives exceeded expense increases due to recent capital expenditures for new stores, operating initiatives, games, and maintenance capital.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Pre-opening costs increased by $5,357 to $10,784 in the thirty-nine weeks ended October 30, 2022, compared to $5,427 in the comparable period of fiscal 2021 due primarily to an increase in the number of new Dave &amp; Buster’s store openings compared to the same time period of the previous year.</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loss on debt refinancing</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$14,912 to $56,883 in the thirty-nine weeks ended October 30, 2022 compared to $41,971 in the comparable period of fiscal 2021 as a result of the acquisition-related debt incurrence of $850,000. In connection with the June 29, 2022 debt refinancing, the Company recorded a loss of $1,479, which is explained in Note 6 to the Consolidated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thirty-nine weeks ended October 30, 2022 was 22.8%, compared to 13.4% for the comparable period of fiscal 2021. The previous year tax provision includes higher excess tax benefits associated with share-based compensation and credits associated with the reversal of certain tax valuation allowances.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Main Event Acquisition on June 29, 2022, D&amp;B Inc entered into a senior secured credit agreement, which refinanced the $500,000 existing revolving facility, extended the maturity date to June 29, 2027, and added a new term loan facility in the aggregate principal amount of $850,000, with a maturity date of June 29, 2029 (“Credit Facility”). The proceeds of the term loan, net of an original issue discount of $42,500, were used to pay the consideration for the Acquisition. The revolving credit facility can expire before the stated maturity date if the aggregate outstanding principal amount of the Notes exceeds $100,000 ninety-one days prior to November 1, 2025. A portion of the revolving facility not to exceed $35,000 is available for the issuance of letters of credit. At the end of the third quarter of fiscal 2022, we had letters of credit outstanding of $8,905 and an unused commitment balance of $491,095 under the revolving facility. The Credit Facility may be increased through incremental facilities, by an amount equal to the greater of (i) $400,000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interest rates per annum applicable to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After the Company’s third quarter of fiscal 2022, the margin for SOFR revolving loans are subject to a pricing grid based on net total leverage, ranging from 4.25% to 4.75%, and commitment fees are subject to a pricing grid based on net total leverage, ranging from 0.30% to 0.50%.</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During fiscal 2020, the Company issued $550,000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$110,000 outstanding principal amount of the Notes, and paid prepayment premiums of $3,300, plus accrued and unpaid interest to the date of redemptions. The early redemptions of the Notes resulted in a loss on extinguishment of approximately $2,300 related to a proportional amount of unamortized issuance costs. Beginning October 27, 2022, the Company may elect to further redeem the Notes, in whole or in part, at certain specified redemption prices, plus accrued and unpaid interest, at the redemption date.</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Amortization of debt issuance costs and original issue discount was $2,882 and $5,477 for the thirteen and thirty-nine weeks ended October 30, 2022, and $1,070 and $3,275 for the thirteen and thirty-nine weeks ended October 31, 2021, respectively, and is included in “Interest expense, net” in the Consolidated Statements of Comprehensive Income. For the thirty-nine weeks ended October 30, 2022, and October 31, 2021, respectively, the Company’s weighted average effective interest rate on our total debt facilities (before capitalized interest amounts) was 9.5% and 10.3%, respectively. During the second quarter of fiscal 2022, the Company recognized a loss of $1,479, related to the write off of unamortized debt issuance costs associated with exiting creditors of the refinanced revolving facility.</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beginning with the first full fiscal quarter after the Closing Date. We were in compliance with the covenants and terms of our debt agreements as of October 30, 2022 and expect to remain in compliance through the end of fiscal 2022.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6, 2021, our Board of Directors approved a share repurchase program with an authorization limit of $100,000, expiring at the end of fiscal 2022. During the third quarter of fiscal 2022, the Company did not make any share repurchases under this program. The approximate dollar value of shares that may be repurchased under the plan as of October 30, 2022, is $74,985. There were no dividends declared during the thirty-nine weeks ended October 30, 2022. Future decisions to pay cash dividends or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October 30, 2022, the Company had cash and cash equivalents of $108,211.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 revolving credit facility and expected payments from landlords should be sufficient not only for our operating requirements but also to enable us, in the aggregate, to finance our capital allocation strategy, including capital expenditures, through at least the next twelve months.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comparison of our cash flow activity for the first three quarters of fiscal 2022 to the same period of fiscal 2021 follows.</w:t>
      </w:r>
    </w:p>
    <w:p>
      <w:pPr>
        <w:spacing w:after="0" w:line="2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 Cash flow from operating activities increased approximately $97,000 in the thirty-nine weeks ended October 30, 2022 compared to the thirty-nine weeks ended October 31, 2021 driven primarily by 423 more store weeks for Dave &amp; Busters, 936 store weeks for Main Event, and the receipt of a federal tax refund in the amount of approximately $33,200. These increases in cash flow from operating activities were offset by the payment of acquisition and integration costs of approximately $22,300.</w:t>
      </w:r>
    </w:p>
    <w:p>
      <w:pPr>
        <w:spacing w:after="0" w:line="18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from investing activities primarily reflects the Main Event Acquisition for cash consideration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$819,000, which is net of cash acquired of approximately $34,000. During the thirty-nine weeks ended October 30, 2022, the Company spent approximately $114,600 for new store construction and operating improvement initiatives ($86,000 net of payments from landlords), $22,200 for game refreshment and $27,200 for maintenance capital.</w:t>
      </w:r>
    </w:p>
    <w:p>
      <w:pPr>
        <w:spacing w:after="0" w:line="180"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During the thirty-nine weeks ended October 31, 2021, the Company spent approximately $35,700 for new store construction and operating improvement initiatives ($27,900 net of payments from landlords), $12,800 for game refreshment and $15,000 for maintenance capital.</w:t>
      </w:r>
    </w:p>
    <w:p>
      <w:pPr>
        <w:spacing w:after="0" w:line="136"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During the second quarter of fiscal 2022, the Company entered into a new credit facility agreement, with term loan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of $807,500. The proceeds were used to pay for the Acquisition, including $17,748 of debt issuance costs associated with the refinancing. The Company also repurchased shares at a cost of $25,015 during the second quarter.</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since January 30, 2022, as reported on Form 10-K filed with the SEC on March 29, 2022 other than as related to the acquisition of Main Event.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In addition to the critical accounting policies and estimates previously disclosed in the Company’s Annual Report on Form 10-K for the fiscal year ended January 30, 2022, due to recent transactions and events, we also consider the following to be part of our critical accounting policies and estimates due to the high degree of judgment and complexity in its application.</w:t>
      </w:r>
    </w:p>
    <w:p>
      <w:pPr>
        <w:sectPr>
          <w:pgSz w:w="11900" w:h="16838" w:orient="portrait"/>
          <w:cols w:equalWidth="0" w:num="1">
            <w:col w:w="11120"/>
          </w:cols>
          <w:pgMar w:left="320" w:top="482" w:right="459" w:bottom="1440"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 </w:t>
      </w:r>
      <w:r>
        <w:rPr>
          <w:rFonts w:ascii="Times New Roman" w:cs="Times New Roman" w:eastAsia="Times New Roman" w:hAnsi="Times New Roman"/>
          <w:sz w:val="18"/>
          <w:szCs w:val="18"/>
          <w:color w:val="auto"/>
        </w:rPr>
        <w:t>The Main Event Acquisition was accounted for using the acquisition method of accounting, or acquisition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with ASC Topic 805, Business Combinations. The acquisition method of accounting involved the allocation of the purchase price to the assets acquired and liabilities assumed based on preliminary estimated fair values as of the date of the acquisition. The determination of the fair value of tangible and intangible assets, which represent a significant portion of the purchase price, requires the use of significant judgment with regard to (i) the fair value and (ii) whether such acquired intangibles are amortizable or non-amortizable and, if the former, the period and the method by which the intangible asset will be amortized. The Company estimates the fair value of acquisition-related tangible and intangible assets principally based on Replacement Cost New and the Relief from Royalty methods, which include estimates of projected future EBITDA, long-term growth rate, discount rate and royalty rate. The projected cash flows are discounted to determine the present value of the assets at the dates of acquisition. Refer to Note 2 to the Unaudited Consolidated Financial Statements for additional information about our recent business combination.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2022, the Company elected SOFR as the alternative base rate for outstanding borrowings on the Credit Facility, which is based on variable rates. As of October 30, 2022, there was no balance outstanding on our revolving facility, and an outstanding balance of $850,000 on the term loan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 As discussed in Note 2 to our Unaudited Consolidated Financial Statements set forth in Part 1 of this report, we acquired Main Event on June 29, 2022. Main Event constitutes approximately 35% of total assets and approximately 11.3% of total revenues of the consolidated financial statement amounts as of and for the thirty-nine weeks ended October 30, 2022. As the Main Event Acquisition occurred in the second quarter of 2022 and they were not previously governed by the Exchange Act Rules 13a-15(f) and 15d-15(f)), we excluded Main Event’s internal control over financial reporting from our assessment of the effectiveness of disclosure controls and procedures. This exclusion is in accordance with the general guidance issued by the Staff of the SEC that an assessment of a recently acquired business may be omitted from our scope in the year of acquisition.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above, there were no changes to our internal control over financial reporting practices or processes that materially affected, or are reasonably likely to materially affect, our internal control over financial reporting during our third quarter ended October 30, 2022. The Main Event Acquisition had a material impact on internal control over financial reporting. The Company intends to take a period of time to incorporate the impact of the transaction into its evaluation of internal control over financial reporting. As such, we will exclude the internal control over financial reporting of Main Event from our evaluation of internal control over financial reporting for the year ending January 29, 2023.</w:t>
      </w:r>
    </w:p>
    <w:p>
      <w:pPr>
        <w:sectPr>
          <w:pgSz w:w="11900" w:h="16838" w:orient="portrait"/>
          <w:cols w:equalWidth="0" w:num="1">
            <w:col w:w="11120"/>
          </w:cols>
          <w:pgMar w:left="320" w:top="482"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7 to our Unaudited Consolidated Financial Statements set forth in Part I of this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Company is supplementing the Risk Factors previously disclosed in Item 1A of the Annual Report on Form 10-K for the fiscal year ended January 30, 2022, (the “Annual Report”). The following Risk Factor should be read in conjunction with the Risk Factors disclosed in the Annual Report.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 business in the future that we fail to effectively integrate or operate.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recently acquired a business as part of our expansion effort and may acquire more businesses in the future. Once an acquisition is finalized, we may not be successful in integrating the business into our existing operations, which may result in unforeseen operational difficulties, diminished financial performance or our inability to report financial results and may require a disproportionate amount of our management’s attention. If we fail to manage our recent or future acquisitions effectively, our results of operations could be adversely affected.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recent acquisition and any future acquisitions will be accompanied by the risks commonly encountered in acquisitions, including:</w:t>
      </w:r>
    </w:p>
    <w:p>
      <w:pPr>
        <w:spacing w:after="0" w:line="131" w:lineRule="exact"/>
        <w:rPr>
          <w:sz w:val="20"/>
          <w:szCs w:val="20"/>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assumptions regarding the future results of acquired operations or assets or expected cost reductions or other synergies expected to be realized from acquiring operations or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the operations or management of any acquired operations or assets successfully and timely;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and customers of the acquired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lack of experience operating in a geographic market or product line of the acquired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expenses, particularly overhead expenses, and working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to achieve the intended objectives of the business combination;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existing operations or other priorities.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restrict our business and could limit our ability to implement our business plan.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credit facility and the indenture governing the senior secured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the credit facility, our ability to borrow under the revolving credit loans portion of the credit facility may be restricted. The credit facility and the indenture governing the senior secured notes include covenants restricting, among other things, our ability to do the following under certain circumstances:</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or issue certain disqualified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or redeem or purchase any equity interests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 or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payment of dividends or other distributions from our restricted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merger or consolidation or sell, assign, transfer, lease or otherwise dispose of all or substantially all our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credit facility also requires us and our restricted subsidiaries to maintain a maximum net total leverage ratio of 3.50:1.00 as of the end of each fiscal quarter, solely to the extent 35% of the credit facility (other than $30 million of undrawn letters of credit and any letters of credit that have been cash collateralized) is drawn on such date.</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Events beyond our control, including the impact of COVID-19, may affect our ability to comply with our covenants. If we default under the credit facility or the indenture governing the senior secured notes, because of a covenant breach or otherwise, all outstanding amounts thereunder could become immediately due and payable. We cannot assure that we will be able to comply with our covenants under the credit facility, or the indenture governing the senior secured notes or that any covenant violations will be waived in the future. Any violation that is not waived could result in an event of default, permitting our lenders to declare outstanding indebtedness and interest thereon due and payable, and permitting the lenders under the revolving credit loans provided under the credit facility to suspend commitments to make any advance, or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the credit facility or the indenture governing the senior secured notes, we may need additional financing to service or extinguish our indebtedness. We may not be able to obtain financing or refinancing on commercially reasonable terms, or at all. We cannot assure that we would have sufficient funds to repay outstanding amounts under the credit facility or the indenture governing the senior secured notes and any acceleration of amounts due would have a material adverse effect on our liquidity and financial condition.</w:t>
      </w:r>
    </w:p>
    <w:p>
      <w:pPr>
        <w:sectPr>
          <w:pgSz w:w="11900" w:h="16838" w:orient="portrait"/>
          <w:cols w:equalWidth="0" w:num="1">
            <w:col w:w="11120"/>
          </w:cols>
          <w:pgMar w:left="320" w:top="482" w:right="459" w:bottom="0" w:gutter="0" w:footer="0" w:header="0"/>
        </w:sectPr>
      </w:pP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repurchase of our common stock, in thousands, except share amounts, during the thirteen weeks ended October 30, 2022:</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5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8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2880" w:type="dxa"/>
            <w:vAlign w:val="bottom"/>
            <w:vMerge w:val="restart"/>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20" w:type="dxa"/>
            <w:vAlign w:val="bottom"/>
            <w:gridSpan w:val="3"/>
            <w:vMerge w:val="continue"/>
          </w:tcPr>
          <w:p>
            <w:pPr>
              <w:spacing w:after="0"/>
              <w:rPr>
                <w:sz w:val="12"/>
                <w:szCs w:val="12"/>
                <w:color w:val="auto"/>
              </w:rPr>
            </w:pPr>
          </w:p>
        </w:tc>
        <w:tc>
          <w:tcPr>
            <w:tcW w:w="24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as Part of</w:t>
            </w:r>
          </w:p>
        </w:tc>
        <w:tc>
          <w:tcPr>
            <w:tcW w:w="12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 the</w:t>
            </w:r>
          </w:p>
        </w:tc>
        <w:tc>
          <w:tcPr>
            <w:tcW w:w="0" w:type="dxa"/>
            <w:vAlign w:val="bottom"/>
          </w:tcPr>
          <w:p>
            <w:pPr>
              <w:spacing w:after="0"/>
              <w:rPr>
                <w:sz w:val="1"/>
                <w:szCs w:val="1"/>
                <w:color w:val="auto"/>
              </w:rPr>
            </w:pPr>
          </w:p>
        </w:tc>
      </w:tr>
      <w:tr>
        <w:trPr>
          <w:trHeight w:val="180"/>
        </w:trPr>
        <w:tc>
          <w:tcPr>
            <w:tcW w:w="62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58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4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 (2)</w:t>
            </w:r>
          </w:p>
        </w:tc>
        <w:tc>
          <w:tcPr>
            <w:tcW w:w="120" w:type="dxa"/>
            <w:vAlign w:val="bottom"/>
          </w:tcPr>
          <w:p>
            <w:pPr>
              <w:spacing w:after="0"/>
              <w:rPr>
                <w:sz w:val="15"/>
                <w:szCs w:val="15"/>
                <w:color w:val="auto"/>
              </w:rPr>
            </w:pPr>
          </w:p>
        </w:tc>
        <w:tc>
          <w:tcPr>
            <w:tcW w:w="17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Plan (3)</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August 1 – August 28, 2022</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1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74,985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29 – October 2, 2022</w:t>
            </w: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74,985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 – October 30, 2022</w:t>
            </w:r>
          </w:p>
        </w:tc>
        <w:tc>
          <w:tcPr>
            <w:tcW w:w="15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74,985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information is presented by reference to our fiscal periods during the thirteen weeks ended October 30, 2022.</w:t>
      </w:r>
    </w:p>
    <w:p>
      <w:pPr>
        <w:spacing w:after="0" w:line="27" w:lineRule="exact"/>
        <w:rPr>
          <w:rFonts w:ascii="Times New Roman" w:cs="Times New Roman" w:eastAsia="Times New Roman" w:hAnsi="Times New Roman"/>
          <w:sz w:val="18"/>
          <w:szCs w:val="18"/>
          <w:color w:val="auto"/>
        </w:rPr>
      </w:pPr>
    </w:p>
    <w:p>
      <w:pPr>
        <w:jc w:val="both"/>
        <w:ind w:left="540" w:right="42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total share repurchase authorization in effect on October 30, 2022.</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980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80" w:type="dxa"/>
            <w:vAlign w:val="bottom"/>
            <w:gridSpan w:val="5"/>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3"/>
                <w:szCs w:val="23"/>
                <w:color w:val="auto"/>
              </w:rPr>
            </w:pPr>
          </w:p>
        </w:tc>
        <w:tc>
          <w:tcPr>
            <w:tcW w:w="8580" w:type="dxa"/>
            <w:vAlign w:val="bottom"/>
            <w:tcBorders>
              <w:top w:val="single" w:sz="8" w:color="auto"/>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Christopher Morris, Chief Executive Officer of the Registrant, pursuant to 17 CFR 240.13a-14(a) or 17</w:t>
            </w:r>
          </w:p>
        </w:tc>
        <w:tc>
          <w:tcPr>
            <w:tcW w:w="1340" w:type="dxa"/>
            <w:vAlign w:val="bottom"/>
            <w:tcBorders>
              <w:top w:val="single" w:sz="8" w:color="auto"/>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CFR 240.15d-14(a).</w:t>
            </w:r>
          </w:p>
        </w:tc>
        <w:tc>
          <w:tcPr>
            <w:tcW w:w="8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9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Michael A. Quartieri, Chief Financial Officer of the Registrant, pursuant to 17 CFR 240.13a-14(a) or 17 CFR</w:t>
            </w:r>
          </w:p>
        </w:tc>
        <w:tc>
          <w:tcPr>
            <w:tcW w:w="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240.</w:t>
            </w:r>
            <w:r>
              <w:rPr>
                <w:rFonts w:ascii="Times New Roman" w:cs="Times New Roman" w:eastAsia="Times New Roman" w:hAnsi="Times New Roman"/>
                <w:sz w:val="18"/>
                <w:szCs w:val="18"/>
                <w:u w:val="single" w:color="auto"/>
                <w:color w:val="0000EE"/>
                <w:w w:val="99"/>
              </w:rPr>
              <w:t>15d</w:t>
            </w:r>
            <w:r>
              <w:rPr>
                <w:rFonts w:ascii="Times New Roman" w:cs="Times New Roman" w:eastAsia="Times New Roman" w:hAnsi="Times New Roman"/>
                <w:sz w:val="18"/>
                <w:szCs w:val="18"/>
                <w:color w:val="0000EE"/>
                <w:w w:val="99"/>
              </w:rPr>
              <w:t>-14(a).</w:t>
            </w:r>
          </w:p>
        </w:tc>
        <w:tc>
          <w:tcPr>
            <w:tcW w:w="88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Christopher Morris, Chief Executive Officer of the Registrant, pursuant to 18 U.S.C. Section 1350, as adopted pursuant</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Michael A. Quartieri, Chief Financial Officer of the Registrant, pursuant to 18 U.S.C. Section 1350, as adopted pursuant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Inline Instance Document—the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Inline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Inline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Inline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Inline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Inline Taxonomy Extension Presentation Linkbase Document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herein</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80" w:type="dxa"/>
            <w:vAlign w:val="bottom"/>
            <w:gridSpan w:val="5"/>
          </w:tcPr>
          <w:p>
            <w:pPr>
              <w:ind w:left="432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040"/>
          </w:cols>
          <w:pgMar w:left="320" w:top="48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December 6, 2022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December 6, 2022</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DAVE &amp; BUSTER’S ENTERTAINMENT, INC.,</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17145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17145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2">
            <w:col w:w="4820" w:space="720"/>
            <w:col w:w="5500"/>
          </w:cols>
          <w:pgMar w:left="320" w:top="482" w:right="53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Christopher Morris,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340" w:hanging="532"/>
        <w:spacing w:after="0" w:line="266"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December 6, 2022</w:t>
      </w:r>
      <w:r>
        <w:rPr>
          <w:sz w:val="20"/>
          <w:szCs w:val="20"/>
          <w:color w:val="auto"/>
        </w:rPr>
        <w:tab/>
      </w:r>
      <w:r>
        <w:rPr>
          <w:rFonts w:ascii="Times New Roman" w:cs="Times New Roman" w:eastAsia="Times New Roman" w:hAnsi="Times New Roman"/>
          <w:sz w:val="17"/>
          <w:szCs w:val="17"/>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4"/>
          </w:cols>
          <w:pgMar w:left="436" w:top="117"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A. Quartieri,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340" w:hanging="532"/>
        <w:spacing w:after="0" w:line="266"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December 6, 2022</w:t>
      </w:r>
      <w:r>
        <w:rPr>
          <w:sz w:val="20"/>
          <w:szCs w:val="20"/>
          <w:color w:val="auto"/>
        </w:rPr>
        <w:tab/>
      </w:r>
      <w:r>
        <w:rPr>
          <w:rFonts w:ascii="Times New Roman" w:cs="Times New Roman" w:eastAsia="Times New Roman" w:hAnsi="Times New Roman"/>
          <w:sz w:val="17"/>
          <w:szCs w:val="17"/>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4"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4"/>
          </w:cols>
          <w:pgMar w:left="436" w:top="117"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October 30, 2022 as filed with the Securities and Exchange Commission on the date hereof (the “Report”), I, Christopher Morris, Chief Executive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5715</wp:posOffset>
            </wp:positionV>
            <wp:extent cx="32143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440" w:top="117"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October 30, 2022 as filed with the Securities and Exchange Commission on the date hereof (the “Report”), I, Michael A. Quartieri, Chief Financial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2022-12-06T15:43:04Z</dcterms:created>
  <dcterms:modified xsi:type="dcterms:W3CDTF">2022-12-06T15:43:04Z</dcterms:modified>
</cp:coreProperties>
</file>