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1, 2022</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spacing w:after="0"/>
              <w:rPr>
                <w:sz w:val="18"/>
                <w:szCs w:val="18"/>
                <w:color w:val="auto"/>
              </w:rPr>
            </w:pPr>
          </w:p>
        </w:tc>
        <w:tc>
          <w:tcPr>
            <w:tcW w:w="3720" w:type="dxa"/>
            <w:vAlign w:val="bottom"/>
            <w:gridSpan w:val="3"/>
          </w:tcPr>
          <w:p>
            <w:pPr>
              <w:jc w:val="right"/>
              <w:ind w:right="2164"/>
              <w:spacing w:after="0"/>
              <w:rPr>
                <w:sz w:val="20"/>
                <w:szCs w:val="20"/>
                <w:color w:val="auto"/>
              </w:rPr>
            </w:pPr>
            <w:r>
              <w:rPr>
                <w:rFonts w:ascii="Times New Roman" w:cs="Times New Roman" w:eastAsia="Times New Roman" w:hAnsi="Times New Roman"/>
                <w:sz w:val="18"/>
                <w:szCs w:val="18"/>
                <w:b w:val="1"/>
                <w:bCs w:val="1"/>
                <w:color w:val="auto"/>
              </w:rPr>
              <w:t>35-2382255</w:t>
            </w:r>
          </w:p>
        </w:tc>
        <w:tc>
          <w:tcPr>
            <w:tcW w:w="0" w:type="dxa"/>
            <w:vAlign w:val="bottom"/>
          </w:tcPr>
          <w:p>
            <w:pPr>
              <w:spacing w:after="0"/>
              <w:rPr>
                <w:sz w:val="1"/>
                <w:szCs w:val="1"/>
                <w:color w:val="auto"/>
              </w:rPr>
            </w:pPr>
          </w:p>
        </w:tc>
      </w:tr>
      <w:tr>
        <w:trPr>
          <w:trHeight w:val="190"/>
        </w:trPr>
        <w:tc>
          <w:tcPr>
            <w:tcW w:w="468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(I.R.S. Employer ID)</w:t>
            </w:r>
          </w:p>
        </w:tc>
        <w:tc>
          <w:tcPr>
            <w:tcW w:w="0" w:type="dxa"/>
            <w:vAlign w:val="bottom"/>
          </w:tcPr>
          <w:p>
            <w:pPr>
              <w:spacing w:after="0"/>
              <w:rPr>
                <w:sz w:val="1"/>
                <w:szCs w:val="1"/>
                <w:color w:val="auto"/>
              </w:rPr>
            </w:pPr>
          </w:p>
        </w:tc>
      </w:tr>
      <w:tr>
        <w:trPr>
          <w:trHeight w:val="309"/>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1221 Beltline Rd., Coppell, Texas, 75019</w:t>
            </w:r>
          </w:p>
        </w:tc>
        <w:tc>
          <w:tcPr>
            <w:tcW w:w="2620" w:type="dxa"/>
            <w:vAlign w:val="bottom"/>
          </w:tcPr>
          <w:p>
            <w:pPr>
              <w:spacing w:after="0"/>
              <w:rPr>
                <w:sz w:val="24"/>
                <w:szCs w:val="24"/>
                <w:color w:val="auto"/>
              </w:rPr>
            </w:pPr>
          </w:p>
        </w:tc>
        <w:tc>
          <w:tcPr>
            <w:tcW w:w="3720" w:type="dxa"/>
            <w:vAlign w:val="bottom"/>
            <w:gridSpan w:val="3"/>
          </w:tcPr>
          <w:p>
            <w:pPr>
              <w:jc w:val="right"/>
              <w:ind w:right="2044"/>
              <w:spacing w:after="0"/>
              <w:rPr>
                <w:sz w:val="20"/>
                <w:szCs w:val="20"/>
                <w:color w:val="auto"/>
              </w:rPr>
            </w:pPr>
            <w:r>
              <w:rPr>
                <w:rFonts w:ascii="Times New Roman" w:cs="Times New Roman" w:eastAsia="Times New Roman" w:hAnsi="Times New Roman"/>
                <w:sz w:val="18"/>
                <w:szCs w:val="18"/>
                <w:b w:val="1"/>
                <w:bCs w:val="1"/>
                <w:color w:val="auto"/>
              </w:rPr>
              <w:t>(214) 357-9588</w:t>
            </w:r>
          </w:p>
        </w:tc>
        <w:tc>
          <w:tcPr>
            <w:tcW w:w="0" w:type="dxa"/>
            <w:vAlign w:val="bottom"/>
          </w:tcPr>
          <w:p>
            <w:pPr>
              <w:spacing w:after="0"/>
              <w:rPr>
                <w:sz w:val="1"/>
                <w:szCs w:val="1"/>
                <w:color w:val="auto"/>
              </w:rPr>
            </w:pPr>
          </w:p>
        </w:tc>
      </w:tr>
      <w:tr>
        <w:trPr>
          <w:trHeight w:val="190"/>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620" w:type="dxa"/>
            <w:vAlign w:val="bottom"/>
          </w:tcPr>
          <w:p>
            <w:pPr>
              <w:spacing w:after="0"/>
              <w:rPr>
                <w:sz w:val="16"/>
                <w:szCs w:val="16"/>
                <w:color w:val="auto"/>
              </w:rPr>
            </w:pPr>
          </w:p>
        </w:tc>
        <w:tc>
          <w:tcPr>
            <w:tcW w:w="3720" w:type="dxa"/>
            <w:vAlign w:val="bottom"/>
            <w:gridSpan w:val="3"/>
          </w:tcPr>
          <w:p>
            <w:pPr>
              <w:jc w:val="center"/>
              <w:ind w:right="1564"/>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8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vMerge w:val="restart"/>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680" w:type="dxa"/>
            <w:vAlign w:val="bottom"/>
            <w:gridSpan w:val="3"/>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20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0"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1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31, 2022, the registrant had 48,934,844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MAY 1, 2022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860" w:type="dxa"/>
            <w:vAlign w:val="bottom"/>
            <w:vMerge w:val="continue"/>
          </w:tcPr>
          <w:p>
            <w:pPr>
              <w:spacing w:after="0"/>
              <w:rPr>
                <w:sz w:val="16"/>
                <w:szCs w:val="16"/>
                <w:color w:val="auto"/>
              </w:rPr>
            </w:pPr>
          </w:p>
        </w:tc>
        <w:tc>
          <w:tcPr>
            <w:tcW w:w="9800" w:type="dxa"/>
            <w:vAlign w:val="bottom"/>
            <w:gridSpan w:val="10"/>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60" w:type="dxa"/>
            <w:vAlign w:val="bottom"/>
            <w:gridSpan w:val="6"/>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6"/>
          </w:tcPr>
          <w:p>
            <w:pPr>
              <w:spacing w:after="0"/>
              <w:rPr>
                <w:sz w:val="17"/>
                <w:szCs w:val="17"/>
                <w:color w:val="auto"/>
              </w:rPr>
            </w:pPr>
          </w:p>
        </w:tc>
        <w:tc>
          <w:tcPr>
            <w:tcW w:w="54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w:t>
            </w: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assets: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$937,939 and $908,536 accumulated depreciation as of May 1, 2022 and January 30, 2022,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787,750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1,055,328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1,037,197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2,443,100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2,345,790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vMerge w:val="restart"/>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254,920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1,294,486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1,277,539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4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61,817,849 shares at May 1, 2022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61,563,613 shares at January 30, 2022; outstanding: 48,718,457 shares at May 1, 2022 and 48,489,935 shares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January 30, 2022</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557,977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548,776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13,099,392 and 13,073,678 shares as of May 1, 2022 and January 30, 2022, respectively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(605,435)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335,131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2,443,100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2,345,790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8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09"/>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451,101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265,340</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43,255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23,157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26,766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23"/>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93,361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50,279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124,425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84,445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33,288</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35,099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352,389</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98,712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36,996</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22,176</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66,984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19,635</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68,313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21,067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48,580,273</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47,695,705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49,453,503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49,331,092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(UNAUDITED) </w:t>
      </w: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 May 1, 2022</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61,563,613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$548,776</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13,073,678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$(605,435)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$275,460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66,984</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66,984</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3,555</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254,236</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5,646</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5,648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25,714</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May 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61,817,849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557,977</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13,099,392</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(606,669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402,115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351,742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 May 2, 2021</w:t>
            </w: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60,488,833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$531,191</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12,842,227</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$(595,970)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$153,232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19,635</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19,635</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2,971</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203,073</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5,071</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May 2,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60,691,906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535,768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12,847,298</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(596,206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246,126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178,642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66,984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19,635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33,288</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35,099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14,840</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8,667</w:t>
            </w:r>
          </w:p>
        </w:tc>
        <w:tc>
          <w:tcPr>
            <w:tcW w:w="0" w:type="dxa"/>
            <w:vAlign w:val="bottom"/>
          </w:tcPr>
          <w:p>
            <w:pPr>
              <w:spacing w:after="0"/>
              <w:rPr>
                <w:sz w:val="1"/>
                <w:szCs w:val="1"/>
                <w:color w:val="auto"/>
              </w:rPr>
            </w:pPr>
          </w:p>
        </w:tc>
      </w:tr>
      <w:tr>
        <w:trPr>
          <w:trHeight w:val="216"/>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(40,037)</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113,171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25,910</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139,081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20,154</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fixed asset 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(refund received) for income taxes, net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Coppell, Texas, is a leading operator of high-volume entertainment and dining venues (“stores”) in North America for adults and families under the name “Dave &amp; Buster’s”. The Company operates its business as one operating and one reportable segment. During the thirteen weeks ended May 1, 2022, we opened one new store located in Sioux Falls, South Dakota. As of May 1, 2022, we owned and operated 145 stores located in 41 states, Puerto Rico and one Canadian province.</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53-week fiscal year that ends on the Sunday after the Saturday closest to January 31. Each quarterly period reported has 13 weeks. Fiscal 2022 and 2021, which end on January 29, 2023 and January 30, 2022, respectively, contain 52 weeks.</w:t>
      </w:r>
    </w:p>
    <w:p>
      <w:pPr>
        <w:spacing w:after="0" w:line="16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30, 2022, included in our Annual Report on Form 10-K as filed with the SEC.</w:t>
      </w:r>
    </w:p>
    <w:p>
      <w:pPr>
        <w:spacing w:after="0" w:line="18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weeks ended May 1, 2022 are not necessarily indicative of results that may be expected for any other interim period or for the fiscal year ending January 29, 2023.</w:t>
      </w:r>
    </w:p>
    <w:p>
      <w:pPr>
        <w:spacing w:after="0" w:line="16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A book overdraft of $16,673 is presented in “Accounts payable” in the Consolidated Balance Sheets as of January 30, 2022. There was no book overdraft as of May 1, 2022. Changes in the book overdraft position are presented within “Net cash provided by operating activities” within the Consolidated Statements of Cash Flows.</w:t>
      </w:r>
    </w:p>
    <w:p>
      <w:pPr>
        <w:spacing w:after="0" w:line="182"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our senior secured notes was $455,387 and $456,204 as of May 1, 2022 and January 30, 2022, respectively.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 During the first quarter of fiscal 2022, there were no impairments recognized.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color w:val="auto"/>
        </w:rPr>
        <w:t>— Effective February 28, 2019, the Company entered into three interest rate swap agreements to manage our exposure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movements on our variable rate credit facility. The notional amount of the swap agreements, which mature August 17, 2022, totals $350,000 and the fixed rate of interest for all agreements is 2.47%. Effective April 14, 2020, the Company amended its existing credit facility agreement to obtain relief from its financial covenants, and as a result, the variable interest rate terms were modified to create an interest rate floor of 1.00%. Accordingly, the Company discontinued the hedging relationship as of April 14, 2020 (de-designation date). Given the continued existence of the hedged interest payments, the Company is reclassifying its accumulated other comprehensive loss of $17,609 as of the de-designation date into “Interest expense, net” using a straight-line approach over the remaining life of the originally designated hedging relationship, and the unamortized balance of $2,201 as of May 1, 2022 will be fully amortized at maturity. Effective with the de-designation, any gain or loss on the derivatives are recognized in earnings in the period in which the change occurs. For the thirteen weeks ended May 1, 2022 and May 2, 2021, a gain of $701 and $131, respectively, were recognized, which are included in “Other store operating expenses” in the Consolidated Statements of Comprehensive Income.</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outstanding interest rate swap derivatives liability was $1,172 and $3,823 as of May 1, 2022 and January 30, 2022, respectively, and the balance is included in “Accrued liabilities” in the Consolidated Balance Sheets.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our derivative instruments: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5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2022</w:t>
            </w:r>
          </w:p>
        </w:tc>
        <w:tc>
          <w:tcPr>
            <w:tcW w:w="10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reclassified or amortized into interest expense</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8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r>
    </w:tbl>
    <w:p>
      <w:pPr>
        <w:spacing w:after="0" w:line="17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Amusement revenues are primarily recognized upon utilization of game play credits on power cards purchased and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weeks ended May 1, 2022, we recognized revenue of approximately $19,100 related to the amount in deferred amusement revenue as of the end of fiscal 2021.</w:t>
      </w:r>
    </w:p>
    <w:p>
      <w:pPr>
        <w:spacing w:after="0" w:line="18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weeks ended May 1, 2022, we recognized revenue of approximately $2,100 related to the amount in deferred gift card revenue as of the end of fiscal 2021, of which approximately $290 was breakage revenue.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equity </w:t>
      </w:r>
      <w:r>
        <w:rPr>
          <w:rFonts w:ascii="Times New Roman" w:cs="Times New Roman" w:eastAsia="Times New Roman" w:hAnsi="Times New Roman"/>
          <w:sz w:val="18"/>
          <w:szCs w:val="18"/>
          <w:color w:val="auto"/>
        </w:rPr>
        <w:t>— In our consolidated financial statements, the Company treats shares withheld for tax purposes on behalf of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vesting of time-based and performance restricted stock units as common stock repurchases because they reduce the number of shares that would have been issued upon vesting. During the thirteen weeks ended May 1, 2022 and May 2, 2021, respectively, we withheld 25,714 and 5,071 shares of common stock to satisfy $1,234 and $236 of employees’ tax obligations, respectively.</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(loss) per share is computed by dividing net income available to common shareholders by the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 For the thirteen weeks ended May 1, 2022 and May 2, 2021, the Company excluded anti-dilutive awards from the calculation of approximately 102,896 and 111,485, respectively. Basic weighted average shares outstanding are reconciled to diluted weighted average shares outstanding as follows: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13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2, 2021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48,580,273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47,695,705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w:t>
            </w:r>
          </w:p>
        </w:tc>
        <w:tc>
          <w:tcPr>
            <w:tcW w:w="120" w:type="dxa"/>
            <w:vAlign w:val="bottom"/>
          </w:tcPr>
          <w:p>
            <w:pPr>
              <w:spacing w:after="0"/>
              <w:rPr>
                <w:sz w:val="18"/>
                <w:szCs w:val="18"/>
                <w:color w:val="auto"/>
              </w:rPr>
            </w:pPr>
          </w:p>
        </w:tc>
        <w:tc>
          <w:tcPr>
            <w:tcW w:w="1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873,230</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1,635,387</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49,453,503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49,331,092</w:t>
            </w:r>
          </w:p>
        </w:tc>
        <w:tc>
          <w:tcPr>
            <w:tcW w:w="40" w:type="dxa"/>
            <w:vAlign w:val="bottom"/>
            <w:shd w:val="clear" w:color="auto" w:fill="CCEEFF"/>
          </w:tcPr>
          <w:p>
            <w:pPr>
              <w:spacing w:after="0"/>
              <w:rPr>
                <w:sz w:val="18"/>
                <w:szCs w:val="18"/>
                <w:color w:val="auto"/>
              </w:rPr>
            </w:pPr>
          </w:p>
        </w:tc>
      </w:tr>
      <w:tr>
        <w:trPr>
          <w:trHeight w:val="54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end of each period: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13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(1)</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52,780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45,445</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30,357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27,447</w:t>
            </w: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14,248</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19,164</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11,855</w:t>
            </w: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7,143</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5,592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5,262</w:t>
            </w: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5,574</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derivatives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3,823</w:t>
            </w: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8,629</w:t>
            </w:r>
          </w:p>
        </w:tc>
      </w:tr>
      <w:tr>
        <w:trPr>
          <w:trHeight w:val="216"/>
        </w:trPr>
        <w:tc>
          <w:tcPr>
            <w:tcW w:w="13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15,803</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13,821</w:t>
            </w:r>
          </w:p>
        </w:tc>
      </w:tr>
      <w:tr>
        <w:trPr>
          <w:trHeight w:val="223"/>
        </w:trPr>
        <w:tc>
          <w:tcPr>
            <w:tcW w:w="13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254,920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248,493</w:t>
            </w:r>
          </w:p>
        </w:tc>
        <w:tc>
          <w:tcPr>
            <w:tcW w:w="40" w:type="dxa"/>
            <w:vAlign w:val="bottom"/>
          </w:tcPr>
          <w:p>
            <w:pPr>
              <w:spacing w:after="0"/>
              <w:rPr>
                <w:sz w:val="19"/>
                <w:szCs w:val="19"/>
                <w:color w:val="auto"/>
              </w:rPr>
            </w:pPr>
          </w:p>
        </w:tc>
      </w:tr>
    </w:tbl>
    <w:p>
      <w:pPr>
        <w:spacing w:after="0" w:line="117" w:lineRule="exact"/>
        <w:rPr>
          <w:sz w:val="20"/>
          <w:szCs w:val="20"/>
          <w:color w:val="auto"/>
        </w:rPr>
      </w:pPr>
    </w:p>
    <w:p>
      <w:pPr>
        <w:ind w:left="540" w:right="420" w:hanging="424"/>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leasehold incentive receivables of $3,419 and $10,064 as of May 1, 2022 and January 30, 2022, respectively, is reflected as a reduction of the current portion of operating lease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3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$ 440,000</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debt outstanding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(8,034)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(8,605)</w:t>
            </w: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$ 431,966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431,395</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October 27,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which is substantially the same as the guarantors of the Company’s existing credit facility. During fiscal 2021, the Company redeemed a total of $110,000 outstanding principal amount of the Notes in two separate transactions,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loans under our existing credit facility are based on a defined LIBOR rate plus an applicable margin, based on a total leverage ratio, as defined. The first amendment to the existing credit facility, effective April 14, 2020, increased the interest rate spread on variable rate debt to 2.00% and set a LIBOR floor of 1.00%. Concurrent and subject to the issuance of the Notes, the Company entered into a second amendment to its existing credit facility, which extended the maturity of the $500,000 revolving portion of the facility from August 17, 2022, to August 17, 2024, and during the financial covenant suspension increased pricing period, increased the interest rate spread to 4.00% and instituted a</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1.00% utilization fee. Shortly after the end of the Company’s first quarter of fiscal 2022, the interest rate spread will range from 1.25% to 3.00% and the utilization fee, which is due at maturity, will cease. At the end of the first quarter of fiscal 2022, we had letters of credit outstanding of $7,505 and an unused commitment balance of $492,495 under the revolving credit facility.</w:t>
      </w:r>
    </w:p>
    <w:p>
      <w:pPr>
        <w:sectPr>
          <w:pgSz w:w="11900" w:h="16838" w:orient="portrait"/>
          <w:cols w:equalWidth="0" w:num="1">
            <w:col w:w="11080"/>
          </w:cols>
          <w:pgMar w:left="320" w:top="482" w:right="49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80"/>
          </w:cols>
          <w:pgMar w:left="320" w:top="482"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Amortization of debt issuance costs associated with the issuance of the Notes and credit facility was $960 and $1,102 for the first quarter of fiscal 2022 and fiscal 2021, respectively, and is included in “Interest expense, net” in the Consolidated Statements of Comprehensive Income. For the thirteen weeks ended May 1, 2022, and May 2, 2021, respectively, the Company’s weighted average effective interest rate on our total debt facilities (before capitalized interest amounts) was 10.90% and 10.15%, respectively.</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 As of the end of the first quarter of fiscal 2022, the Company was in compliance with the financial covenants of our credit facility and all the restrictive covenants of the Notes and credit facility.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 for the fiscal year ended: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1, 2022</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2, 2021</w:t>
            </w:r>
          </w:p>
        </w:tc>
        <w:tc>
          <w:tcPr>
            <w:tcW w:w="4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7,389</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40,806</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During fiscal 2020 and the first half of fiscal 2021, the Company entered into rent relief agreements with our respective landlords. The Company elected to apply an available practical expedient to account for lease concessions and deferrals resulting directly from the COVID-19 pandemic as though the enforceable rights and obligations to the deferrals existed in the respective contracts at lease inception and not account for the concessions as lease modifications unless the concession results in a substantial increase in the Company’s obligations. A total of 208 of our 225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The current portion of deferred occupancy costs is included in “Accrued liabilities” and the balance, or $6,353 and $8,434 as of May 1, 2022 and January 30, 2022, respectively, is included in “Other liabilities” in the Consolidated Balance Sheets.</w:t>
      </w:r>
    </w:p>
    <w:p>
      <w:pPr>
        <w:ind w:left="120"/>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9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determined to be class actions or Private Attorneys General Act representative actions and seek substantial damages and penalties. During fiscal 2020, the Company settled a portion of the cases at the approximate amount estimated and accrued.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options and restricted stock units is included in “General and administrative expenses” in the Consolidated Statements of Comprehensive Income and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28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May 1, 2022</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2, 2021</w:t>
            </w:r>
          </w:p>
        </w:tc>
        <w:tc>
          <w:tcPr>
            <w:tcW w:w="40" w:type="dxa"/>
            <w:vAlign w:val="bottom"/>
          </w:tcPr>
          <w:p>
            <w:pPr>
              <w:spacing w:after="0"/>
              <w:rPr>
                <w:sz w:val="12"/>
                <w:szCs w:val="12"/>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3,294</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w:t>
            </w:r>
          </w:p>
        </w:tc>
      </w:tr>
      <w:tr>
        <w:trPr>
          <w:trHeight w:val="27"/>
        </w:trPr>
        <w:tc>
          <w:tcPr>
            <w:tcW w:w="6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r>
      <w:tr>
        <w:trPr>
          <w:trHeight w:val="20"/>
        </w:trPr>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stock option awards during the thirteen weeks ended May 1, 2022 were as follows:</w:t>
      </w:r>
    </w:p>
    <w:p>
      <w:pPr>
        <w:spacing w:after="0" w:line="300"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18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540" w:type="dxa"/>
            <w:vAlign w:val="bottom"/>
          </w:tcPr>
          <w:p>
            <w:pPr>
              <w:spacing w:after="0"/>
              <w:rPr>
                <w:sz w:val="16"/>
                <w:szCs w:val="16"/>
                <w:color w:val="auto"/>
              </w:rPr>
            </w:pPr>
          </w:p>
        </w:tc>
        <w:tc>
          <w:tcPr>
            <w:tcW w:w="22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8"/>
                <w:szCs w:val="18"/>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8"/>
                <w:szCs w:val="18"/>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933,379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47.71</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(160,091)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58.42</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May 1,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44.08</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67,495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May 1, 2022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765,433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5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center"/>
              <w:ind w:left="413"/>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thirteen weeks ended May 1, 2022 was $2,287. The unrecognized expense related to our stock option plan totaled approximately $954 as of May 1, 2022 and will be expensed over a weighted average period of 3.0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restricted stock units during the thirteen weeks ended May 1, 2022, were as follows:</w:t>
      </w:r>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1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922,799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485,522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adjusted units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(88,086)</w:t>
            </w: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(41,212)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May 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1,290,831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Fair value of our time-based and performance-based restricted stock units is based on our closing stock price on the date of grant. The grant date fair value of stock options was determined using the Black-Scholes option valuation model. The unrecognized expense related to restricted stock units was $27,575 as of May 1, 2022 and will be expensed over a weighted average period of 3.2 years.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1, 2022 and May 2, 2021, excess tax expense (benefit) of $(63) and $(1,135), respectively, were recognized in the “Provision for income taxes” in the Consolidated Statement of Comprehensive Income and classified as a source in operating activities in the Consolidated Statement of Cash Flows.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82"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May 1, 2022, was 23.3%, compared to 11.5% for the thirteen weeks ended May 2, 2021. The previous quarter tax provision includes higher excess tax benefits associated with share-based compensation and credits associated with the reversal of certain tax valuation allowances.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of which approximately $33,200 were received during the first quarter of fiscal 2022.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Acquisition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April 6, 2022, the Company announced its entry into an Agreement and Plan of Merger, pursuant to which the Company has agreed to acquire 100% of the equity interests of Ardent Leisure Holding US, Inc. (“Ardent US”), doing business as “Main Event”, in exchange for cash consideration of $835 million (to be adjusted for cash on hand, Ardent US transaction expenses, payments pursuant to Ardent US’s long term incentive plan, certain capital expenditures, and certain agreed upon working capital adjustments) less the indebtedness of Ardent US immediately prior to the closing of the transaction.</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May 1, 2022, Ardent US owns and operates 48 family entertainment centers under the name “Main Event” and 3 family entertainment centers under the name “The Summit.” All of the centers are located in the United States.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including approval by the shareholders of Ardent Leisure Group, and the transaction is expected to close in the second quarter. We expect the full amount of the cash consideration paid will be funded by a new term loan facility.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29, 2022.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29, 2022.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jc w:val="both"/>
        <w:ind w:left="1540" w:right="200" w:hanging="331"/>
        <w:spacing w:after="0" w:line="266"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totaled $451,101 in the first quarter of 2022 compared with $363,582 in the first quarter of 2019. A total of 145 and 127 stores were open and operating without restrictions at the end of the first quarter of 2022 and 2019, respectively. Revenues totaled $265,340 in the first quarter of 2021, which ended with 138 of 141 stores open and operating in limited capacity.</w:t>
      </w:r>
    </w:p>
    <w:p>
      <w:pPr>
        <w:spacing w:after="0" w:line="81"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comparable store sales increased 10.9% compared with the same period in 2019 and increased 71.1% compared with the same period in 2021, which ended with 110 of 113 comparable stores open and operating in limited capacity.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$66,984, or $1.35 per diluted share, compared with net income of $42,443, or $1.13 per diluted share in the same period of 2019. In the same period of 2021, we recorded net income of $19,635.</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totaled $143,247, or 31.8% of revenues, compared with Adjusted EBITDA of $98,184 or 27.0% of revenues in the first quarter of 2019. The increase over fiscal 2019 in Adjusted EBITDA, as a percent of revenues, is largely driven by the higher mix of amusements, less discounting, lower hourly labor costs associated with labor efficiencies, and leveraging of certain fixed costs, including occupancy. Adjusted EBITDA was $76,705 or 28.9% of revenues in the first quarter of 2021.</w:t>
      </w:r>
    </w:p>
    <w:p>
      <w:pPr>
        <w:spacing w:after="0" w:line="85" w:lineRule="exact"/>
        <w:rPr>
          <w:rFonts w:ascii="Times New Roman" w:cs="Times New Roman" w:eastAsia="Times New Roman" w:hAnsi="Times New Roman"/>
          <w:sz w:val="18"/>
          <w:szCs w:val="18"/>
          <w:color w:val="auto"/>
        </w:rPr>
      </w:pPr>
    </w:p>
    <w:p>
      <w:pPr>
        <w:ind w:left="1540" w:right="240" w:hanging="331"/>
        <w:spacing w:after="0" w:line="312" w:lineRule="auto"/>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Ended the quarter with $139,081 in cash and approximately $492,500 of liquidity available under the Company’s revolving credit facility. The Company’s total leverage ratio, as defined in the existing credit facility, was approximately 0.7x as of May 1, 2022.</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stores, which average 40,000 square feet, range in size between 16,000 and 70,000 square feet. Generally, our stores are open seven days a week, with normal hours of operation generally from 11:30 a.m. to midnight, with stores typically open for extended hours on weekends.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58"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2022 is defined as stores open for a full 18 months before the beginning of fiscal 2020 and excludes two stores that the Company elected not to reopen after they were closed in March 2020 due to local operating limitations and one store in Cary, North Carolina that was closed and relocated during the fourth quarter of fiscal 2021. For the first quarter of fiscal 2022, our comparable store base consisted of 113 stores.</w:t>
      </w:r>
    </w:p>
    <w:p>
      <w:pPr>
        <w:spacing w:after="0" w:line="182"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Between May 3, 2021 and May 1, 2022, we closed and relocated one store and opened an additional four new stores.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or 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 except in a 53-week year when the fourth quarter has 14 weeks. All references to the first quarter of 2022 relate to the 13-week period ended May 1, 2022. All references to the first quarter of 2021 relate to the 13-week period ended May 2, 2021. All references to the first quarter of 2019 relate to the 13-week period ended May 5, 2019. Fiscal 2022, fiscal 2021 and fiscal 2019 consist of 52 weeks. All dollar amounts are presented in thousands, unless otherwise noted, except share and per share amounts.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new stores historically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0" w:lineRule="exact"/>
        <w:rPr>
          <w:sz w:val="20"/>
          <w:szCs w:val="20"/>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6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 May 1, 2022 Compared to Thirteen Weeks Ended May 2, 2021</w:t>
      </w:r>
    </w:p>
    <w:p>
      <w:pPr>
        <w:spacing w:after="0" w:line="117" w:lineRule="exact"/>
        <w:rPr>
          <w:sz w:val="20"/>
          <w:szCs w:val="20"/>
          <w:color w:val="auto"/>
        </w:rPr>
      </w:pPr>
    </w:p>
    <w:p>
      <w:pPr>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9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151,912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85,758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299,189</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179,582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451,101</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265,340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43,255</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23,157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26,766</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16,614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70,021</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39,771</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93,361</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50,279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124,425</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84,445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28,297</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17,091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33,288</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35,099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2,997</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352,389</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228,344</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98,712</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36,996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11,391</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14,820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87,321</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22,176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20,337</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66,984</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19,635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at end of period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at end of period (1)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27" w:lineRule="auto"/>
        <w:tabs>
          <w:tab w:leader="none" w:pos="5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the end of the first quarter of fiscal 2022, all our 145 stores were open and operating without any health restrictions. As of the end of the first quarter of fiscal 2021, 138 of our 141 stores were open and operating in limited capacity. Our comparable store count as of the end of the first quarter of fiscal 2022 excludes a store in Cary, North Carolina, which was closed and relocated during the fourth quarter of fiscal 2021.</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1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66,984</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14.8%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$19,635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14,820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20,337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132,000</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29.3%</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72,095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1,659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143,247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31.8%</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76,705</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560" w:hanging="424"/>
        <w:spacing w:after="0" w:line="218" w:lineRule="auto"/>
        <w:tabs>
          <w:tab w:leader="none" w:pos="5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represents costs related to the pending acquisition of Main Event. Refer to Note 8 of the unaudited financial statements for more information.</w:t>
      </w:r>
    </w:p>
    <w:p>
      <w:pPr>
        <w:spacing w:after="0" w:line="302" w:lineRule="exact"/>
        <w:rPr>
          <w:rFonts w:ascii="Times New Roman" w:cs="Times New Roman" w:eastAsia="Times New Roman" w:hAnsi="Times New Roman"/>
          <w:sz w:val="25"/>
          <w:szCs w:val="25"/>
          <w:color w:val="auto"/>
          <w:vertAlign w:val="superscript"/>
        </w:rPr>
      </w:pPr>
    </w:p>
    <w:p>
      <w:pPr>
        <w:ind w:left="5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1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98,712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$36,996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28,297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17,091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33,288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35,099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163,294</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36.2%</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90,845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3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30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3480" w:type="dxa"/>
            <w:vAlign w:val="bottom"/>
          </w:tcPr>
          <w:p>
            <w:pPr>
              <w:spacing w:after="0"/>
              <w:rPr>
                <w:sz w:val="24"/>
                <w:szCs w:val="24"/>
                <w:color w:val="auto"/>
              </w:rPr>
            </w:pPr>
          </w:p>
        </w:tc>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2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2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2020, a novel strain of coronavirus (“COVID-19”) outbreak was declared a global pandemic and a National Public Health Emergency. Shortly after the national emergency declaration, state and local officials began placing restrictions on businesses, some of which allowed To-Go or curbside service only while others limited capacity in the dining room or arcade “(Midway”). By March 20, 2020, all our 137 operating stores were temporarily closed. On April 30, 2020, our first store re-opened to the public, and by the end of fiscal 2020, 107 of our 140 stores were open and operating. These stores were operating with a combination of limited menus, reduced dining room seating, reduced game availability in the Midway, reduced operating hours and other restrictions referred to as “limited operations” or “operating in limited capacity.” As of the end of the first quarter of fiscal 2021, 138 of our 141 stores were operating in some limited capacity. The Company re-opened the remaining stores that had been temporarily closed by the end of the second quarter of fiscal 2021. During the first quarter of fiscal 2022 any remaining local COVID-19 related operating restrictions on re-opened stores were removed.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2022</w:t>
            </w:r>
          </w:p>
        </w:tc>
        <w:tc>
          <w:tcPr>
            <w:tcW w:w="1220" w:type="dxa"/>
            <w:vAlign w:val="bottom"/>
            <w:gridSpan w:val="4"/>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May 2, 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185,761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215,406</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153,071</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58,498</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30,652</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(8,564)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Total revenues increased $185,761, or 70.0%, to $451,101 in the first quarter of fiscal 2022 compared to total revenues of $265,340 in the first quarter of fiscal 2021. The increase in revenue is attributable primarily to a 14.9% increase in store operating weeks compared to the first quarter of fiscal 2021, when some of our stores remained temporarily closed as a result of the COVID-19 pandemic, as well as the removal of local COVID-19 related operating restrictions on re-opened stores. Revenues during the first quarter of fiscal 2022 were also favorably impacted by an increase in the revenue per item sold and an increase in our special events business. The table below represents our revenue mix for the fiscal periods indicated. The shift in mix from amusement sales to food and beverage sales of 165 basis points is due, in part, to increased special events, beverage price increases during the first quarter of fiscal 2022, and food price increases effective midway through the third quarter of fiscal 2021.</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58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1, 2022</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2, 2021</w:t>
            </w:r>
          </w:p>
        </w:tc>
        <w:tc>
          <w:tcPr>
            <w:tcW w:w="20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65.9%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Comparable store revenue increased $153,071 or 71.1%, in the first quarter of fiscal 2022 compared to the first quarter of fiscal 2021, due to the reasons noted above, including a 13.9% increase in comparable store operating weeks. Comparable store sales in the first quarter of fiscal 2022 increased 10.9% compared to the first quarter of fiscal 2019.</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increased by $35,502, or 76.1%, to $82,138 in the first quarter of fiscal 2022 from $46,636 in the first quarter of fiscal 2021. Beverage sales at comparable stores increased by $20,137, or 93.2%, to $41,734 in the first quarter of fiscal 2022 from $21,597 in the 2021 comparison period. Comparable store amusement and other revenues in the first quarter of fiscal 2022 increased by $97,432, or 66.2%, to $244,605 from $147,173 in the comparable period of fiscal 2021.</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82"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Non-comparable store revenue increased $30,652 in the first quarter of fiscal 2022 compared to the first quarter of fiscal 2021, for the same reasons noted above, including 64 more store operating weeks.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$70,021 for the first quarter of fiscal 2022 and $39,771 for the first quarter of fiscal 2021. The total cost of products as a percentage of total revenues increased 50 basis points to 15.5% for the first quarter of fiscal 2022 compared to 15.0% for the first quarter of fiscal 2021.</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$43,255 compared to $23,157 for the first quarter of fiscal 2021. Cost of food and beverage products, as a percentage of food and beverage revenues, increased 150 basis points to 28.5% for the first quarter of fiscal 2022 from 27.0% for the first quarter of fiscal 2021. The unfavorable impacts of commodity cost increases primarily in meat and dairy products during the first quarter of fiscal 2022 were partially offset by food and beverage price increases.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Cost of amusement and other increased to $26,766 in the first quarter of fiscal 2022 compared to $16,614 in the first quarter of fiscal 2021. The costs of amusement and other, as a percentage of amusement and other revenues, decreased 40 basis points to 8.9% for the first quarter of fiscal 2022 from 9.3% in the first quarter of fiscal 2021. This decrease was driven primarily by a change in prices at the game level implemented late in fiscal 2021.</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increased by $43,082, or 85.7%, to $93,361 in the first quarter of fiscal 2022 compared to $50,279 in the first quarter of fiscal 2021. The total cost of operating payroll and benefits as a percentage of total revenues was 20.7% in the first quarter of fiscal 2022 compared to 18.9% in the first quarter of fiscal 2021. This increase is primarily due to an increase in hourly labor cost and an increase in labor hours worked as open positions are filled, offset slightly by favorable leveraging on management labor and benefits.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Other store operating expenses increased by $39,980, or 47.3%, to $124,425 in the first quarter of fiscal 2022 compared to $84,445 in the first quarter of fiscal 2021. The increase is primarily due to the impact of increased store weeks during the first quarter of fiscal 2022 on costs such as utilities, supplies, maintenance, and other services. Other store operating expense as a percentage of total revenues decreased to 27.5% in the first quarter of fiscal 2022 compared to 31.9% in the first quarter of fiscal 2021. This decrease was due primarily to favorable sales leveraging on occupancy costs and utilities.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$11,206, or 65.6%, to $28,297 in the first quarter of fiscal 2022 compared to $17,091 in the first quarter of fiscal 2021. The increase in general and administrative expenses was driven primarily by higher incentive compensation, salaries and benefits, and share-based compensation as well as costs related to the potential acquisition of Main Event. General and administrative expenses, as a percentage of total revenues remained relatively unchanged at 6.3% in the first quarter of fiscal 2022 compared to 6.4% in the first quarter of fiscal 2021, due primarily to favorable leverage.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slightly down to $33,288 in the first quarter of fiscal 2022 compared to $35,099 in the first quarter of fiscal 2021. Increased depreciation due to our 2022 and 2021 capital expenditures for new stores, operating initiatives, games, and maintenance capital, was more than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Pre-opening costs increased by $1,338 to $2,997 in the first quarter of fiscal 2022 compared to $1,659 in the first quarter of fiscal 2021 due to an increase in the number of planned new store openings in the next six months compared to the same time period of the previous year, when construction was reduced as a result of the impacts of the COVID-19 pandemic.</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$3,429 to $11,391 in the first quarter of fiscal 2022 compared to $14,820 in the first quarter of fiscal 2021 due primarily to a decrease in average outstanding debt, due to the prepayment of $110,000 outstanding principal amount of the senior secured notes during the second half of fiscal 2021.</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quarter of fiscal 2022 was 23.3%, compared to 11.5% for the first quarter of fiscal 2021. The previous quarter tax provision includes higher excess tax benefits associated with share-based compensation and credits associated with the reversal of certain tax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maintain a $500,000 unsecured revolving credit facility, which matures on August 17, 2024. Availability under the revolving credit facility is reduced by outstanding letters of credit, which are used to support our self-insurance programs. At the end of the first quarter of fiscal 2022, we had letters of credit outstanding of $7,505 and an unused commitment balance of $492,495 under the revolving credit facility.</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also issued $550,000 aggregate principal amount of 7.625% senior secured notes (the “Notes”) during fiscal 2020. Interest on the Notes is payable in arrears on November 1 and May 1 of each year. The Notes mature on November 1, 2025, unless earlier redeemed, and are subject to the terms and conditions set forth in the related indenture. During fiscal 2021, the Company redeemed a total of $110,000 outstanding principal amount of the Notes in two separate transactions, and paid prepayment premiums of $3,300, plus accrued and unpaid interest to the date of redemptions. The early redemptions are expected to reduce net cash interest on the Notes by approximately $8,400 annually. Beginning October 27, 2022, the Company may elect to further redeem the Notes, in whole or in part, at certain specified redemption prices, plus accrued and unpaid interest, at the redemption date.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interest rates per annum applicable to loans under our existing credit facility are based on a defined LIBOR rate plus an applicable margin, based on a total leverage ratio, as defined. The first amendment to the existing credit facility, effective April 14, 2020, increased the interest rate spread on variable rate debt to 2.00% and set a LIBOR floor of 1.00%. Concurrent and subject to the issuance of the Notes, the Company entered into a second amendment to its existing credit facility, which extended the maturity of the $500,000 revolving portion of the facility, and during the financial covenant suspension increased pricing period, increased the interest rate spread to 4.00% and instituted a 1.00% utilization fee. Shortly after the end of the Company’s first quarter of fiscal 2022, the interest rate spread will range from 1.25% to 3.00% and the utilization fee, which is due at maturity, will cease.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1, 2022, and May 2, 2021, respectively, the Company’s weighted average effective interest rate on our total debt facilities (before capitalized interest amounts) was 10.90% and 10.15%, respectively.</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 As of May 1, 2022, the Company was in compliance with the financial covenants of our credit facility and all the restrictive covenants of the Notes and credit facility.</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April 6, 2022, the Company announced its entry into an Agreement and Plan of Merger, pursuant to which the Company has agreed to acquire 100% of the equity interests of Ardent Leisure Holding US, Inc. (“Ardent US”), doing business as “Main Event”, in exchange for cash consideration of $835 million (to be adjusted for cash on hand, Ardent US transaction expenses, payments pursuant to Ardent US’s long term incentive plan, certain capital expenditures, and certain agreed upon working capital adjustments) less the indebtedness of Ardent US immediately prior to the closing of the transaction. The closing of the transaction is subject to completion of customary closing conditions, including approval by the shareholders of Ardent Leisure Group, and the transaction is expected to close in the second quarter. We expect the full amount of the cash consideration paid will be funded by a new term loan facility.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with an authorization limit of $100,000, expiring at the end of fiscal 2022.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 There were no dividends declared or share repurchases during the first quarter of 2022.</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All the Company’s stores were open and operating as of the end of the first quarter of fiscal 2022, and as of May 1, 2022, the Company had cash and cash equivalents of $139,081.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non-acquisition related capital allocation strategy, including capital expenditures, through at least the next twelve months.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comparison of our cash flow activity for the first quarter of fiscal 2022 to the same period of fiscal 2021 follows.</w:t>
      </w:r>
    </w:p>
    <w:p>
      <w:pPr>
        <w:spacing w:after="0" w:line="2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 Cash flow from operating activities increased approximately $71,400 in the first quarter of fiscal 2022 compared to the first quarter of fiscal 2021 driven primarily by improved operating margins, approximately 243 more store weeks, and the receipt of a federal tax refund in the amount of approximately $33,200.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from investing activities primarily reflects capital expenditures.</w:t>
      </w:r>
    </w:p>
    <w:p>
      <w:pPr>
        <w:spacing w:after="0" w:line="22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2022, the Company spent approximately $31,300 for new store construction and operating improvement initiatives ($30,600 net of payments from landlords), $1,400 for game refreshment and $7,400 for maintenance capital.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2021, the Company spent approximately $7,600 for new store construction and operating improvement initiatives, $2,100 for game refreshment and $700 for maintenance capital.</w:t>
      </w:r>
    </w:p>
    <w:p>
      <w:pPr>
        <w:spacing w:after="0" w:line="158"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There was no significant financing activity during the first quarter of fiscal 2022. During the first quarter of fiscal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had net repayments of $60,000 of its revolving credit facility.</w:t>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since January 30, 2022, as reported on Form10-K filed with the SEC on March 29,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March 29, 2022.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Outstanding borrowings on our revolving credit facility are based on variable rates, and we have historically elected to use LIBOR. Although our borrowing arrangements provide for alternative base rates other than LIBOR, those rates have historically been higher than those we paid based on LIBOR (which currently is subject to a floor of 1.00%). When LIBOR ceases to exist, we will likely need to agree upon a replacement index with our lenders, and the interest rate thereunder will likely change. As of May 1, 2022, there was no balance outstanding on our revolving credit facility.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Interim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Interim Chief Executive Officer and Chief Financial Officer have concluded that these disclosure controls and procedures are effective.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our first quarter ended May 1, 2022, that have materially affected, or are reasonably likely to materially affect, our internal control over financial reporting.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is supplementing the Risk Factors previously disclosed in Item 1A of the Annual Report on Form 10-K for the fiscal year ended January 30, 2022, (the “Annual Report”). The following Risk Factor should be read in conjunction with the Risk Factors disclosed in the Annual Report.</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 business in the future that we fail to effectively integrate or operate.</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recently announced an agreement and plan of merger to acquire a business as part of our expansion effort. If the acquisition is finalized, we may not be successful in integrating future acquisitions into our existing operations, which may result in unforeseen operational difficulties, diminished financial performance or our inability to report financial results and may require a disproportionate amount of our management’s attention. If we fail to manage future acquisitions effectively, our results of operations could be adversely affected.</w:t>
      </w:r>
    </w:p>
    <w:p>
      <w:pPr>
        <w:sectPr>
          <w:pgSz w:w="11900" w:h="16838" w:orient="portrait"/>
          <w:cols w:equalWidth="0" w:num="1">
            <w:col w:w="11120"/>
          </w:cols>
          <w:pgMar w:left="320" w:top="482"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potential acquisition and any future acquisitions will be accompanied by the risks commonly encountered in acquisitions, including:</w:t>
      </w:r>
    </w:p>
    <w:p>
      <w:pPr>
        <w:spacing w:after="0" w:line="131"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regarding the future results of acquired operations or assets or expected cost reductions or other synergies expected to be realized from acquiring operations or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the operations or management of any acquired operations or assets successfully and timely;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 customers of the acquired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lack of experience operating in a geographic market or product line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 particularly overhead expenses, and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business combination;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existing operations or other priorities.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320" w:top="482" w:right="5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There were no repurchases of our common stock under our share repurchase plan during the thirteen weeks ended May 1, 2022.</w:t>
      </w:r>
    </w:p>
    <w:p>
      <w:pPr>
        <w:spacing w:after="0" w:line="1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139"/>
          </w:cols>
          <w:pgMar w:left="320" w:top="48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980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3"/>
                <w:szCs w:val="23"/>
                <w:color w:val="auto"/>
              </w:rPr>
            </w:pPr>
          </w:p>
        </w:tc>
        <w:tc>
          <w:tcPr>
            <w:tcW w:w="9400" w:type="dxa"/>
            <w:vAlign w:val="bottom"/>
            <w:tcBorders>
              <w:top w:val="single" w:sz="8" w:color="auto"/>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Employment Agreement (May 2022 version) by and among Dave &amp; Buster’s Management Corporation, Dave &amp; Buster’s</w:t>
            </w:r>
          </w:p>
        </w:tc>
        <w:tc>
          <w:tcPr>
            <w:tcW w:w="520" w:type="dxa"/>
            <w:vAlign w:val="bottom"/>
            <w:tcBorders>
              <w:top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Entertainment, Inc. and the various executive officers of Dave &amp; Buster’s Entertainment, Inc.</w:t>
            </w:r>
          </w:p>
        </w:tc>
        <w:tc>
          <w:tcPr>
            <w:tcW w:w="3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9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Kevin M. Sheehan, Interim Chief Executive Officer of the Registrant, pursuant to 17 CFR 240.13a-14(a) or 17</w:t>
            </w:r>
          </w:p>
        </w:tc>
        <w:tc>
          <w:tcPr>
            <w:tcW w:w="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CFR 240.15d-14(a).</w:t>
            </w:r>
          </w:p>
        </w:tc>
        <w:tc>
          <w:tcPr>
            <w:tcW w:w="8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9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Michael A. Quartieri, Chief Financial Officer of the Registrant, pursuant to 17 CFR 240.13a-14(a) or 17 CFR</w:t>
            </w:r>
          </w:p>
        </w:tc>
        <w:tc>
          <w:tcPr>
            <w:tcW w:w="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240.</w:t>
            </w:r>
            <w:r>
              <w:rPr>
                <w:rFonts w:ascii="Times New Roman" w:cs="Times New Roman" w:eastAsia="Times New Roman" w:hAnsi="Times New Roman"/>
                <w:sz w:val="18"/>
                <w:szCs w:val="18"/>
                <w:u w:val="single" w:color="auto"/>
                <w:color w:val="0000EE"/>
                <w:w w:val="99"/>
              </w:rPr>
              <w:t>15d</w:t>
            </w:r>
            <w:r>
              <w:rPr>
                <w:rFonts w:ascii="Times New Roman" w:cs="Times New Roman" w:eastAsia="Times New Roman" w:hAnsi="Times New Roman"/>
                <w:sz w:val="18"/>
                <w:szCs w:val="18"/>
                <w:color w:val="0000EE"/>
                <w:w w:val="99"/>
              </w:rPr>
              <w:t>-14(a).</w:t>
            </w:r>
          </w:p>
        </w:tc>
        <w:tc>
          <w:tcPr>
            <w:tcW w:w="8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Kevin M. Sheehan, Interim Chief Executive Officer of the Registrant, pursuant to 18 U.S.C. Section 1350, as adopted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5300" w:type="dxa"/>
            <w:vAlign w:val="bottom"/>
            <w:tcBorders>
              <w:top w:val="single" w:sz="8" w:color="0000EE"/>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Michael A. Quartieri, Chief Financial Officer of the Registrant, pursuant to 18 U.S.C. Section 1350, as adopted pursuant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Instance Document—the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Presentation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herein</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40" w:type="dxa"/>
            <w:vAlign w:val="bottom"/>
            <w:gridSpan w:val="6"/>
          </w:tcPr>
          <w:p>
            <w:pPr>
              <w:ind w:left="4320"/>
              <w:spacing w:after="0"/>
              <w:rPr>
                <w:sz w:val="20"/>
                <w:szCs w:val="20"/>
                <w:color w:val="auto"/>
              </w:rPr>
            </w:pPr>
            <w:r>
              <w:rPr>
                <w:rFonts w:ascii="Times New Roman" w:cs="Times New Roman" w:eastAsia="Times New Roman" w:hAnsi="Times New Roman"/>
                <w:sz w:val="18"/>
                <w:szCs w:val="18"/>
                <w:color w:val="auto"/>
              </w:rPr>
              <w:t>25</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6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234"/>
        </w:trPr>
        <w:tc>
          <w:tcPr>
            <w:tcW w:w="3380" w:type="dxa"/>
            <w:vAlign w:val="bottom"/>
          </w:tcPr>
          <w:p>
            <w:pPr>
              <w:spacing w:after="0"/>
              <w:rPr>
                <w:sz w:val="20"/>
                <w:szCs w:val="20"/>
                <w:color w:val="auto"/>
              </w:rPr>
            </w:pPr>
          </w:p>
        </w:tc>
        <w:tc>
          <w:tcPr>
            <w:tcW w:w="76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2022</w:t>
            </w:r>
          </w:p>
        </w:tc>
        <w:tc>
          <w:tcPr>
            <w:tcW w:w="25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M. Sheehan</w:t>
            </w:r>
          </w:p>
        </w:tc>
      </w:tr>
      <w:tr>
        <w:trPr>
          <w:trHeight w:val="191"/>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Kevin M. Sheehan</w:t>
            </w:r>
          </w:p>
        </w:tc>
      </w:tr>
      <w:tr>
        <w:trPr>
          <w:trHeight w:val="234"/>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2022</w:t>
            </w:r>
          </w:p>
        </w:tc>
        <w:tc>
          <w:tcPr>
            <w:tcW w:w="25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Michael A. Quartieri</w:t>
            </w:r>
          </w:p>
        </w:tc>
      </w:tr>
      <w:tr>
        <w:trPr>
          <w:trHeight w:val="191"/>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A. Quartieri</w:t>
            </w:r>
          </w:p>
        </w:tc>
      </w:tr>
      <w:tr>
        <w:trPr>
          <w:trHeight w:val="234"/>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380" w:type="dxa"/>
            <w:vAlign w:val="bottom"/>
          </w:tcPr>
          <w:p>
            <w:pPr>
              <w:spacing w:after="0"/>
              <w:rPr>
                <w:sz w:val="24"/>
                <w:szCs w:val="24"/>
                <w:color w:val="auto"/>
              </w:rPr>
            </w:pP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26</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6" w:name="page27"/>
    <w:bookmarkEnd w:id="26"/>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w w:val="98"/>
              </w:rPr>
              <w:t>Exhibit 10.1</w:t>
            </w:r>
          </w:p>
        </w:tc>
      </w:tr>
      <w:tr>
        <w:trPr>
          <w:trHeight w:val="392"/>
        </w:trPr>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EMPLOYMENT AGREEMENT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04"/>
        </w:trPr>
        <w:tc>
          <w:tcPr>
            <w:tcW w:w="6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This Employment Agreement (this “Agreement”) is entered into on the   day of</w:t>
            </w:r>
          </w:p>
        </w:tc>
        <w:tc>
          <w:tcPr>
            <w:tcW w:w="26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20   (the “Effective Date”), between Dave &amp;</w:t>
            </w:r>
          </w:p>
        </w:tc>
      </w:tr>
      <w:tr>
        <w:trPr>
          <w:trHeight w:val="20"/>
        </w:trPr>
        <w:tc>
          <w:tcPr>
            <w:tcW w:w="2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Buster’s Management Corporation, Inc., a Delaware corporation (“</w:t>
      </w:r>
      <w:r>
        <w:rPr>
          <w:rFonts w:ascii="Times New Roman" w:cs="Times New Roman" w:eastAsia="Times New Roman" w:hAnsi="Times New Roman"/>
          <w:sz w:val="18"/>
          <w:szCs w:val="18"/>
          <w:u w:val="single" w:color="auto"/>
          <w:color w:val="auto"/>
        </w:rPr>
        <w:t>D&amp;B Management</w:t>
      </w:r>
      <w:r>
        <w:rPr>
          <w:rFonts w:ascii="Times New Roman" w:cs="Times New Roman" w:eastAsia="Times New Roman" w:hAnsi="Times New Roman"/>
          <w:sz w:val="18"/>
          <w:szCs w:val="18"/>
          <w:color w:val="auto"/>
        </w:rPr>
        <w:t>”), Dave &amp; Buster’s Entertainment, Inc., a Delaware corporation</w:t>
      </w:r>
    </w:p>
    <w:p>
      <w:pPr>
        <w:spacing w:after="0" w:line="27"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D&amp;B</w:t>
      </w:r>
      <w:r>
        <w:rPr>
          <w:rFonts w:ascii="Times New Roman" w:cs="Times New Roman" w:eastAsia="Times New Roman" w:hAnsi="Times New Roman"/>
          <w:sz w:val="18"/>
          <w:szCs w:val="18"/>
          <w:color w:val="auto"/>
        </w:rPr>
        <w:t>”), and</w:t>
      </w:r>
      <w:r>
        <w:rPr>
          <w:sz w:val="20"/>
          <w:szCs w:val="20"/>
          <w:color w:val="auto"/>
        </w:rPr>
        <w:tab/>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D&amp;B Management and D&amp;B are collectively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D&amp;B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-19050</wp:posOffset>
            </wp:positionV>
            <wp:extent cx="571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D&amp;B and the Employee are collectively referred to herein as the “Parties”.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Effective Date, D&amp;B Management shall employ Employee and D&amp;B agrees that Employee shall serve as</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142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8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services of the Employee are of a special and unique character, and in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duties for the Company, the Employee has been and will be provided additional Confidential Information, pursuant to and in reliance on the restrictive covenant obligations and the restrictions on disclosure of the Confidential 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be assured that the Confidential Information and goodwill of the Company will be preserved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exclusive benefit of the Company and that, as a material incentive for the Company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acknowledges and agrees to be bound by the restrictive covenant obligations and the restrictions on disclosure of the Confidential 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restrictive covenant obligations and the restrictions on disclosure of the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are essential to the continued growth and stability of the Company’s business, good will, customer base and to the continuing viability of its endeavors, and are a material inducement to the Company entering into this Agreement; and</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Company would be irreparably harmed if their Confidential Information were disclosed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Employee.</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promises herein contained, the provision of Confidential Information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sufficiency of which is hereby acknowledged, D&amp;B, D&amp;B Management, and Employee agree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Employment/Duties</w:t>
            </w:r>
            <w:r>
              <w:rPr>
                <w:rFonts w:ascii="Times New Roman" w:cs="Times New Roman" w:eastAsia="Times New Roman" w:hAnsi="Times New Roman"/>
                <w:sz w:val="18"/>
                <w:szCs w:val="18"/>
                <w:color w:val="auto"/>
              </w:rPr>
              <w:t>. D&amp;B Management agrees to employ Employee and D&amp;B agrees that Employee shall serve as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will be responsible for performing those duties that are customarily associated with the position of</w:t>
            </w: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1020"/>
          </w:cols>
          <w:pgMar w:left="440" w:top="117" w:right="439" w:bottom="1440" w:gutter="0" w:footer="0" w:header="0"/>
        </w:sectPr>
      </w:pPr>
    </w:p>
    <w:bookmarkStart w:id="27" w:name="page28"/>
    <w:bookmarkEnd w:id="27"/>
    <w:p>
      <w:pPr>
        <w:ind w:left="4" w:right="140" w:firstLine="188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other such reasonable duties that are assigned by the Chief Executive Officer (or Board of Directors if role is Chief Executive Officer) from time-to-time. The Company or its Affiliates (as defined below) will provide appropriate training to Employee to permit him to perform his duties competently.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1170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52" w:lineRule="exact"/>
        <w:rPr>
          <w:sz w:val="20"/>
          <w:szCs w:val="20"/>
          <w:color w:val="auto"/>
        </w:rPr>
      </w:pPr>
    </w:p>
    <w:p>
      <w:pPr>
        <w:ind w:left="4" w:hanging="4"/>
        <w:spacing w:after="0" w:line="259"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Agreement</w:t>
      </w:r>
      <w:r>
        <w:rPr>
          <w:rFonts w:ascii="Times New Roman" w:cs="Times New Roman" w:eastAsia="Times New Roman" w:hAnsi="Times New Roman"/>
          <w:sz w:val="18"/>
          <w:szCs w:val="18"/>
          <w:color w:val="auto"/>
        </w:rPr>
        <w:t>. This Agreement shall be in effect for one (1) year from the Effective Date of this Agreement unless it is terminated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terms of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commencing on the first anniversary of the Effective Date, and on each annual anniversary of such date, the term of this Agreement shall be automatically extended for a one year period unless it is terminated earlier under the terms of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The Parties agree that unless specifically stated otherwise, the obligations created in </w:t>
      </w:r>
      <w:r>
        <w:rPr>
          <w:rFonts w:ascii="Times New Roman" w:cs="Times New Roman" w:eastAsia="Times New Roman" w:hAnsi="Times New Roman"/>
          <w:sz w:val="18"/>
          <w:szCs w:val="18"/>
          <w:u w:val="single" w:color="auto"/>
          <w:color w:val="auto"/>
        </w:rPr>
        <w:t>Paragraphs 7, 9, 10, 11,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will survive the termination of this Agreement and of Employee’s employment with D&amp;B Management.</w:t>
      </w:r>
    </w:p>
    <w:p>
      <w:pPr>
        <w:spacing w:after="0" w:line="179"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Employee’s Responsibilities</w:t>
      </w:r>
      <w:r>
        <w:rPr>
          <w:rFonts w:ascii="Times New Roman" w:cs="Times New Roman" w:eastAsia="Times New Roman" w:hAnsi="Times New Roman"/>
          <w:sz w:val="18"/>
          <w:szCs w:val="18"/>
          <w:color w:val="auto"/>
        </w:rPr>
        <w:t>. Employee agrees that unless specifically stated otherwise, during the term of Employee’s employment by D&amp;B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Employee will devote Employee’s full business time and best efforts and abilities to the performance of his duties for the Company. Employee agrees to act in the best interest of the Company at all times. Employee will act in accordance with the highest professional standards of ethics and integrity. Employee agrees to use Employee’s best efforts and skills to preserve the business of the Company and the goodwill of its employees and persons having business relations with the Company. Employee will comply with all applicable laws and all of the Company’s and its Affiliates’ then current policies and procedures. Notwithstanding anything contained herein to the contrary, if (a) Employee complies with the terms and provisions of D&amp;B’s Code of Business Conduct and Ethics, as the same may be revised from time-to-time and (b) Employee’s activities do not interfere with Employee’s obligations to the Company, then, during the term of Employee’s employment by D&amp;B Management, Employee may: (x) engage in charitable, civic, fraternal and professional activities, (y) give lectures on behalf of educational or for-profit institutions, and (z) manage personal investments; provided that Employee shall disclose any conflicts of interest that cause Employee’s personal endeavors to be in material conflict with the business of the Company and/or its Affiliates. Employee shall only serve on the board of directors of (i) a national charitable, civic or fraternal organization, (ii) a privately owned business, or (iii) a publicly-traded company with the prior written approval of the Board of Directors of D&amp;B Management, in its sole discretion, and only to the extent that any such enterprise described in (i), (ii), or (iii) is not a Competitive Business. The Board of Directors of D&amp;B Management will consider Employee’s performance, time in role, time required to fulfill Employee’s obligations to the Company, as well as the potential benefit to the Company in making its determination.</w:t>
      </w:r>
    </w:p>
    <w:p>
      <w:pPr>
        <w:spacing w:after="0" w:line="183" w:lineRule="exact"/>
        <w:rPr>
          <w:rFonts w:ascii="Times New Roman" w:cs="Times New Roman" w:eastAsia="Times New Roman" w:hAnsi="Times New Roman"/>
          <w:sz w:val="18"/>
          <w:szCs w:val="18"/>
          <w:color w:val="auto"/>
        </w:rPr>
      </w:pPr>
    </w:p>
    <w:p>
      <w:pPr>
        <w:ind w:left="4" w:right="380" w:hanging="4"/>
        <w:spacing w:after="0" w:line="286"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Limitations</w:t>
      </w:r>
      <w:r>
        <w:rPr>
          <w:rFonts w:ascii="Times New Roman" w:cs="Times New Roman" w:eastAsia="Times New Roman" w:hAnsi="Times New Roman"/>
          <w:sz w:val="18"/>
          <w:szCs w:val="18"/>
          <w:color w:val="auto"/>
        </w:rPr>
        <w:t>. Employee warrants and represents that there is no contractual, judicial or other restraint that impairs Employee’s right 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enter into this Agreement and to carry out Employee’s duties and responsibilities to the Company, its affiliates, and its subsidiaries.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8" w:name="page29"/>
    <w:bookmarkEnd w:id="28"/>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8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of this Agreement, D&amp;B Management will pay to Employee a base salary of $_____________ per year. The base salary will be paid bi-weekly on regularly scheduled paydays determined by the Company. Employee shall be given an annual performance evaluation and, as determined by the Board of Directors of D&amp;B Management, may receive periodic salary increases.</w:t>
      </w:r>
    </w:p>
    <w:p>
      <w:pPr>
        <w:spacing w:after="0" w:line="175"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8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of this Agreement, the Employee will be eligible to receive an annual bonus as approved on annual basis by the Board of Directors of D&amp;B Management and, if so approved, as determined by the Company based upon the attainment of a combination of individual and Company goals during a fiscal year set forth in a bonus plan approved by the Board of Directors of D&amp;B Management, payable in accordance with such bonus plan. Employee’s individual participation percentage in the bonus plan at target is equal to ___% of such Employee’s base salary for the fiscal year.</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8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Welfare Plans</w:t>
      </w:r>
      <w:r>
        <w:rPr>
          <w:rFonts w:ascii="Times New Roman" w:cs="Times New Roman" w:eastAsia="Times New Roman" w:hAnsi="Times New Roman"/>
          <w:sz w:val="18"/>
          <w:szCs w:val="18"/>
          <w:color w:val="auto"/>
        </w:rPr>
        <w:t>. Employee shall be eligible to participate in any profit sharing, qualified and nonqualified retirement plans, and any health, life, accident, disability insurance, sick leave, or other benefit plans or programs made available to similarly situated employees of the Company in accordance with the terms of such plans, as may be amended, supplemented or modified from time to time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as long as they are kept in force by the Company and provided that Employee meets the eligibility requirements of the respective Plans. Nothing contained herein shall limit the right of the Company, in its sole and absolute discretion, to modify, amend or discontinue any of the Plans.</w:t>
      </w:r>
    </w:p>
    <w:p>
      <w:pPr>
        <w:spacing w:after="0" w:line="183" w:lineRule="exact"/>
        <w:rPr>
          <w:rFonts w:ascii="Times New Roman" w:cs="Times New Roman" w:eastAsia="Times New Roman" w:hAnsi="Times New Roman"/>
          <w:sz w:val="18"/>
          <w:szCs w:val="18"/>
          <w:color w:val="auto"/>
        </w:rPr>
      </w:pPr>
    </w:p>
    <w:p>
      <w:pPr>
        <w:ind w:left="4" w:right="440" w:firstLine="436"/>
        <w:spacing w:after="0" w:line="266" w:lineRule="auto"/>
        <w:tabs>
          <w:tab w:leader="none" w:pos="8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Subject to the Company’s generally applicable policies relating to vacations, Employee shall be entitled to paid vacation commensurate with the Company’s policy for senior management and Employee’s position and tenure with the Company, but in no event less than twenty-seven (27) days paid vacation during each calendar year.</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8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and Support Staff</w:t>
      </w:r>
      <w:r>
        <w:rPr>
          <w:rFonts w:ascii="Times New Roman" w:cs="Times New Roman" w:eastAsia="Times New Roman" w:hAnsi="Times New Roman"/>
          <w:sz w:val="18"/>
          <w:szCs w:val="18"/>
          <w:color w:val="auto"/>
        </w:rPr>
        <w:t>. To the extent reasonably practicable, the Company shall endeavor to supply the Employee (i) with all equipment, supplies, and secretarial staff reasonably required in the performance of the Employee’s duties and (ii) a fully furnished and appointed office comparable in size, furnishings and decorations to the offices of other officers of D&amp;B of comparable responsibilities and the facilities of the Company shall be generally available to Employee in the performance of Employee’s duties.</w:t>
      </w:r>
    </w:p>
    <w:p>
      <w:pPr>
        <w:spacing w:after="0" w:line="179"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8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Company will provide Employee with other employment benefits, as in existence from time to time, the Company provides to its full-time executive employees.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9" w:name="page30"/>
    <w:bookmarkEnd w:id="29"/>
    <w:p>
      <w:pPr>
        <w:ind w:left="4" w:firstLine="436"/>
        <w:spacing w:after="0" w:line="256" w:lineRule="auto"/>
        <w:tabs>
          <w:tab w:leader="none" w:pos="8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Times New Roman" w:cs="Times New Roman" w:eastAsia="Times New Roman" w:hAnsi="Times New Roman"/>
          <w:sz w:val="18"/>
          <w:szCs w:val="18"/>
          <w:color w:val="auto"/>
        </w:rPr>
        <w:t>. The Company shall reimburse the Employee for all reasonable business expenses incurred by the Employee in connection with the performance of the Employee’s duties under this Agreement, including, but not limited to, reasonable travel, meals, and hotel accommodations of Employee, in each case subject to the Company’s then current policies and procedures. Reimbursement shall be made upon submission by Employee of vouchers or an itemized list thereof in accordance with the Company’s then current policies and procedures. Employee hereby authorizes the Company in advance to deduct any expenses from the Employee’s salary if Employee fails to submit an expense as provided by the Company’s then current policies and procedures.</w:t>
      </w:r>
    </w:p>
    <w:p>
      <w:pPr>
        <w:spacing w:after="0" w:line="187"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Plan</w:t>
      </w:r>
      <w:r>
        <w:rPr>
          <w:rFonts w:ascii="Times New Roman" w:cs="Times New Roman" w:eastAsia="Times New Roman" w:hAnsi="Times New Roman"/>
          <w:sz w:val="18"/>
          <w:szCs w:val="18"/>
          <w:color w:val="auto"/>
        </w:rPr>
        <w:t>. The Parties acknowledge that the Company has offered certain long-term incentive benefits pursuant to the</w:t>
      </w:r>
    </w:p>
    <w:p>
      <w:pPr>
        <w:spacing w:after="0" w:line="27" w:lineRule="exact"/>
        <w:rPr>
          <w:sz w:val="20"/>
          <w:szCs w:val="20"/>
          <w:color w:val="auto"/>
        </w:rPr>
      </w:pPr>
    </w:p>
    <w:p>
      <w:pPr>
        <w:ind w:left="4" w:right="400"/>
        <w:spacing w:after="0" w:line="290" w:lineRule="auto"/>
        <w:rPr>
          <w:sz w:val="20"/>
          <w:szCs w:val="20"/>
          <w:color w:val="auto"/>
        </w:rPr>
      </w:pPr>
      <w:r>
        <w:rPr>
          <w:rFonts w:ascii="Times New Roman" w:cs="Times New Roman" w:eastAsia="Times New Roman" w:hAnsi="Times New Roman"/>
          <w:sz w:val="17"/>
          <w:szCs w:val="17"/>
          <w:color w:val="auto"/>
        </w:rPr>
        <w:t>Dave &amp; Buster’s Entertainment, Inc. Amended and Restated 2014 Omnibus Incentive Plan (as such plan may be amended, modified, supplement, restated or replaced from time to time), the terms of which shall be governed in any separate award agreement for benefits granted under such plan.</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1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  Sign-On Bonus. The Employee shall be entitled to a one-time, cash bonus payment in the amount of $</w:t>
            </w:r>
          </w:p>
        </w:tc>
        <w:tc>
          <w:tcPr>
            <w:tcW w:w="880" w:type="dxa"/>
            <w:vAlign w:val="bottom"/>
          </w:tcPr>
          <w:p>
            <w:pPr>
              <w:spacing w:after="0"/>
              <w:rPr>
                <w:sz w:val="17"/>
                <w:szCs w:val="17"/>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 less applicable taxes,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 xml:space="preserve">payable upon the Effective Date. </w:t>
            </w:r>
            <w:r>
              <w:rPr>
                <w:rFonts w:ascii="Times New Roman" w:cs="Times New Roman" w:eastAsia="Times New Roman" w:hAnsi="Times New Roman"/>
                <w:sz w:val="18"/>
                <w:szCs w:val="18"/>
                <w:i w:val="1"/>
                <w:iCs w:val="1"/>
                <w:color w:val="auto"/>
              </w:rPr>
              <w:t>[Alternative: The Company will give Employee a sign-on grant of $</w:t>
            </w:r>
          </w:p>
        </w:tc>
        <w:tc>
          <w:tcPr>
            <w:tcW w:w="2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i w:val="1"/>
                <w:iCs w:val="1"/>
                <w:color w:val="auto"/>
              </w:rPr>
              <w:t>worth of restricted stock units within</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w w:val="99"/>
              </w:rPr>
              <w:t>Employee’s first 30 days of employment. The units will vest in equal installments over</w:t>
            </w: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3"/>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9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years and the number of shares will vary based on the</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closing price on the actual grant date. The grant will be subject to the terms of the Company’s grant agreement.]</w:t>
      </w:r>
    </w:p>
    <w:p>
      <w:pPr>
        <w:spacing w:after="0" w:line="223" w:lineRule="exact"/>
        <w:rPr>
          <w:sz w:val="20"/>
          <w:szCs w:val="20"/>
          <w:color w:val="auto"/>
        </w:rPr>
      </w:pPr>
    </w:p>
    <w:p>
      <w:pPr>
        <w:ind w:left="4" w:right="140" w:hanging="4"/>
        <w:spacing w:after="0" w:line="286"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Training</w:t>
      </w:r>
      <w:r>
        <w:rPr>
          <w:rFonts w:ascii="Times New Roman" w:cs="Times New Roman" w:eastAsia="Times New Roman" w:hAnsi="Times New Roman"/>
          <w:sz w:val="18"/>
          <w:szCs w:val="18"/>
          <w:color w:val="auto"/>
        </w:rPr>
        <w:t>. The Company has provided and will continue to provide Employee with such specialized training as the Company,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necessary or beneficial to the performance of Employee’s job duties.</w:t>
      </w:r>
    </w:p>
    <w:p>
      <w:pPr>
        <w:spacing w:after="0" w:line="154" w:lineRule="exact"/>
        <w:rPr>
          <w:rFonts w:ascii="Times New Roman" w:cs="Times New Roman" w:eastAsia="Times New Roman" w:hAnsi="Times New Roman"/>
          <w:sz w:val="18"/>
          <w:szCs w:val="18"/>
          <w:color w:val="auto"/>
        </w:rPr>
      </w:pPr>
    </w:p>
    <w:p>
      <w:pPr>
        <w:jc w:val="both"/>
        <w:ind w:left="4" w:right="60" w:hanging="4"/>
        <w:spacing w:after="0" w:line="272" w:lineRule="auto"/>
        <w:tabs>
          <w:tab w:leader="none" w:pos="3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Confidential Information and Restrictive Covenants</w:t>
      </w:r>
      <w:r>
        <w:rPr>
          <w:rFonts w:ascii="Times New Roman" w:cs="Times New Roman" w:eastAsia="Times New Roman" w:hAnsi="Times New Roman"/>
          <w:sz w:val="17"/>
          <w:szCs w:val="17"/>
          <w:color w:val="auto"/>
        </w:rPr>
        <w:t>. In consideration of the premises and mutual promises contained herein, and for other good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valuable consideration specified herein (including, without limitation substantial amounts of compensation, the Company Group (as defined below) shall provide the Employee with benefits and Confidential Information, the use or disclosure of which would cause the Company Group substantial loss or injury including substantial diminishment of their goodwill, and would place the Company Group at a material competitive disadvantage.</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Accordingly, the Company and the Employee hereby agree as follows:</w:t>
      </w:r>
    </w:p>
    <w:p>
      <w:pPr>
        <w:spacing w:after="0" w:line="206" w:lineRule="exact"/>
        <w:rPr>
          <w:rFonts w:ascii="Times New Roman" w:cs="Times New Roman" w:eastAsia="Times New Roman" w:hAnsi="Times New Roman"/>
          <w:sz w:val="17"/>
          <w:szCs w:val="17"/>
          <w:color w:val="auto"/>
        </w:rPr>
      </w:pPr>
    </w:p>
    <w:p>
      <w:pPr>
        <w:ind w:left="824" w:hanging="384"/>
        <w:spacing w:after="0"/>
        <w:tabs>
          <w:tab w:leader="none" w:pos="8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33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person, directly or indirectly controlling, controlled by or under common control with such person, and includes any person who is an officer, director or employee of such person and any person that would be deemed to be an “affiliate” or an “associate” of such person, as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terms are defined in Rule 12b-2 of the General Rules and Regulations under the Securities Exchange Act of 1934, as amended. As used in this definition,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partnership or other ownership interests, by contract or otherwise). With respect to any natural person, “Affiliates” shall also include, without limitation, such person’s spouse, child and any trust the beneficiaries or grantor of which are limited solely to such person and/or his or her spouse or child. As used in this Agreement,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firm, joint venture, association, joint-stock company, trust, unincorporated organization or other entity.</w:t>
      </w:r>
    </w:p>
    <w:p>
      <w:pPr>
        <w:spacing w:after="0" w:line="189" w:lineRule="exact"/>
        <w:rPr>
          <w:sz w:val="20"/>
          <w:szCs w:val="20"/>
          <w:color w:val="auto"/>
        </w:rPr>
      </w:pPr>
    </w:p>
    <w:p>
      <w:pPr>
        <w:ind w:left="1380" w:hanging="393"/>
        <w:spacing w:after="0"/>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mean D&amp;B, any subsidiary and any successor to any of the foregoing.</w:t>
      </w:r>
    </w:p>
    <w:p>
      <w:pPr>
        <w:spacing w:after="0" w:line="225" w:lineRule="exact"/>
        <w:rPr>
          <w:rFonts w:ascii="Times New Roman" w:cs="Times New Roman" w:eastAsia="Times New Roman" w:hAnsi="Times New Roman"/>
          <w:sz w:val="18"/>
          <w:szCs w:val="18"/>
          <w:color w:val="auto"/>
        </w:rPr>
      </w:pPr>
    </w:p>
    <w:p>
      <w:pPr>
        <w:ind w:right="140" w:firstLine="987"/>
        <w:spacing w:after="0" w:line="256" w:lineRule="auto"/>
        <w:tabs>
          <w:tab w:leader="none" w:pos="14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“Competitive Business” shall mean the owners or operators of venues in the Restricted Territory that combine a dining offering that is primarily full service with games, entertainment, sports attractions or sports viewing, but shall not include (x) dining establishments that derive less than 20% of their aggregate revenues from games, entertainment and sports attractions and have not highlighted sports viewing as a core offering in their consumer marketing or (y) entertainment concepts that derive less than 20% of their aggregate revenues from dining operations. For the avoidance of doubt, Competitive Business shall include, without limitation, the companies identified in Appendix A to the minutes of the Company’s compensation committee meeting whereby the form of this Agreement was approved.</w:t>
      </w:r>
    </w:p>
    <w:p>
      <w:pPr>
        <w:spacing w:after="0" w:line="187" w:lineRule="exact"/>
        <w:rPr>
          <w:rFonts w:ascii="Times New Roman" w:cs="Times New Roman" w:eastAsia="Times New Roman" w:hAnsi="Times New Roman"/>
          <w:sz w:val="18"/>
          <w:szCs w:val="18"/>
          <w:color w:val="auto"/>
        </w:rPr>
      </w:pPr>
    </w:p>
    <w:p>
      <w:pPr>
        <w:ind w:right="280" w:firstLine="987"/>
        <w:spacing w:after="0" w:line="261" w:lineRule="auto"/>
        <w:tabs>
          <w:tab w:leader="none" w:pos="142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shall mean: (a) North America and (b) any other state, province or country in which the Company (1) operates during the Employee’s employment or at the time of the Employee’s resignation or termination or (2) has expressed interest in operating or expects to operate within two (2) years following the Employee’s resignation or termination, and in each case in clause (2), of which the Employee was aware.</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8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During the term of this Agreement, the Company Group agrees to continue to provide, and the Employee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shall maintain in strict confidence and shall not disclose to third parties or use in any task, work or business (except on behalf of the Company Group) any proprietary or confidential information regarding the Company Group and/or his work with the Company Group, including, without limitation, trade secrets, current and future business plans, customers, customer lists, customer information, vendors, vendor lists, vendor information, employees, employee information, sales,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 w:name="page32"/>
    <w:bookmarkEnd w:id="3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purchasing, pricing determinations, price points, internal and external cost structures, operations, marketing, financial and other business strategies, positioning of stores, information and plans, products and services, games and amusement, development of 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without the express written permission of the Board of Directors of D&amp;B. The Employee’s confidentiality obligation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shall include, but not be limited to, any Confidential Information to which the Employee has access to, had access to, will have access to, receives, or received in connection with his employment by Company Group, and any information designated as confidential by the Company Group. Notwithstanding the foregoing, the term Confidential Information shall not include information that (i) is publicly disclosed through no fault of the Employee, either before or after it becomes known to the Employee, (ii) was known to the Employee prior to the date of this Agreement, which knowledge was acquired independently and not from the Company Group or its directors or employees or (iii) became available to the Employee on a non-confidential basis from a source other than the Company Group, provided such source is not bound by a confidentiality agreement with or other contractual, legal or fiduciary obligation of confidentiality to the Company Group or any other party with respect to such information. The Company Group and the Employee acknowledge and agree that the Confidential Information is continually evolving and changing and that some new Confidential Information will be needed by the Employee and provided by the Company Group for the first time in the course of the term of this Agreement. The Employee expressly acknowledges the trade secret status of the Confidential Information and agrees that the Employee’s access to such Confidential Information constitutes a protectable business interest of the Company Group. Notwithstanding the foregoing restrictions, the Employee may disclose any Confidential Information (a) to the Employee’s legal advisors subject to such advisor’s agreement to maintain the information as confidential, (b) to the extent required for the Employee’s enforcement of his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w:t>
      </w:r>
    </w:p>
    <w:p>
      <w:pPr>
        <w:spacing w:after="0" w:line="13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20" w:top="270" w:right="459" w:bottom="1440" w:gutter="0" w:footer="0" w:header="0"/>
        </w:sectPr>
      </w:pPr>
    </w:p>
    <w:bookmarkStart w:id="32" w:name="page33"/>
    <w:bookmarkEnd w:id="3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76" w:lineRule="exact"/>
        <w:rPr>
          <w:sz w:val="20"/>
          <w:szCs w:val="20"/>
          <w:color w:val="auto"/>
        </w:rPr>
      </w:pPr>
    </w:p>
    <w:p>
      <w:pPr>
        <w:ind w:right="180" w:firstLine="436"/>
        <w:spacing w:after="0" w:line="254"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Upon termination of the Employee’s employment with the Company Group (for any reason), the Employee shall promptly return to the Company Group all Company property, Confidential Information and all copies thereof obtained by the Employee, or his employees or agents. The Parties acknowledge that the Company Group would not retain the Employee’s services or provide him with access to its Confidential Information without the covenants and promises contained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For avoidance of doubt, the Employee shall deliver promptly to the Company Group on termination of his employment with the Company Group for any reason, or at any other time the Company Group may so request, all Confidential Information and all other documentation containing information relating to the business of the Company Group or property of the Company Group which he obtained or developed while employed by, or otherwise serving or acting on behalf of, the Company Group and which he may then possess or have under his control or relating to the “Work” (as defined below).</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8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Non-Access</w:t>
      </w:r>
      <w:r>
        <w:rPr>
          <w:rFonts w:ascii="Times New Roman" w:cs="Times New Roman" w:eastAsia="Times New Roman" w:hAnsi="Times New Roman"/>
          <w:sz w:val="18"/>
          <w:szCs w:val="18"/>
          <w:color w:val="auto"/>
        </w:rPr>
        <w:t>. Employee agrees that following the termination of his employment with D&amp;B Management, he will not access the Company Group’s computer systems, download files or any information from the Company Group’s computer systems or in any way interfere, disrupt, modify or change any computer program used by the Company Group or any data stored on the Company Group’s computer systems. Employee further agrees that all of the computers, handheld devices, and mobile telephones provided by the Company are the sole property of the Company Group.</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the Company Group’s Right In Work Product</w:t>
      </w:r>
      <w:r>
        <w:rPr>
          <w:rFonts w:ascii="Times New Roman" w:cs="Times New Roman" w:eastAsia="Times New Roman" w:hAnsi="Times New Roman"/>
          <w:sz w:val="18"/>
          <w:szCs w:val="18"/>
          <w:color w:val="auto"/>
        </w:rPr>
        <w:t>. During the term of this Agreement, the Employee will create, develop and contribute for consideration certain ideas, plans, calculations, technical specifications, works of authorship, inventions, information, data, formulas, models, reports, processes, photographs, marks, designs, computer code, concepts and/or other proprietary materials to the Company Group related to the operation or promotion of the business of the Company Group (collectively, the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All of the Work is, was and shall hereafter be, a commissioned “work for hire” owned by the Company Group within the meaning of Title 17, Section 101 of the United States Code, as amended. If any portion of the Work is determined not to be a “work for hire” or such doctrine is not effective, the Employee hereby irrevocably assigns, conveys and otherwise transfers to the Company Group, and its respective successors, licensees, and assigns, all right, title and interest worldwide in and to such portion of the Work and all proprietary rights therein, including, without limitation, all copyrights, trademarks, design patents, trade secret rights, moral rights, and all contract and licensing rights, and all claims and causes of action with respect to any of the foregoing, whether now known or hereafter to become known. In accordance with this assignment, the Company Group shall hold all ownership to all rights, without limitation,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and to all of the Work for its own use and for its legal representatives, assigns and successors, and this assignment shall be binding on and extended to the heirs, assigns, representatives and successors of the Employee. In the event the Employee has any right or interest in the Work which cannot be assigned, the Employee agrees to waive enforcement worldwide of any and all such rights or interests against the Company Group and its respective successors, licensees and assigns, and the Employee hereby exclusively and irrevocably licenses any and all such rights and interests, worldwide, to the Company Group in perpetuity and royalty-free, along with the unfettered right to sublicense. All such rights are fully assignable by Company Group. The Employee hereby agrees that all Work is created or developed for the sole use of the Company Group, and that the Employee has no right to market in any manner whatsoever any such Work.</w:t>
      </w:r>
    </w:p>
    <w:p>
      <w:pPr>
        <w:spacing w:after="0" w:line="189" w:lineRule="exact"/>
        <w:rPr>
          <w:sz w:val="20"/>
          <w:szCs w:val="20"/>
          <w:color w:val="auto"/>
        </w:rPr>
      </w:pPr>
    </w:p>
    <w:p>
      <w:pPr>
        <w:ind w:right="40" w:firstLine="436"/>
        <w:spacing w:after="0" w:line="253"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 Agreement</w:t>
      </w:r>
      <w:r>
        <w:rPr>
          <w:rFonts w:ascii="Times New Roman" w:cs="Times New Roman" w:eastAsia="Times New Roman" w:hAnsi="Times New Roman"/>
          <w:sz w:val="18"/>
          <w:szCs w:val="18"/>
          <w:color w:val="auto"/>
        </w:rPr>
        <w:t xml:space="preserve">. The Parties agree that, during the course of the Employee’s employment by the Company Group and during the term of this Agreement, the Employee will have access to, and the benefit of, the Company Group’s Confidential Information, including but not limited to, the Confidential Information described in </w:t>
      </w:r>
      <w:r>
        <w:rPr>
          <w:rFonts w:ascii="Times New Roman" w:cs="Times New Roman" w:eastAsia="Times New Roman" w:hAnsi="Times New Roman"/>
          <w:sz w:val="18"/>
          <w:szCs w:val="18"/>
          <w:u w:val="single" w:color="auto"/>
          <w:color w:val="auto"/>
        </w:rPr>
        <w:t>Paragraph 7(b)</w:t>
      </w:r>
      <w:r>
        <w:rPr>
          <w:rFonts w:ascii="Times New Roman" w:cs="Times New Roman" w:eastAsia="Times New Roman" w:hAnsi="Times New Roman"/>
          <w:sz w:val="18"/>
          <w:szCs w:val="18"/>
          <w:color w:val="auto"/>
        </w:rPr>
        <w:t xml:space="preserve">. The Parties agree that, during the Employee’s employment, the Employee will represent the Company Group and develop contacts and relationships with other persons and entities on behalf of the Company Group, including but not limited to, with customers and potential customers. To protect the Company Group’s interest in its Confidential Information, contacts and relationships, to enforce the Employee’s obligations under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employment of the Employee under this Agreement, the Parties hereby agree and covenant that during the term of this Agreement and for a period of one (1) year (or two (2) years if the Employee is Chief Executive Officer) from the termination of this Agreement for any reason (including, without limitation, resignation by the Employee or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Non-Compete Period</w:t>
      </w:r>
      <w:r>
        <w:rPr>
          <w:rFonts w:ascii="Times New Roman" w:cs="Times New Roman" w:eastAsia="Times New Roman" w:hAnsi="Times New Roman"/>
          <w:sz w:val="18"/>
          <w:szCs w:val="18"/>
          <w:color w:val="auto"/>
        </w:rPr>
        <w:t>”), the Employee shall not directly or indirectly, for himself or others, within the Restricted Territory:</w:t>
      </w:r>
    </w:p>
    <w:p>
      <w:pPr>
        <w:spacing w:after="0" w:line="81"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21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 employee, officer, director, advisor, agent, equityholder, consultant or independent contractor (whether or not compensated for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Employee may own an investment interest of less than 2% in a publicly-traded company.</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8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 Agreement</w:t>
      </w:r>
      <w:r>
        <w:rPr>
          <w:rFonts w:ascii="Times New Roman" w:cs="Times New Roman" w:eastAsia="Times New Roman" w:hAnsi="Times New Roman"/>
          <w:sz w:val="18"/>
          <w:szCs w:val="18"/>
          <w:color w:val="auto"/>
        </w:rPr>
        <w:t xml:space="preserve">. Additionally, in exchange for the consideration specified herein and as stated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and as a material incentive for the Company Group to enter into this Agreement, during the term of this Agreement and for a period of two (2) years from the termination of this Agreement for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reason (including, without limitation, resignation by the Employee) (the “</w:t>
      </w:r>
      <w:r>
        <w:rPr>
          <w:rFonts w:ascii="Times New Roman" w:cs="Times New Roman" w:eastAsia="Times New Roman" w:hAnsi="Times New Roman"/>
          <w:sz w:val="18"/>
          <w:szCs w:val="18"/>
          <w:u w:val="single" w:color="auto"/>
          <w:color w:val="auto"/>
        </w:rPr>
        <w:t>Non-Solicitation and Non-Hire Period</w:t>
      </w:r>
      <w:r>
        <w:rPr>
          <w:rFonts w:ascii="Times New Roman" w:cs="Times New Roman" w:eastAsia="Times New Roman" w:hAnsi="Times New Roman"/>
          <w:sz w:val="18"/>
          <w:szCs w:val="18"/>
          <w:color w:val="auto"/>
        </w:rPr>
        <w:t>”), the Employee shall not, directly or indirectly, on his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doing business with, adversely alter or interfere with its business relationship with, the Company Group. Further, during the Non-Solicitation and Non-Hire Period, the Employee shall not, on his own behalf or on behalf of any other person, partnership, entity, association, or corporation, (i) 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 (provided, however, that nothing herein shall restrict the Employee from engaging in any general solicitation that is not specifically targeted at such persons), nor shall he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spacing w:after="0" w:line="187" w:lineRule="exact"/>
        <w:rPr>
          <w:sz w:val="20"/>
          <w:szCs w:val="20"/>
          <w:color w:val="auto"/>
        </w:rPr>
      </w:pPr>
    </w:p>
    <w:p>
      <w:pPr>
        <w:ind w:firstLine="436"/>
        <w:spacing w:after="0" w:line="255" w:lineRule="auto"/>
        <w:tabs>
          <w:tab w:leader="none" w:pos="8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Restrictions, Modification</w:t>
      </w:r>
      <w:r>
        <w:rPr>
          <w:rFonts w:ascii="Times New Roman" w:cs="Times New Roman" w:eastAsia="Times New Roman" w:hAnsi="Times New Roman"/>
          <w:sz w:val="18"/>
          <w:szCs w:val="18"/>
          <w:color w:val="auto"/>
        </w:rPr>
        <w:t>. It is the desire and intent of the Parties to this Agreement that the provisions of this Paragraph 7 shall be enforced to the fullest extent permissible under the laws and public policies applied in each jurisdiction in which enforcement is sought. It is expressly understood and agreed that the Company Group and the Employee consider the restrictions contained in this Paragraph 7 to be reasonable and necessary for the purposes of preserving and protecting the Confidential Information and other legitimate business interests of the Company Group. Nevertheless, if any of the aforesaid restrictions is found to be unreasonable, over-broad as to geographic area, duration or scope of activity, or otherwise unenforceable, the Company Group and the Employee intend for the restrictions herein set forth to be modified to be reasonable and enforceable and, as so modified, to be fully enforced.</w:t>
      </w:r>
    </w:p>
    <w:p>
      <w:pPr>
        <w:spacing w:after="0" w:line="188" w:lineRule="exact"/>
        <w:rPr>
          <w:rFonts w:ascii="Times New Roman" w:cs="Times New Roman" w:eastAsia="Times New Roman" w:hAnsi="Times New Roman"/>
          <w:sz w:val="18"/>
          <w:szCs w:val="18"/>
          <w:color w:val="auto"/>
        </w:rPr>
      </w:pPr>
    </w:p>
    <w:p>
      <w:pPr>
        <w:ind w:right="120" w:firstLine="436"/>
        <w:spacing w:after="0" w:line="256" w:lineRule="auto"/>
        <w:tabs>
          <w:tab w:leader="none" w:pos="7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Injunctive and Other Relief</w:t>
      </w:r>
      <w:r>
        <w:rPr>
          <w:rFonts w:ascii="Times New Roman" w:cs="Times New Roman" w:eastAsia="Times New Roman" w:hAnsi="Times New Roman"/>
          <w:sz w:val="18"/>
          <w:szCs w:val="18"/>
          <w:color w:val="auto"/>
        </w:rPr>
        <w:t xml:space="preserve">. The Parties acknowledge that money damages would not be a sufficient remedy for any breach or threatened breach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by the Employee. Therefore, notwithstanding the arbitration provisions in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the Employee and the Company Group agree that the Company Group may resort to a court to enforce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by injunctive relief. The Parties agree that the Company Group may enforce this promise without posting a bond and without giving notice to the maximum extent permitted by law. The remedies addressed in this </w:t>
      </w:r>
      <w:r>
        <w:rPr>
          <w:rFonts w:ascii="Times New Roman" w:cs="Times New Roman" w:eastAsia="Times New Roman" w:hAnsi="Times New Roman"/>
          <w:sz w:val="18"/>
          <w:szCs w:val="18"/>
          <w:u w:val="single" w:color="auto"/>
          <w:color w:val="auto"/>
        </w:rPr>
        <w:t>Paragraph 7(i)</w:t>
      </w:r>
      <w:r>
        <w:rPr>
          <w:rFonts w:ascii="Times New Roman" w:cs="Times New Roman" w:eastAsia="Times New Roman" w:hAnsi="Times New Roman"/>
          <w:sz w:val="18"/>
          <w:szCs w:val="18"/>
          <w:color w:val="auto"/>
        </w:rPr>
        <w:t xml:space="preserve"> shall not be deemed the exclusive remedies for a breach and/or threatened breach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but shall be in addition to all remedies available at law or in equity to the Company Group, including, without limitation,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5" w:name="page36"/>
    <w:bookmarkEnd w:id="35"/>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recovery of damages from the Employee. The Employee agrees that the Non-Compete Period and the Non-Solicitation Period shall be tolled during any period of violation by Employee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60" w:firstLine="436"/>
        <w:spacing w:after="0" w:line="261" w:lineRule="auto"/>
        <w:tabs>
          <w:tab w:leader="none" w:pos="7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Opportunity to Cure</w:t>
      </w:r>
      <w:r>
        <w:rPr>
          <w:rFonts w:ascii="Times New Roman" w:cs="Times New Roman" w:eastAsia="Times New Roman" w:hAnsi="Times New Roman"/>
          <w:sz w:val="18"/>
          <w:szCs w:val="18"/>
          <w:color w:val="auto"/>
        </w:rPr>
        <w:t xml:space="preserve">. In the event that the Company asserts that Employee is not in compliance with any of its obligations under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unless such non-compliance or breach is willful and intentional or not susceptible to cure, the Company shall provide the Employee with written notice of such assertion and a ten (10) business day opportunity to cure such noncompliance prior to its withholding payment of any consideration specified in this Agreement or taking other legal action.</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firstLine="436"/>
        <w:spacing w:after="0" w:line="255" w:lineRule="auto"/>
        <w:tabs>
          <w:tab w:leader="none" w:pos="8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This Agreement shall automatically terminate upon the death of Employee or upon Employee’s becoming disabled to the extent that he is unable to engage in any substantial gainful activity by reason of any medically determinable physical or mental impairment which can be expected to result in death or can be expected to last for a continuous period of not less than twelve (12) months, or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D&amp;B Management. The determination of Employee’s disability shall be made in good faith by a physician reasonably acceptable to the Company.</w:t>
      </w:r>
    </w:p>
    <w:p>
      <w:pPr>
        <w:spacing w:after="0" w:line="188" w:lineRule="exact"/>
        <w:rPr>
          <w:rFonts w:ascii="Times New Roman" w:cs="Times New Roman" w:eastAsia="Times New Roman" w:hAnsi="Times New Roman"/>
          <w:sz w:val="18"/>
          <w:szCs w:val="18"/>
          <w:color w:val="auto"/>
        </w:rPr>
      </w:pPr>
    </w:p>
    <w:p>
      <w:pPr>
        <w:ind w:left="4" w:firstLine="436"/>
        <w:spacing w:after="0" w:line="255" w:lineRule="auto"/>
        <w:tabs>
          <w:tab w:leader="none" w:pos="8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Notice</w:t>
      </w:r>
      <w:r>
        <w:rPr>
          <w:rFonts w:ascii="Times New Roman" w:cs="Times New Roman" w:eastAsia="Times New Roman" w:hAnsi="Times New Roman"/>
          <w:sz w:val="18"/>
          <w:szCs w:val="18"/>
          <w:color w:val="auto"/>
        </w:rPr>
        <w:t xml:space="preserve">. Either the Company or the Employee may terminate this Agreement at any time during the term by giving the other Party no less than thirty (30) days’ prior written notice of the date of termination. Promptly after the Employee or the Company gives such notice, the Parties shall meet and in good faith confer regarding the Employee’s work responsibilities during the remainder of the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determine in its sole discretion to not have the Employee continue his work responsibilities and the Employee shall promptly cease his work responsibility and vacate his office. During the remainder of the notice period (if so requested by the Company), Employee agrees to use best efforts to continue performing the duties assigned by the Company, and the Company agrees to continue compensating Employee until the termination date with the same pay and benefits as before the notice was given.</w:t>
      </w:r>
    </w:p>
    <w:p>
      <w:pPr>
        <w:spacing w:after="0" w:line="188"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8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The Company may terminate this Agreement without any prior written notice to Employee if the termination is “for cause.” For purposes of this Agreement “for cause” shall be defined as the willful and continued failure by Employee to perform the duties assigned by the Chief Executive Officer (or the Board of Directors if the Employee is Chief Executive Officer), failure to follow reasonable business-related directions from the Chief Executive Officer (or the Board of Directors if the Employee is Chief Executive Officer), gross insubordination, theft from the Company or its Affiliates, habitual absenteeism or tardiness, conviction or plea of a felony, or any other reckless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6" w:name="page37"/>
    <w:bookmarkEnd w:id="36"/>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willful misconduct that is contrary to the best interests of the Company or materially and adversely affects the reputation of the Company. If the Chief Executive Officer (or the Board of Directors if the Employee is Chief Executive Officer) believes that an event constituting “for cause” under this section has occurred and such event (i) is not a criminal offense and (ii) is readily curable by Employee, then the Chief Executive Officer (or the Board of Directors if the Employee is Chief Executive Officer) shall provide written notice to the Employee setting forth: (A) the Chief Executive Officer’s (or the Board of Directors’ if the Employee is Chief Executive Officer) intent to terminate the Employee’s employment for cause, and (B) the reasons for the Chief Executive Officer’s (or the Board of Directors’ if the Employee is Chief Executive Officer) intent to terminate the Employee’s employment for cause. The Employee shall have ten (10) business days following the receipt of such notice to cure the alleged breach. The Chief Executive Officer (or the Board of Directors if the Employee is Chief Executive Officer) may terminate this Agreement without any further notice to Employee if such cure has not occurred within such ten (10) business day period. In the event that the Company contends that the event is not readily curable by Employee, the Chief Executive Officer (or the Board of Directors if the Employee is Chief Executive Officer) shall provide written notice to Employee setting forth:</w:t>
      </w:r>
    </w:p>
    <w:p>
      <w:pPr>
        <w:spacing w:after="0" w:line="4" w:lineRule="exact"/>
        <w:rPr>
          <w:sz w:val="20"/>
          <w:szCs w:val="20"/>
          <w:color w:val="auto"/>
        </w:rPr>
      </w:pPr>
    </w:p>
    <w:p>
      <w:pPr>
        <w:ind w:left="4" w:right="60" w:hanging="4"/>
        <w:spacing w:after="0" w:line="255" w:lineRule="auto"/>
        <w:tabs>
          <w:tab w:leader="none" w:pos="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Chief Executive Officer’s (or the Board of Directors’ if the Employee is Chief Executive Officer) intent to terminate Employee’s employment “for cause” and (Y) the basis for the Chief Executive Officer’s (or the Board of Directors’ if the Employee is Chief Executive Officer) determination that such event is not readily curable.</w:t>
      </w:r>
    </w:p>
    <w:p>
      <w:pPr>
        <w:spacing w:after="0" w:line="185" w:lineRule="exact"/>
        <w:rPr>
          <w:rFonts w:ascii="Times New Roman" w:cs="Times New Roman" w:eastAsia="Times New Roman" w:hAnsi="Times New Roman"/>
          <w:sz w:val="18"/>
          <w:szCs w:val="18"/>
          <w:color w:val="auto"/>
        </w:rPr>
      </w:pPr>
    </w:p>
    <w:p>
      <w:pPr>
        <w:ind w:left="4" w:right="180" w:firstLine="436"/>
        <w:spacing w:after="0" w:line="253" w:lineRule="auto"/>
        <w:tabs>
          <w:tab w:leader="none" w:pos="83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 Good Reason</w:t>
      </w:r>
      <w:r>
        <w:rPr>
          <w:rFonts w:ascii="Times New Roman" w:cs="Times New Roman" w:eastAsia="Times New Roman" w:hAnsi="Times New Roman"/>
          <w:sz w:val="18"/>
          <w:szCs w:val="18"/>
          <w:color w:val="auto"/>
        </w:rPr>
        <w:t xml:space="preserve">. The Employee may terminate this Agreement without any prior written notice to the Company if the termination is “for good reason.” For purposes of this Agreement “for good reason” shall be defined as (i) the material breach by the Company of this Agreement; (ii) the Company’s relocation of the office where Employee performs his duties by twenty-five (25) or more miles; (iii) assignment to the Employee of any duties, authority or responsibilities that are materially inconsistent with the Employee’s position, authority, duties or responsibilities, or any other Company action that results in the material diminution in such position, authorities, duties or responsibilities; (iv) substantial change in organizational reporting relationships as compared to the Effective Date that will materially impact Employee’s title, status, position, authority, duties or responsibilities reporting requirements; and (v) any other purported termination of the Employee other than under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occurrence of any event described in this sentence may only constitute termination “for good reason” if (a) the Employee gives the Company written notice of his intention to terminate his employment “for good reason” and, in reasonable detail, of the event constituting grounds for such termination within sixty (60) days of the occurrence of such event, and (b) the relevant circumstances or conditions are not remedied by the Company within thirty (30) days after receipt by the Company of such written notice from the Employee.</w:t>
      </w:r>
    </w:p>
    <w:p>
      <w:pPr>
        <w:spacing w:after="0" w:line="19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8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Release</w:t>
      </w:r>
      <w:r>
        <w:rPr>
          <w:rFonts w:ascii="Times New Roman" w:cs="Times New Roman" w:eastAsia="Times New Roman" w:hAnsi="Times New Roman"/>
          <w:sz w:val="18"/>
          <w:szCs w:val="18"/>
          <w:color w:val="auto"/>
        </w:rPr>
        <w:t xml:space="preserve">. In the event that the Employee’s employment with the Company under this Agreement is terminated for reasons other than (x)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 8(f)</w:t>
      </w:r>
      <w:r>
        <w:rPr>
          <w:rFonts w:ascii="Times New Roman" w:cs="Times New Roman" w:eastAsia="Times New Roman" w:hAnsi="Times New Roman"/>
          <w:sz w:val="18"/>
          <w:szCs w:val="18"/>
          <w:color w:val="auto"/>
        </w:rPr>
        <w:t xml:space="preserve"> or (y)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7" w:name="page38"/>
    <w:bookmarkEnd w:id="3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cause” as defined in </w:t>
      </w:r>
      <w:r>
        <w:rPr>
          <w:rFonts w:ascii="Times New Roman" w:cs="Times New Roman" w:eastAsia="Times New Roman" w:hAnsi="Times New Roman"/>
          <w:sz w:val="18"/>
          <w:szCs w:val="18"/>
          <w:u w:val="single" w:color="auto"/>
          <w:color w:val="auto"/>
        </w:rPr>
        <w:t>Paragraph 8(c)</w:t>
      </w:r>
      <w:r>
        <w:rPr>
          <w:rFonts w:ascii="Times New Roman" w:cs="Times New Roman" w:eastAsia="Times New Roman" w:hAnsi="Times New Roman"/>
          <w:sz w:val="18"/>
          <w:szCs w:val="18"/>
          <w:color w:val="auto"/>
        </w:rPr>
        <w:t>, the Company shall, conditioned upon the Employee’s compliance with this Agreement and upon the Employee’s execution of a fully effective and non-revocable general release in favor of the Company, its Board of Directors, Affiliates, and employees, in such form as reasonably approved by the Company and the Employee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sixty (60) days of the Employee’s termination of employment, which Release shall be provided to the Employee within five (5) days of the Employee’s termination of employment, pay to the Employee: (i) twelve (12) months (or twenty-four (24) months if the Employee is Chief Executive Officer) of severance pay at the Employee’s then current base salary from the date of termination of the Employee’s employment (adjusted, if applicable, as described below to take into account the amount of disability insurance payments received by the Employee), in accordance with the Company’s normal payroll schedule and procedures and commencing on the first payroll date of the Company following the sixtieth (60th) day of the Employee’s termination of employment (the “</w:t>
      </w:r>
      <w:r>
        <w:rPr>
          <w:rFonts w:ascii="Times New Roman" w:cs="Times New Roman" w:eastAsia="Times New Roman" w:hAnsi="Times New Roman"/>
          <w:sz w:val="18"/>
          <w:szCs w:val="18"/>
          <w:u w:val="single" w:color="auto"/>
          <w:color w:val="auto"/>
        </w:rPr>
        <w:t>First Payroll Date</w:t>
      </w:r>
      <w:r>
        <w:rPr>
          <w:rFonts w:ascii="Times New Roman" w:cs="Times New Roman" w:eastAsia="Times New Roman" w:hAnsi="Times New Roman"/>
          <w:sz w:val="18"/>
          <w:szCs w:val="18"/>
          <w:color w:val="auto"/>
        </w:rPr>
        <w:t xml:space="preserve">”), and subject to all applicable withholding (it being agreed that the sum of the after-tax value of these monthly payments and any income replacement benefits received from Company-provided disability insurance as described in </w:t>
      </w:r>
      <w:r>
        <w:rPr>
          <w:rFonts w:ascii="Times New Roman" w:cs="Times New Roman" w:eastAsia="Times New Roman" w:hAnsi="Times New Roman"/>
          <w:sz w:val="18"/>
          <w:szCs w:val="18"/>
          <w:u w:val="single" w:color="auto"/>
          <w:color w:val="auto"/>
        </w:rPr>
        <w:t>Paragraph 8(a</w:t>
      </w:r>
      <w:r>
        <w:rPr>
          <w:rFonts w:ascii="Times New Roman" w:cs="Times New Roman" w:eastAsia="Times New Roman" w:hAnsi="Times New Roman"/>
          <w:sz w:val="18"/>
          <w:szCs w:val="18"/>
          <w:color w:val="auto"/>
        </w:rPr>
        <w:t xml:space="preserve">) shall not exceed the after-tax value of the Employee’s then-current base salary). The portion of the severance pay that would have been paid to the Employee during the period between the Employee’s termination of employment and the First Payroll Date had no sixty-day delay been required shall be paid to the Employee on the First Payroll Date and thereafter the remaining portion of the severance pay shall be paid without delay as provided in clause (i)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(ii) an amount equal to the annual bonus, if any, earned based on actual performance by the Employee for the prior fiscal year, if it has not previously been paid by the Company payable in a single lump sum payment at the time provided for under the bonus plan (but without regard to any requirement that the Employee be employed on the bonus payment date) or if later, on the First Payroll Date; (iii) the pro rata portion of the annual bonus, if any, earned based on actual performance by the Employee for the then-current fiscal year, payable in the calendar year in which the then-current fiscal year ends, but in no event later than one hundred twenty</w:t>
      </w:r>
    </w:p>
    <w:p>
      <w:pPr>
        <w:spacing w:after="0" w:line="9" w:lineRule="exact"/>
        <w:rPr>
          <w:sz w:val="20"/>
          <w:szCs w:val="20"/>
          <w:color w:val="auto"/>
        </w:rPr>
      </w:pPr>
    </w:p>
    <w:p>
      <w:pPr>
        <w:jc w:val="both"/>
        <w:ind w:right="660" w:firstLine="1"/>
        <w:spacing w:after="0" w:line="265" w:lineRule="auto"/>
        <w:tabs>
          <w:tab w:leader="none" w:pos="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end of such fiscal year and no earlier than the First Payroll Date, in accordance with the Company’s standard procedures for paying any such bonus to other employees under the bonus plan, except for any requirement that the Employee be employed on the bonus payment date, and subject to all applicable withholding; and (iv) monthly payments for a period of twelve</w:t>
      </w:r>
    </w:p>
    <w:p>
      <w:pPr>
        <w:ind w:right="120" w:firstLine="1"/>
        <w:spacing w:after="0" w:line="251" w:lineRule="auto"/>
        <w:tabs>
          <w:tab w:leader="none" w:pos="3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Employee’s termination, payable in accordance with the Company’s normal payroll schedule and procedures and commencing on the First Payroll Date, and subject to all applicable withholding, that are equal to the monthly premium required by the Employee to maintain his health insurance benefits provided by the Company’s group health insurance plan, in accordance with the requirements of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(it being understood that the portion of such payments described in clause (iv) that would have been paid to the Employee during the period between the Employee’s termination of employment and the First Payroll Date had no sixty-day delay been required shall be paid to the Employee on the First Payroll Date, and thereafter the remaining portion of such payments shall be paid without delay). In the event that this Agreement is terminated “for cause” pursuant to </w:t>
      </w:r>
      <w:r>
        <w:rPr>
          <w:rFonts w:ascii="Times New Roman" w:cs="Times New Roman" w:eastAsia="Times New Roman" w:hAnsi="Times New Roman"/>
          <w:sz w:val="18"/>
          <w:szCs w:val="18"/>
          <w:u w:val="single" w:color="auto"/>
          <w:color w:val="auto"/>
        </w:rPr>
        <w:t>Paragraph 8(c</w:t>
      </w:r>
      <w:r>
        <w:rPr>
          <w:rFonts w:ascii="Times New Roman" w:cs="Times New Roman" w:eastAsia="Times New Roman" w:hAnsi="Times New Roman"/>
          <w:sz w:val="18"/>
          <w:szCs w:val="18"/>
          <w:color w:val="auto"/>
        </w:rPr>
        <w:t>), the</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00"/>
          </w:cols>
          <w:pgMar w:left="1420" w:top="270" w:right="479" w:bottom="1440" w:gutter="0" w:footer="0" w:header="0"/>
        </w:sectPr>
      </w:pPr>
    </w:p>
    <w:bookmarkStart w:id="38" w:name="page39"/>
    <w:bookmarkEnd w:id="3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shall pay to the Employee only (A) that base salary which has been earned by the Employee through the date of termination payable in accordance with the Company’s normal payroll practices and (B) unless the “for cause” termination results from the Employee’s theft from the Company or its Affiliates, conviction or plea of a felony, or any other reckless or willful misconduct that materially and adversely affects the reputation of the Company, the annual bonus, if any, described in clause (ii)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and payable in accordance with clause (ii)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if it has not previously been paid by the Company. In the event that this Agreement is terminated upon notice from the Employee pursuant to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the Company shall pay to the Employee only (1) that base salary which has been earned by the Employee through the date of termination payable in accordance with the Company’s normal payroll practices and (2) the annual bonus, if any, described in </w:t>
      </w:r>
      <w:r>
        <w:rPr>
          <w:rFonts w:ascii="Times New Roman" w:cs="Times New Roman" w:eastAsia="Times New Roman" w:hAnsi="Times New Roman"/>
          <w:sz w:val="18"/>
          <w:szCs w:val="18"/>
          <w:u w:val="single" w:color="auto"/>
          <w:color w:val="auto"/>
        </w:rPr>
        <w:t>Paragraph 8(e)(ii</w:t>
      </w:r>
      <w:r>
        <w:rPr>
          <w:rFonts w:ascii="Times New Roman" w:cs="Times New Roman" w:eastAsia="Times New Roman" w:hAnsi="Times New Roman"/>
          <w:sz w:val="18"/>
          <w:szCs w:val="18"/>
          <w:color w:val="auto"/>
        </w:rPr>
        <w:t xml:space="preserve">) above and payable in accordance with </w:t>
      </w:r>
      <w:r>
        <w:rPr>
          <w:rFonts w:ascii="Times New Roman" w:cs="Times New Roman" w:eastAsia="Times New Roman" w:hAnsi="Times New Roman"/>
          <w:sz w:val="18"/>
          <w:szCs w:val="18"/>
          <w:u w:val="single" w:color="auto"/>
          <w:color w:val="auto"/>
        </w:rPr>
        <w:t>Paragraph 8(e)(ii</w:t>
      </w:r>
      <w:r>
        <w:rPr>
          <w:rFonts w:ascii="Times New Roman" w:cs="Times New Roman" w:eastAsia="Times New Roman" w:hAnsi="Times New Roman"/>
          <w:sz w:val="18"/>
          <w:szCs w:val="18"/>
          <w:color w:val="auto"/>
        </w:rPr>
        <w:t xml:space="preserve">). Notwithstanding any provision to the contrary in this Agreement, no amount shall be paid pursuant to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unless the Employee’s termination of employment constitutes of “separation from service” (as such term is defined in Treas. Reg. Section 1.409-1(h), including the default presumptions). The Employee agrees to return to the Company any payments received pursuant to this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in the event that Employee does not fully comply (after written notice and opportunity to cure as provided in Paragraph 7(j) above) with all post-employment obligations set out in this Agreement, including, but not limited to, the restrictive covenants and the restrictions on disclosure of the Confidential Information of the Company Group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firstLine="436"/>
        <w:spacing w:after="0" w:line="254" w:lineRule="auto"/>
        <w:tabs>
          <w:tab w:leader="none" w:pos="8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Release Upon Termination by the Employee Upon Notice</w:t>
      </w:r>
      <w:r>
        <w:rPr>
          <w:rFonts w:ascii="Times New Roman" w:cs="Times New Roman" w:eastAsia="Times New Roman" w:hAnsi="Times New Roman"/>
          <w:sz w:val="18"/>
          <w:szCs w:val="18"/>
          <w:color w:val="auto"/>
        </w:rPr>
        <w:t xml:space="preserve">. Notwithstanding anything to the contrary contained herein, if the Employee’s employment with the Company is terminated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(including, without limitation, resignation by the Employee), the Company may at its sole option elect to: (i) provide any payments and other severance benefits set forth in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to the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Employee is at any time not in full compliance with the Employee’s obligations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the Employee shall forfeit any and all payments and other severance benefits set forth in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Employee is provided payments or other severance benefits described in Paragraph 8(e), the Employee shall execute a Release, or (ii) not provide any payments and other severance benefits set forth in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to the Employee (and, for the avoidance of doubt, the Employee shall continue to be bound by all of the terms of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8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compensation or other benefit provided to the Employee in connection with his employment termination is determined, in whole or in part, to constitute “nonqualified deferred compensation” within the meaning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the Employee is a specified employee as defined in Section 409A(a)(2)(B)(i), then no portion of such “nonqualified deferred compensation” shall be paid before the earlier of (i) the day that is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 (6) months plus one (1) day after the date of termination or (ii) five (5) days following the Employee’s death (the “</w:t>
      </w:r>
      <w:r>
        <w:rPr>
          <w:rFonts w:ascii="Times New Roman" w:cs="Times New Roman" w:eastAsia="Times New Roman" w:hAnsi="Times New Roman"/>
          <w:sz w:val="18"/>
          <w:szCs w:val="18"/>
          <w:u w:val="single" w:color="auto"/>
          <w:color w:val="auto"/>
        </w:rPr>
        <w:t>New Payment Date</w:t>
      </w:r>
      <w:r>
        <w:rPr>
          <w:rFonts w:ascii="Times New Roman" w:cs="Times New Roman" w:eastAsia="Times New Roman" w:hAnsi="Times New Roman"/>
          <w:sz w:val="18"/>
          <w:szCs w:val="18"/>
          <w:color w:val="auto"/>
        </w:rPr>
        <w:t>”). The aggregate of any payments that otherwise would have been paid to the Employee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Notwithstanding the foregoing, to the extent that the foregoing applies to the provision of any ongoing welfare benefits to the Employee that would not be required to be delayed if the premiums therefor were paid by the Employee, the Employee shall pay the full cost of premiums for such welfare benefits during the six-month period and the Company shall pay the Employee an amount equal to the amount of such premiums paid by the Employee during such six-month period promptly after its conclusion.</w:t>
      </w:r>
    </w:p>
    <w:p>
      <w:pPr>
        <w:spacing w:after="0" w:line="192" w:lineRule="exact"/>
        <w:rPr>
          <w:sz w:val="20"/>
          <w:szCs w:val="20"/>
          <w:color w:val="auto"/>
        </w:rPr>
      </w:pPr>
    </w:p>
    <w:p>
      <w:pPr>
        <w:ind w:firstLine="436"/>
        <w:spacing w:after="0" w:line="255" w:lineRule="auto"/>
        <w:tabs>
          <w:tab w:leader="none" w:pos="8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interpretation of Section 409A and its application to the terms of this Agreement is uncertain and may be subject to change as additional guidance and interpretations become available. Anything to the contrary herein notwithstanding, all benefits or payments provided by the Company to the Employee that would be deemed to constitute “nonqualified deferred compensation” within the meaning of Section 409A are intended to comply with Section 409A. If, however, any such benefit or payment is deemed to not comply with</w:t>
      </w:r>
    </w:p>
    <w:p>
      <w:pPr>
        <w:spacing w:after="0" w:line="2"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Notwithstanding the foregoing, the Company makes no guarantee of any federal, state or local tax consequences with respect to the interpretation of Section 409A and its application to the terms of this Agreement, and the Company shall have no liability for any adverse tax consequences of the Employee, as a result of any violation of Section 409A.</w:t>
      </w:r>
    </w:p>
    <w:p>
      <w:pPr>
        <w:spacing w:after="0" w:line="186" w:lineRule="exact"/>
        <w:rPr>
          <w:rFonts w:ascii="Times New Roman" w:cs="Times New Roman" w:eastAsia="Times New Roman" w:hAnsi="Times New Roman"/>
          <w:sz w:val="18"/>
          <w:szCs w:val="18"/>
          <w:color w:val="auto"/>
        </w:rPr>
      </w:pPr>
    </w:p>
    <w:p>
      <w:pPr>
        <w:ind w:right="20" w:firstLine="436"/>
        <w:spacing w:after="0" w:line="254"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all reimbursements for costs and expenses under this Agreement shall be paid in no event later than the end of the taxable year following the taxable year in which the Employee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(ii) shall not be violated with regard to expenses reimbursed under any arrangement covered by Section 105(b) of the Internal Revenue Code of 1986, as amended, solely because such expenses are subject to a limit related to the period the arrangement is in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0" w:name="page41"/>
    <w:bookmarkEnd w:id="40"/>
    <w:p>
      <w:pPr>
        <w:ind w:left="4" w:right="120" w:firstLine="436"/>
        <w:spacing w:after="0" w:line="282" w:lineRule="auto"/>
        <w:tabs>
          <w:tab w:leader="none" w:pos="8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under this Agreement, an amount is paid in two or more installments, for purposes of Section 409A, each installment shall be treated as a separate payment.</w:t>
      </w:r>
    </w:p>
    <w:p>
      <w:pPr>
        <w:spacing w:after="0" w:line="161"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8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as defined in Treas. Reg. Section 1.409A-1(h), including the default presumptions, and for purposes of any such provision of this Agreement, references to a “resignation,” “termination,” “terminate,” “termination of employment” or like terms shall mean separation from service.</w:t>
      </w:r>
    </w:p>
    <w:p>
      <w:pPr>
        <w:spacing w:after="0" w:line="179" w:lineRule="exact"/>
        <w:rPr>
          <w:rFonts w:ascii="Times New Roman" w:cs="Times New Roman" w:eastAsia="Times New Roman" w:hAnsi="Times New Roman"/>
          <w:sz w:val="18"/>
          <w:szCs w:val="18"/>
          <w:color w:val="auto"/>
        </w:rPr>
      </w:pPr>
    </w:p>
    <w:p>
      <w:pPr>
        <w:ind w:left="4" w:right="40" w:hanging="4"/>
        <w:spacing w:after="0" w:line="252" w:lineRule="auto"/>
        <w:tabs>
          <w:tab w:leader="none" w:pos="4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Arbitration</w:t>
      </w:r>
      <w:r>
        <w:rPr>
          <w:rFonts w:ascii="Times New Roman" w:cs="Times New Roman" w:eastAsia="Times New Roman" w:hAnsi="Times New Roman"/>
          <w:sz w:val="18"/>
          <w:szCs w:val="18"/>
          <w:color w:val="auto"/>
        </w:rPr>
        <w:t>. The Employee and the Company hereby agree that any controversy or claim arising out of or relating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w:t>
      </w:r>
      <w:r>
        <w:rPr>
          <w:rFonts w:ascii="Times New Roman" w:cs="Times New Roman" w:eastAsia="Times New Roman" w:hAnsi="Times New Roman"/>
          <w:sz w:val="18"/>
          <w:szCs w:val="18"/>
          <w:u w:val="single" w:color="auto"/>
          <w:color w:val="auto"/>
        </w:rPr>
        <w:t>Panel</w:t>
      </w:r>
      <w:r>
        <w:rPr>
          <w:rFonts w:ascii="Times New Roman" w:cs="Times New Roman" w:eastAsia="Times New Roman" w:hAnsi="Times New Roman"/>
          <w:sz w:val="18"/>
          <w:szCs w:val="18"/>
          <w:color w:val="auto"/>
        </w:rPr>
        <w:t>”) admitted to practice law in Texas for at least ten (10) years, in accordance with the American Arbitration Association Rules. Any such arbitration proceeding shall be administered by the American Arbitration Association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his own arbitration costs, attorneys’ fees and expenses.</w:t>
      </w:r>
    </w:p>
    <w:p>
      <w:pPr>
        <w:spacing w:after="0" w:line="198" w:lineRule="exact"/>
        <w:rPr>
          <w:rFonts w:ascii="Times New Roman" w:cs="Times New Roman" w:eastAsia="Times New Roman" w:hAnsi="Times New Roman"/>
          <w:sz w:val="18"/>
          <w:szCs w:val="18"/>
          <w:color w:val="auto"/>
        </w:rPr>
      </w:pPr>
    </w:p>
    <w:p>
      <w:pPr>
        <w:ind w:left="4" w:firstLine="436"/>
        <w:spacing w:after="0" w:line="261" w:lineRule="auto"/>
        <w:tabs>
          <w:tab w:leader="none" w:pos="8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41" w:name="page42"/>
    <w:bookmarkEnd w:id="41"/>
    <w:p>
      <w:pPr>
        <w:ind w:left="4" w:right="60" w:firstLine="436"/>
        <w:spacing w:after="0" w:line="266" w:lineRule="auto"/>
        <w:tabs>
          <w:tab w:leader="none" w:pos="8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will keep confidential, and will not disclose to any person, except as may be required by law, the existence of any controversy under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the referral of any such controversy to arbitration or the status or resolution thereof. In addition, the confidentiality restrictions set forth in this Agreement shall continue in full force and effect.</w:t>
      </w:r>
    </w:p>
    <w:p>
      <w:pPr>
        <w:spacing w:after="0" w:line="175"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should be construed to constitute a waiver of the Parties’ rights and obligations to arbitrate as set forth in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8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w:t>
      </w:r>
      <w:r>
        <w:rPr>
          <w:rFonts w:ascii="Times New Roman" w:cs="Times New Roman" w:eastAsia="Times New Roman" w:hAnsi="Times New Roman"/>
          <w:sz w:val="18"/>
          <w:szCs w:val="18"/>
          <w:u w:val="single" w:color="auto"/>
          <w:color w:val="auto"/>
        </w:rPr>
        <w:t>PARAGRAPH 10(d)</w:t>
      </w:r>
      <w:r>
        <w:rPr>
          <w:rFonts w:ascii="Times New Roman" w:cs="Times New Roman" w:eastAsia="Times New Roman" w:hAnsi="Times New Roman"/>
          <w:sz w:val="18"/>
          <w:szCs w:val="18"/>
          <w:color w:val="auto"/>
        </w:rPr>
        <w:t xml:space="preserve"> CONSTITUTES A MATERIAL INDUCEMENT UPON WHICH IT OR HE IS RELYING AND WILL RELY IN ENTERING INTO THIS AGREEMENT.</w:t>
      </w:r>
    </w:p>
    <w:p>
      <w:pPr>
        <w:spacing w:after="0" w:line="187"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BEFORE ACCEPTING THE TERMS OF THIS AGREEMENT, INCLUDING THE RESTRICTIVE COVENANT TERMS, PLEASE READ AND UNDERSTAND YOUR CONTINUING OBLIGATIONS TO THE COMPANY AND ITS AFFILIATES.</w:t>
      </w:r>
    </w:p>
    <w:p>
      <w:pPr>
        <w:spacing w:after="0" w:line="158" w:lineRule="exact"/>
        <w:rPr>
          <w:sz w:val="20"/>
          <w:szCs w:val="20"/>
          <w:color w:val="auto"/>
        </w:rPr>
      </w:pPr>
    </w:p>
    <w:p>
      <w:pPr>
        <w:ind w:left="4" w:hanging="4"/>
        <w:spacing w:after="0" w:line="255" w:lineRule="auto"/>
        <w:tabs>
          <w:tab w:leader="none" w:pos="4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Employee to the fullest extent permitted by Section 145 of the Delaware General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against all costs, expenses, liabilities and losses, including but not limited to, attorneys fees, judgments, fines, penalties, taxes and amounts paid in settlement, reasonably incurred by Employee in conjunction with any action, suit, or proceeding, whether civil, criminal, administrative, or investigative in nature, which the Employee is made or threatened to be made a party or witness by reason of his position as officer, employee or agent of the Company or otherwise due to his association with the Company or due to his position or association with any other entity, at the request of the Company. The Company shall advance to Employee all reasonable costs and expenses incurred in connection with such action within twenty (20) days after receipt by the Company of Employee’s written request. The Company shall be entitled to be reimbursed by Employee and Employee agrees to reimburse the Company if</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42" w:name="page43"/>
    <w:bookmarkEnd w:id="42"/>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determined that Employee is not entitled to be indemnified with respect to an action, suit, or proceeding under applicable law. The Company shall not settle any such claim in any manner which would impose liability, including monetary penalties or censure, on the Employee without his prior written consent, unless the Employee would be harmed by such action.</w:t>
      </w:r>
    </w:p>
    <w:p>
      <w:pPr>
        <w:spacing w:after="0" w:line="172" w:lineRule="exact"/>
        <w:rPr>
          <w:sz w:val="20"/>
          <w:szCs w:val="20"/>
          <w:color w:val="auto"/>
        </w:rPr>
      </w:pPr>
    </w:p>
    <w:p>
      <w:pPr>
        <w:ind w:left="4" w:right="60" w:hanging="4"/>
        <w:spacing w:after="0" w:line="259"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Submission to Jurisdiction; Jury Waiver</w:t>
      </w:r>
      <w:r>
        <w:rPr>
          <w:rFonts w:ascii="Times New Roman" w:cs="Times New Roman" w:eastAsia="Times New Roman" w:hAnsi="Times New Roman"/>
          <w:sz w:val="18"/>
          <w:szCs w:val="18"/>
          <w:color w:val="auto"/>
        </w:rPr>
        <w:t>. THIS AGREEMENT SHALL BE EXCLUSIVELY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spacing w:after="0" w:line="179" w:lineRule="exact"/>
        <w:rPr>
          <w:rFonts w:ascii="Times New Roman" w:cs="Times New Roman" w:eastAsia="Times New Roman" w:hAnsi="Times New Roman"/>
          <w:sz w:val="18"/>
          <w:szCs w:val="18"/>
          <w:color w:val="auto"/>
        </w:rPr>
      </w:pPr>
    </w:p>
    <w:p>
      <w:pPr>
        <w:ind w:left="4" w:hanging="4"/>
        <w:spacing w:after="0" w:line="257"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is declared or found to be illegal, unenforceable, or void, in whole or in part, then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relieved of all obligations arising under such provision, but only to the extent it is illegal, unenforceable, or void. The Parties intend that this Agreement will be deemed amended by modifying any such illegal, unenforceable, or void provision to the extent necessary to make it legal and enforceable while preserving its intent, or if such is not possible, by substituting therefor another provision that is legal and enforceable and achieves the same objectives. Notwithstanding the foregoing, if the remainder of this Agreement will not be affected by such declaration or finding and is capable of substantial performance, then each provision not so affected will be enforced to the extent permitted by law.</w:t>
      </w:r>
    </w:p>
    <w:p>
      <w:pPr>
        <w:spacing w:after="0" w:line="182" w:lineRule="exact"/>
        <w:rPr>
          <w:rFonts w:ascii="Times New Roman" w:cs="Times New Roman" w:eastAsia="Times New Roman" w:hAnsi="Times New Roman"/>
          <w:sz w:val="18"/>
          <w:szCs w:val="18"/>
          <w:color w:val="auto"/>
        </w:rPr>
      </w:pPr>
    </w:p>
    <w:p>
      <w:pPr>
        <w:ind w:left="4" w:hanging="4"/>
        <w:spacing w:after="0" w:line="259"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delay or omission by any Party to this Agreement to exercise any right or power under this Agreement will impair such right or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construed as a waiver thereof. A waiver by any of the Parties to this Agreement of any of the covenants to be performed by the other or any breach thereof will not be construed to be a waiver of any succeeding breach thereof or of any other covenant contained in this Agreement. All remedies provided for in this Agreement will be cumulative and in addition to and not in lieu of any other remedies available to any Party at law, in equity or otherwise.</w:t>
      </w:r>
    </w:p>
    <w:p>
      <w:pPr>
        <w:spacing w:after="0" w:line="179" w:lineRule="exact"/>
        <w:rPr>
          <w:rFonts w:ascii="Times New Roman" w:cs="Times New Roman" w:eastAsia="Times New Roman" w:hAnsi="Times New Roman"/>
          <w:sz w:val="18"/>
          <w:szCs w:val="18"/>
          <w:color w:val="auto"/>
        </w:rPr>
      </w:pPr>
    </w:p>
    <w:p>
      <w:pPr>
        <w:ind w:left="4" w:right="280" w:hanging="4"/>
        <w:spacing w:after="0" w:line="291" w:lineRule="auto"/>
        <w:tabs>
          <w:tab w:leader="none" w:pos="40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Any notices, consents, demands, requests, approvals and other communications to be given under this Agreement by any Party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shall be deemed to have been duly given if given in writing and personally delivered or sent by mail (registered or certified) or by a recognized “next-day delivery service” to the address set forth below a Party’s signature, with a courtesy copy provided to the Company’s General Counsel.</w:t>
      </w:r>
    </w:p>
    <w:p>
      <w:pPr>
        <w:spacing w:after="0" w:line="152" w:lineRule="exact"/>
        <w:rPr>
          <w:rFonts w:ascii="Times New Roman" w:cs="Times New Roman" w:eastAsia="Times New Roman" w:hAnsi="Times New Roman"/>
          <w:sz w:val="17"/>
          <w:szCs w:val="17"/>
          <w:color w:val="auto"/>
        </w:rPr>
      </w:pPr>
    </w:p>
    <w:p>
      <w:pPr>
        <w:ind w:left="4" w:hanging="4"/>
        <w:spacing w:after="0" w:line="268"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represents the entire agreement relating to employment between the Company and Employee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previous oral and written and all contemporaneous oral negotiations or commitments, writings and other understandings which, at the Effective Date, shall be deemed to be terminated and of no</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43" w:name="page44"/>
    <w:bookmarkEnd w:id="43"/>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force or effect. No prior or subsequent promises, representation, or understandings relative to any terms or conditions of employment are to be considered as part of this Agreement or as binding.</w:t>
      </w:r>
    </w:p>
    <w:p>
      <w:pPr>
        <w:spacing w:after="0" w:line="158" w:lineRule="exact"/>
        <w:rPr>
          <w:sz w:val="20"/>
          <w:szCs w:val="20"/>
          <w:color w:val="auto"/>
        </w:rPr>
      </w:pPr>
    </w:p>
    <w:p>
      <w:pPr>
        <w:ind w:left="404" w:hanging="404"/>
        <w:spacing w:after="0"/>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in a writing signed by the Parties hereto.</w:t>
      </w:r>
    </w:p>
    <w:p>
      <w:pPr>
        <w:spacing w:after="0" w:line="225" w:lineRule="exact"/>
        <w:rPr>
          <w:rFonts w:ascii="Times New Roman" w:cs="Times New Roman" w:eastAsia="Times New Roman" w:hAnsi="Times New Roman"/>
          <w:sz w:val="18"/>
          <w:szCs w:val="18"/>
          <w:color w:val="auto"/>
        </w:rPr>
      </w:pPr>
    </w:p>
    <w:p>
      <w:pPr>
        <w:ind w:left="4" w:right="840" w:hanging="4"/>
        <w:spacing w:after="0" w:line="286" w:lineRule="auto"/>
        <w:tabs>
          <w:tab w:leader="none" w:pos="4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Guarantee of Payment and Performance</w:t>
      </w:r>
      <w:r>
        <w:rPr>
          <w:rFonts w:ascii="Times New Roman" w:cs="Times New Roman" w:eastAsia="Times New Roman" w:hAnsi="Times New Roman"/>
          <w:sz w:val="18"/>
          <w:szCs w:val="18"/>
          <w:color w:val="auto"/>
        </w:rPr>
        <w:t>. D&amp;B agrees to guarantee in all respects the payment and performance obligations of D&amp;B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set forth in this Agreement.</w:t>
      </w:r>
    </w:p>
    <w:p>
      <w:pPr>
        <w:spacing w:after="0" w:line="154" w:lineRule="exact"/>
        <w:rPr>
          <w:rFonts w:ascii="Times New Roman" w:cs="Times New Roman" w:eastAsia="Times New Roman" w:hAnsi="Times New Roman"/>
          <w:sz w:val="18"/>
          <w:szCs w:val="18"/>
          <w:color w:val="auto"/>
        </w:rPr>
      </w:pPr>
    </w:p>
    <w:p>
      <w:pPr>
        <w:ind w:left="4" w:hanging="4"/>
        <w:spacing w:after="0" w:line="259" w:lineRule="auto"/>
        <w:tabs>
          <w:tab w:leader="none" w:pos="4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 Policy</w:t>
      </w:r>
      <w:r>
        <w:rPr>
          <w:rFonts w:ascii="Times New Roman" w:cs="Times New Roman" w:eastAsia="Times New Roman" w:hAnsi="Times New Roman"/>
          <w:sz w:val="18"/>
          <w:szCs w:val="18"/>
          <w:color w:val="auto"/>
        </w:rPr>
        <w:t>. The Company may recover amounts paid to Employee hereunder or under any other plan or program of, or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with, the Company, and any gain in respect of any equity awards granted to Employee, in accordance with any applicable Company clawback or recoupment policy that is generally applicable to the Company’s other senior executives, as such policy may be amended and in effect from time to time, or as otherwise required by applicable law or applicable stock exchange listing standards, including, without limitation, Section 10D of the Securities Exchange Act of 1934, as amended.</w:t>
      </w:r>
    </w:p>
    <w:p>
      <w:pPr>
        <w:spacing w:after="0" w:line="179"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280G</w:t>
      </w:r>
      <w:r>
        <w:rPr>
          <w:rFonts w:ascii="Times New Roman" w:cs="Times New Roman" w:eastAsia="Times New Roman" w:hAnsi="Times New Roman"/>
          <w:sz w:val="18"/>
          <w:szCs w:val="18"/>
          <w:color w:val="auto"/>
        </w:rPr>
        <w:t>. Notwithstanding anything to the contrary in this Agreement, if Employee is a “disqualified individual” (as defined in</w:t>
      </w:r>
    </w:p>
    <w:p>
      <w:pPr>
        <w:spacing w:after="0" w:line="31" w:lineRule="exact"/>
        <w:rPr>
          <w:sz w:val="20"/>
          <w:szCs w:val="20"/>
          <w:color w:val="auto"/>
        </w:rPr>
      </w:pPr>
    </w:p>
    <w:p>
      <w:pPr>
        <w:ind w:left="4" w:right="300"/>
        <w:spacing w:after="0" w:line="265" w:lineRule="auto"/>
        <w:rPr>
          <w:sz w:val="20"/>
          <w:szCs w:val="20"/>
          <w:color w:val="auto"/>
        </w:rPr>
      </w:pPr>
      <w:r>
        <w:rPr>
          <w:rFonts w:ascii="Times New Roman" w:cs="Times New Roman" w:eastAsia="Times New Roman" w:hAnsi="Times New Roman"/>
          <w:sz w:val="17"/>
          <w:szCs w:val="17"/>
          <w:color w:val="auto"/>
        </w:rPr>
        <w:t>Section 280G(c) of the Internal Revenue Code of 1986, as amended (the “Code”)), and the payments and benefits provided for in this Agreement, together with any other payments and benefits which Employee has the right to receive from the Company or any of its affiliates, would constitute a “parachute payment” (as defined in Section 280G(b)(2) of the Code), then the payments and benefits provided for in this Agreement shall be either</w:t>
      </w:r>
    </w:p>
    <w:p>
      <w:pPr>
        <w:ind w:left="4" w:right="20" w:hanging="4"/>
        <w:spacing w:after="0" w:line="251"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so that the present value of such total amounts and benefits received by Employee from the Company and its affiliates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a nationally recognized accounting firm or other professional organization that is a certified public accounting firm recognized as an expert in determinations and calculations for purposes of Section 280G of the Code selected by the Company prior to the change in control (the “Accounting Firm”). All reasonable fees and expenses of the Accounting Firm shall be borne solely by</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44" w:name="page45"/>
    <w:bookmarkEnd w:id="44"/>
    <w:p>
      <w:pPr>
        <w:ind w:left="4" w:right="7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Nothing in this </w:t>
      </w:r>
      <w:r>
        <w:rPr>
          <w:rFonts w:ascii="Times New Roman" w:cs="Times New Roman" w:eastAsia="Times New Roman" w:hAnsi="Times New Roman"/>
          <w:sz w:val="18"/>
          <w:szCs w:val="18"/>
          <w:u w:val="single" w:color="auto"/>
          <w:color w:val="auto"/>
        </w:rPr>
        <w:t>Paragraph 20</w:t>
      </w:r>
      <w:r>
        <w:rPr>
          <w:rFonts w:ascii="Times New Roman" w:cs="Times New Roman" w:eastAsia="Times New Roman" w:hAnsi="Times New Roman"/>
          <w:sz w:val="18"/>
          <w:szCs w:val="18"/>
          <w:color w:val="auto"/>
        </w:rPr>
        <w:t xml:space="preserve"> shall require the Company to be responsible for, or have any liability or obligation with respect to, Employee’s excise tax liabilities under Section 4999 of the Code, if any.</w:t>
      </w:r>
    </w:p>
    <w:p>
      <w:pPr>
        <w:spacing w:after="0" w:line="158" w:lineRule="exact"/>
        <w:rPr>
          <w:sz w:val="20"/>
          <w:szCs w:val="20"/>
          <w:color w:val="auto"/>
        </w:rPr>
      </w:pPr>
    </w:p>
    <w:p>
      <w:pPr>
        <w:ind w:left="4" w:hanging="4"/>
        <w:spacing w:after="0" w:line="268" w:lineRule="auto"/>
        <w:tabs>
          <w:tab w:leader="none" w:pos="4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Company shall be entitled to withhold from any amounts to be paid or benefits provided to the Employee hereunder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local, or foreign withholding or other taxes or charges which it is from time to time required to withhold. The Company shall be entitled to rely on an opinion of counsel or tax preparer if any question as to the amount or requirement of any such withholding shall arise.</w:t>
      </w:r>
    </w:p>
    <w:p>
      <w:pPr>
        <w:spacing w:after="0" w:line="170" w:lineRule="exact"/>
        <w:rPr>
          <w:rFonts w:ascii="Times New Roman" w:cs="Times New Roman" w:eastAsia="Times New Roman" w:hAnsi="Times New Roman"/>
          <w:sz w:val="18"/>
          <w:szCs w:val="18"/>
          <w:color w:val="auto"/>
        </w:rPr>
      </w:pPr>
    </w:p>
    <w:p>
      <w:pPr>
        <w:ind w:left="4" w:right="440" w:hanging="4"/>
        <w:spacing w:after="0" w:line="274"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Acknowledgment</w:t>
      </w:r>
      <w:r>
        <w:rPr>
          <w:rFonts w:ascii="Times New Roman" w:cs="Times New Roman" w:eastAsia="Times New Roman" w:hAnsi="Times New Roman"/>
          <w:sz w:val="17"/>
          <w:szCs w:val="17"/>
          <w:color w:val="auto"/>
        </w:rPr>
        <w:t>. By signing below, as a material inducement to the Company entering into this Agreement, Employee unconditionally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represents and warrants that: (a) Employee has been advised to consult with an attorney regarding the terms of this Agreement; (b) Employee has consulted with, or has had sufficient opportunity to consult with Employee’s own counsel or other advisors regarding the terms of this Agreement;</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Employee has relied solely on Employee’s own judgment and that of Employee’s attorneys, advisors, and representatives regarding the consideration for, and the terms of, this Agreement; (d) any and all questions regarding the terms of this Agreement have been asked and answered to Employee’s complete satisfaction; (e) Employee has read this Agreement and fully understand its terms and their import; and (f) Employee is entering into this Agreement voluntarily, of Employee’s own free will, and without any duress, coercion, fraudulent inducement, or undue influence exerted by or on behalf of any other Party or any other person or entity.</w:t>
      </w:r>
    </w:p>
    <w:p>
      <w:pPr>
        <w:spacing w:after="0" w:line="182" w:lineRule="exact"/>
        <w:rPr>
          <w:rFonts w:ascii="Times New Roman" w:cs="Times New Roman" w:eastAsia="Times New Roman" w:hAnsi="Times New Roman"/>
          <w:sz w:val="17"/>
          <w:szCs w:val="17"/>
          <w:color w:val="auto"/>
        </w:rPr>
      </w:pPr>
    </w:p>
    <w:p>
      <w:pPr>
        <w:ind w:left="4" w:right="280" w:hanging="4"/>
        <w:spacing w:after="0" w:line="286" w:lineRule="auto"/>
        <w:tabs>
          <w:tab w:leader="none" w:pos="4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signed in any number of counterparts with the same effect as if the signatures to each counterpart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 single instrument, and all such counterparts together shall be deemed an original of this Agreement.</w:t>
      </w:r>
    </w:p>
    <w:p>
      <w:pPr>
        <w:spacing w:after="0" w:line="15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DAVE &amp; BUSTER’S MANAGEMENT</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CORPORATION, INC.</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-7620</wp:posOffset>
            </wp:positionV>
            <wp:extent cx="1856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-19050</wp:posOffset>
            </wp:positionV>
            <wp:extent cx="1885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227" w:lineRule="exact"/>
        <w:rPr>
          <w:sz w:val="20"/>
          <w:szCs w:val="20"/>
          <w:color w:val="auto"/>
        </w:rPr>
      </w:pPr>
    </w:p>
    <w:p>
      <w:pPr>
        <w:ind w:left="6180"/>
        <w:spacing w:after="0"/>
        <w:tabs>
          <w:tab w:leader="none" w:pos="7020" w:val="left"/>
        </w:tabs>
        <w:rPr>
          <w:sz w:val="20"/>
          <w:szCs w:val="20"/>
          <w:color w:val="auto"/>
        </w:rPr>
      </w:pPr>
      <w:r>
        <w:rPr>
          <w:rFonts w:ascii="Times New Roman" w:cs="Times New Roman" w:eastAsia="Times New Roman" w:hAnsi="Times New Roman"/>
          <w:sz w:val="18"/>
          <w:szCs w:val="18"/>
          <w:color w:val="auto"/>
        </w:rPr>
        <w:t>Address:</w:t>
        <w:tab/>
        <w:t>1221 S. Belt Line Rd, #500</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Coppell, TX 75019</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DAVE &amp; BUSTER’S ENTERTAINMENT,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-7620</wp:posOffset>
            </wp:positionV>
            <wp:extent cx="1856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-19050</wp:posOffset>
            </wp:positionV>
            <wp:extent cx="1885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27" w:lineRule="exact"/>
        <w:rPr>
          <w:sz w:val="20"/>
          <w:szCs w:val="20"/>
          <w:color w:val="auto"/>
        </w:rPr>
      </w:pPr>
    </w:p>
    <w:p>
      <w:pPr>
        <w:ind w:left="6180"/>
        <w:spacing w:after="0"/>
        <w:tabs>
          <w:tab w:leader="none" w:pos="7020" w:val="left"/>
        </w:tabs>
        <w:rPr>
          <w:sz w:val="20"/>
          <w:szCs w:val="20"/>
          <w:color w:val="auto"/>
        </w:rPr>
      </w:pPr>
      <w:r>
        <w:rPr>
          <w:rFonts w:ascii="Times New Roman" w:cs="Times New Roman" w:eastAsia="Times New Roman" w:hAnsi="Times New Roman"/>
          <w:sz w:val="18"/>
          <w:szCs w:val="18"/>
          <w:color w:val="auto"/>
        </w:rPr>
        <w:t>Address:</w:t>
        <w:tab/>
        <w:t>1221 S. Belt Line Rd, #500</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Coppell, TX 75019</w:t>
      </w:r>
    </w:p>
    <w:p>
      <w:pPr>
        <w:spacing w:after="0" w:line="22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[COMPANY SIGNATURE PAGE TO EMPLOYMENT AGREEMENT]</w:t>
      </w:r>
    </w:p>
    <w:p>
      <w:pPr>
        <w:sectPr>
          <w:pgSz w:w="11900" w:h="16838" w:orient="portrait"/>
          <w:cols w:equalWidth="0" w:num="1">
            <w:col w:w="9860"/>
          </w:cols>
          <w:pgMar w:left="880" w:top="270" w:right="115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294005</wp:posOffset>
            </wp:positionV>
            <wp:extent cx="2751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-7620</wp:posOffset>
            </wp:positionV>
            <wp:extent cx="1628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-19050</wp:posOffset>
            </wp:positionV>
            <wp:extent cx="1885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[EMPLOYEE SIGNATURE PAGE TO EMPLOYMENT AGREEMENT]</w:t>
      </w:r>
    </w:p>
    <w:p>
      <w:pPr>
        <w:sectPr>
          <w:pgSz w:w="11900" w:h="16838" w:orient="portrait"/>
          <w:cols w:equalWidth="0" w:num="1">
            <w:col w:w="9019"/>
          </w:cols>
          <w:pgMar w:left="1440" w:top="266" w:right="1440" w:bottom="1440" w:gutter="0" w:footer="0" w:header="0"/>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Businesses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non-exhaustive list of businesses or brands shall each be considered a “Competitive Business” as defined in the Employment Agreement,</w:t>
      </w:r>
    </w:p>
    <w:p>
      <w:pPr>
        <w:spacing w:after="0" w:line="3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by and among Dave &amp; Buster’s Management Corporation, Inc., Dave &amp; Buster’s Entertainment, Inc. and (the “Employment Agreement”), along with (a) the entities that operate or own such businesses or brands, (b) the successors of such businesses or brands and (c) the respective parent or ultimate parent companies or affiliates of such businesses or brands, if the employee works for or provides consulting services to such businesses or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-441960</wp:posOffset>
            </wp:positionV>
            <wp:extent cx="1142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4" w:lineRule="exact"/>
        <w:rPr>
          <w:sz w:val="20"/>
          <w:szCs w:val="20"/>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Andretti Karting &amp; Games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Barcade</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 Al’s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 Shots Golf</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Boomers Parks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Bowlmor / Bowlero / AMF</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Buffalo Wild Wings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Chuck E. Cheese/Peter Piper Pizza</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Cinergy Entertainment Group</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Shack</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 Entertainment</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 &amp; Hound Sports Tavern</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Gameworks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 Incredible Pizza</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K1 Speed</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 Bowling</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Brand by the Cordish Companies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Lucky Strike Entertainment</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Event Enterainment</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Pinstack</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Pinstripes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Punch Bowl Social</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Puttshack</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Puttery</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 Room</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One Entertainment</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Scene 75 Entertainment Centers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Golf/Top Golf International</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66" w:right="5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Kevin M. Sheehan, Interim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80" w:hanging="532"/>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June 7, 2022</w:t>
      </w:r>
      <w:r>
        <w:rPr>
          <w:sz w:val="20"/>
          <w:szCs w:val="20"/>
          <w:color w:val="auto"/>
        </w:rPr>
        <w:tab/>
      </w:r>
      <w:r>
        <w:rPr>
          <w:rFonts w:ascii="Times New Roman" w:cs="Times New Roman" w:eastAsia="Times New Roman" w:hAnsi="Times New Roman"/>
          <w:sz w:val="17"/>
          <w:szCs w:val="17"/>
          <w:color w:val="auto"/>
        </w:rPr>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Kevin M. Sheehan</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024"/>
          </w:cols>
          <w:pgMar w:left="436" w:top="117"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A. Quartieri,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80" w:hanging="532"/>
        <w:spacing w:after="0" w:line="26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June 7, 2022</w:t>
      </w:r>
      <w:r>
        <w:rPr>
          <w:sz w:val="20"/>
          <w:szCs w:val="20"/>
          <w:color w:val="auto"/>
        </w:rPr>
        <w:tab/>
      </w:r>
      <w:r>
        <w:rPr>
          <w:rFonts w:ascii="Times New Roman" w:cs="Times New Roman" w:eastAsia="Times New Roman" w:hAnsi="Times New Roman"/>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4"/>
          </w:cols>
          <w:pgMar w:left="436" w:top="117"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1, 2022 as filed with the Securities and Exchange Commission on the date hereof (the “Report”), I, Kevin M. Sheehan, Interim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7, 2022</w:t>
      </w:r>
      <w:r>
        <w:rPr>
          <w:sz w:val="20"/>
          <w:szCs w:val="20"/>
          <w:color w:val="auto"/>
        </w:rPr>
        <w:tab/>
      </w:r>
      <w:r>
        <w:rPr>
          <w:rFonts w:ascii="Times New Roman" w:cs="Times New Roman" w:eastAsia="Times New Roman" w:hAnsi="Times New Roman"/>
          <w:sz w:val="17"/>
          <w:szCs w:val="17"/>
          <w:color w:val="auto"/>
        </w:rPr>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Kevin M. Sheehan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020"/>
          </w:cols>
          <w:pgMar w:left="440" w:top="117"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1, 2022 as filed with the Securities and Exchange Commission on the date hereof (the “Report”), I, Michael A. Quartieri, Chief Financial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5"/>
    </w:lvl>
    <w:lvl w:ilvl="1">
      <w:lvlJc w:val="left"/>
      <w:lvlText w:val="(%2)"/>
      <w:numFmt w:val="lowerLetter"/>
      <w:start w:val="1"/>
    </w:lvl>
  </w:abstractNum>
  <w:abstractNum w:abstractNumId="9">
    <w:nsid w:val="6763845E"/>
    <w:multiLevelType w:val="hybridMultilevel"/>
    <w:lvl w:ilvl="0">
      <w:lvlJc w:val="left"/>
      <w:lvlText w:val="(%1)"/>
      <w:numFmt w:val="lowerLetter"/>
      <w:start w:val="7"/>
    </w:lvl>
  </w:abstractNum>
  <w:abstractNum w:abstractNumId="10">
    <w:nsid w:val="75A2A8D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1">
    <w:nsid w:val="8EDBDAB"/>
    <w:multiLevelType w:val="hybridMultilevel"/>
    <w:lvl w:ilvl="0">
      <w:lvlJc w:val="left"/>
      <w:lvlText w:val="%1"/>
      <w:numFmt w:val="lowerLetter"/>
      <w:start w:val="1"/>
    </w:lvl>
    <w:lvl w:ilvl="1">
      <w:lvlJc w:val="left"/>
      <w:lvlText w:val="(%2)"/>
      <w:numFmt w:val="lowerRoman"/>
      <w:start w:val="2"/>
    </w:lvl>
  </w:abstractNum>
  <w:abstractNum w:abstractNumId="12">
    <w:nsid w:val="79838CB2"/>
    <w:multiLevelType w:val="hybridMultilevel"/>
    <w:lvl w:ilvl="0">
      <w:lvlJc w:val="left"/>
      <w:lvlText w:val="(%1)"/>
      <w:numFmt w:val="lowerLetter"/>
      <w:start w:val="2"/>
    </w:lvl>
    <w:lvl w:ilvl="1">
      <w:lvlJc w:val="left"/>
      <w:lvlText w:val="%2"/>
      <w:numFmt w:val="lowerRoman"/>
      <w:start w:val="1"/>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6"/>
    </w:lvl>
    <w:lvl w:ilvl="1">
      <w:lvlJc w:val="left"/>
      <w:lvlText w:val="(%2)"/>
      <w:numFmt w:val="lowerLetter"/>
      <w:start w:val="9"/>
    </w:lvl>
  </w:abstractNum>
  <w:abstractNum w:abstractNumId="15">
    <w:nsid w:val="189A769B"/>
    <w:multiLevelType w:val="hybridMultilevel"/>
    <w:lvl w:ilvl="0">
      <w:lvlJc w:val="left"/>
      <w:lvlText w:val="(%1)"/>
      <w:numFmt w:val="lowerLetter"/>
      <w:start w:val="8"/>
    </w:lvl>
  </w:abstractNum>
  <w:abstractNum w:abstractNumId="16">
    <w:nsid w:val="54E49EB4"/>
    <w:multiLevelType w:val="hybridMultilevel"/>
    <w:lvl w:ilvl="0">
      <w:lvlJc w:val="left"/>
      <w:lvlText w:val="%1"/>
      <w:numFmt w:val="decimal"/>
      <w:start w:val="1"/>
    </w:lvl>
    <w:lvl w:ilvl="1">
      <w:lvlJc w:val="left"/>
      <w:lvlText w:val="(%2)"/>
      <w:numFmt w:val="lowerLetter"/>
      <w:start w:val="10"/>
    </w:lvl>
  </w:abstractNum>
  <w:abstractNum w:abstractNumId="17">
    <w:nsid w:val="71F32454"/>
    <w:multiLevelType w:val="hybridMultilevel"/>
    <w:lvl w:ilvl="0">
      <w:lvlJc w:val="left"/>
      <w:lvlText w:val="%1."/>
      <w:numFmt w:val="decimal"/>
      <w:start w:val="8"/>
    </w:lvl>
    <w:lvl w:ilvl="1">
      <w:lvlJc w:val="left"/>
      <w:lvlText w:val="(%2)"/>
      <w:numFmt w:val="lowerLetter"/>
      <w:start w:val="1"/>
    </w:lvl>
  </w:abstractNum>
  <w:abstractNum w:abstractNumId="18">
    <w:nsid w:val="2CA88611"/>
    <w:multiLevelType w:val="hybridMultilevel"/>
    <w:lvl w:ilvl="0">
      <w:lvlJc w:val="left"/>
      <w:lvlText w:val="(%1)"/>
      <w:numFmt w:val="upperLetter"/>
      <w:start w:val="24"/>
    </w:lvl>
    <w:lvl w:ilvl="1">
      <w:lvlJc w:val="left"/>
      <w:lvlText w:val="(%2)"/>
      <w:numFmt w:val="lowerLetter"/>
      <w:start w:val="4"/>
    </w:lvl>
  </w:abstractNum>
  <w:abstractNum w:abstractNumId="19">
    <w:nsid w:val="836C40E"/>
    <w:multiLevelType w:val="hybridMultilevel"/>
    <w:lvl w:ilvl="0">
      <w:lvlJc w:val="left"/>
      <w:lvlText w:val="(%1)"/>
      <w:numFmt w:val="decimal"/>
      <w:start w:val="120"/>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1"/>
      <w:numFmt w:val="decimal"/>
      <w:start w:val="1"/>
    </w:lvl>
    <w:lvl w:ilvl="1">
      <w:lvlJc w:val="left"/>
      <w:lvlText w:val="(%2)"/>
      <w:numFmt w:val="lowerLetter"/>
      <w:start w:val="6"/>
    </w:lvl>
  </w:abstractNum>
  <w:abstractNum w:abstractNumId="22">
    <w:nsid w:val="8138641"/>
    <w:multiLevelType w:val="hybridMultilevel"/>
    <w:lvl w:ilvl="0">
      <w:lvlJc w:val="left"/>
      <w:lvlText w:val="%1."/>
      <w:numFmt w:val="decimal"/>
      <w:start w:val="9"/>
    </w:lvl>
    <w:lvl w:ilvl="1">
      <w:lvlJc w:val="left"/>
      <w:lvlText w:val="(%2)"/>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decimal"/>
      <w:start w:val="1"/>
    </w:lvl>
    <w:lvl w:ilvl="1">
      <w:lvlJc w:val="left"/>
      <w:lvlText w:val="(%2)"/>
      <w:numFmt w:val="lowerLetter"/>
      <w:start w:val="4"/>
    </w:lvl>
  </w:abstractNum>
  <w:abstractNum w:abstractNumId="25">
    <w:nsid w:val="737B8DDC"/>
    <w:multiLevelType w:val="hybridMultilevel"/>
    <w:lvl w:ilvl="0">
      <w:lvlJc w:val="left"/>
      <w:lvlText w:val="%1."/>
      <w:numFmt w:val="decimal"/>
      <w:start w:val="10"/>
    </w:lvl>
    <w:lvl w:ilvl="1">
      <w:lvlJc w:val="left"/>
      <w:lvlText w:val="(%2)"/>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decimal"/>
      <w:start w:val="11"/>
    </w:lvl>
  </w:abstractNum>
  <w:abstractNum w:abstractNumId="28">
    <w:nsid w:val="4516DDE9"/>
    <w:multiLevelType w:val="hybridMultilevel"/>
    <w:lvl w:ilvl="0">
      <w:lvlJc w:val="left"/>
      <w:lvlText w:val="%1."/>
      <w:numFmt w:val="decimal"/>
      <w:start w:val="12"/>
    </w:lvl>
  </w:abstractNum>
  <w:abstractNum w:abstractNumId="29">
    <w:nsid w:val="3006C83E"/>
    <w:multiLevelType w:val="hybridMultilevel"/>
    <w:lvl w:ilvl="0">
      <w:lvlJc w:val="left"/>
      <w:lvlText w:val="%1."/>
      <w:numFmt w:val="decimal"/>
      <w:start w:val="1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2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2022-06-07T08:04:14Z</dcterms:created>
  <dcterms:modified xsi:type="dcterms:W3CDTF">2022-06-07T08:04:14Z</dcterms:modified>
</cp:coreProperties>
</file>