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8727" w:type="dxa"/>
        <w:jc w:val="left"/>
        <w:tblInd w:w="0" w:type="dxa"/>
        <w:tblLayout w:type="fixed"/>
        <w:tblCellMar>
          <w:top w:w="28" w:type="dxa"/>
          <w:left w:w="28" w:type="dxa"/>
          <w:bottom w:w="28" w:type="dxa"/>
          <w:right w:w="28" w:type="dxa"/>
        </w:tblCellMar>
      </w:tblPr>
      <w:tblGrid>
        <w:gridCol w:w="124"/>
        <w:gridCol w:w="109"/>
        <w:gridCol w:w="109"/>
        <w:gridCol w:w="2450"/>
        <w:gridCol w:w="2450"/>
        <w:gridCol w:w="3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ANNUAL REPORT PURSUANT TO SECTION 13 OR 15(d) OF THE SECURITIES EXCHANGE ACT OF 1934 </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February 04, 2024</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57" w:type="dxa"/>
        <w:jc w:val="left"/>
        <w:tblInd w:w="0" w:type="dxa"/>
        <w:tblLayout w:type="fixed"/>
        <w:tblCellMar>
          <w:top w:w="28" w:type="dxa"/>
          <w:left w:w="28" w:type="dxa"/>
          <w:bottom w:w="28" w:type="dxa"/>
          <w:right w:w="28" w:type="dxa"/>
        </w:tblCellMar>
      </w:tblPr>
      <w:tblGrid>
        <w:gridCol w:w="124"/>
        <w:gridCol w:w="109"/>
        <w:gridCol w:w="109"/>
        <w:gridCol w:w="2550"/>
        <w:gridCol w:w="2550"/>
        <w:gridCol w:w="36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36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TRANSITION REPORT PURSUANT TO SECTION 13 OR 15(d) OF THE SECURITIES EXCHANGE ACT OF 1934 </w:t>
            </w:r>
          </w:p>
        </w:tc>
      </w:tr>
    </w:tbl>
    <w:p>
      <w:pPr>
        <w:pStyle w:val="TextBody"/>
        <w:bidi w:val="0"/>
        <w:spacing w:lineRule="auto" w:line="288" w:before="0" w:after="0"/>
        <w:jc w:val="center"/>
        <w:rPr/>
      </w:pPr>
      <w:r>
        <w:rPr>
          <w:rFonts w:ascii="Times New Roman;sans-serif" w:hAnsi="Times New Roman;sans-serif"/>
          <w:b/>
          <w:color w:val="000000"/>
          <w:sz w:val="16"/>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6"/>
        </w:rPr>
        <w:t xml:space="preserve">TO </w:t>
      </w:r>
      <w:r>
        <w:rPr>
          <w:color w:val="000000"/>
          <w:u w:val="single"/>
        </w:rPr>
        <w:t>                    </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No. 001-35664</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Dave &amp; Buster’s Entertainment,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(Exact name of registrant as specified in its charter) </w:t>
      </w:r>
    </w:p>
    <w:tbl>
      <w:tblPr>
        <w:tblW w:w="6224" w:type="dxa"/>
        <w:jc w:val="left"/>
        <w:tblInd w:w="0" w:type="dxa"/>
        <w:tblLayout w:type="fixed"/>
        <w:tblCellMar>
          <w:top w:w="28" w:type="dxa"/>
          <w:left w:w="28" w:type="dxa"/>
          <w:bottom w:w="28" w:type="dxa"/>
          <w:right w:w="28" w:type="dxa"/>
        </w:tblCellMar>
      </w:tblPr>
      <w:tblGrid>
        <w:gridCol w:w="1386"/>
        <w:gridCol w:w="1214"/>
        <w:gridCol w:w="1225"/>
        <w:gridCol w:w="701"/>
        <w:gridCol w:w="701"/>
        <w:gridCol w:w="997"/>
      </w:tblGrid>
      <w:tr>
        <w:trPr/>
        <w:tc>
          <w:tcPr>
            <w:tcW w:w="138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35-2382255</w:t>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(State of Incorporation)</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(I.R.S. Employer ID)</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1221 Beltline Rd., Suite 500, Coppell, Texas, 75019</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(214) 357-9588</w:t>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(Zip Code)</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registered pursuant to Section 12(b) of the Act: </w:t>
      </w:r>
    </w:p>
    <w:tbl>
      <w:tblPr>
        <w:tblW w:w="7836" w:type="dxa"/>
        <w:jc w:val="left"/>
        <w:tblInd w:w="0" w:type="dxa"/>
        <w:tblLayout w:type="fixed"/>
        <w:tblCellMar>
          <w:top w:w="28" w:type="dxa"/>
          <w:left w:w="28" w:type="dxa"/>
          <w:bottom w:w="28" w:type="dxa"/>
          <w:right w:w="28" w:type="dxa"/>
        </w:tblCellMar>
      </w:tblPr>
      <w:tblGrid>
        <w:gridCol w:w="872"/>
        <w:gridCol w:w="768"/>
        <w:gridCol w:w="774"/>
        <w:gridCol w:w="109"/>
        <w:gridCol w:w="109"/>
        <w:gridCol w:w="109"/>
        <w:gridCol w:w="484"/>
        <w:gridCol w:w="484"/>
        <w:gridCol w:w="486"/>
        <w:gridCol w:w="109"/>
        <w:gridCol w:w="109"/>
        <w:gridCol w:w="109"/>
        <w:gridCol w:w="970"/>
        <w:gridCol w:w="970"/>
        <w:gridCol w:w="1374"/>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NASDAQ Global Select Market</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registered pursuant to Section 12(g) of the Act: None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w:t>
      </w:r>
    </w:p>
    <w:p>
      <w:pPr>
        <w:pStyle w:val="TextBody"/>
        <w:bidi w:val="0"/>
        <w:spacing w:lineRule="auto" w:line="288" w:before="120" w:after="283"/>
        <w:ind w:left="0" w:right="0" w:firstLine="540"/>
        <w:jc w:val="left"/>
        <w:rPr/>
      </w:pPr>
      <w:r>
        <w:rPr>
          <w:rFonts w:ascii="Times New Roman;sans-serif" w:hAnsi="Times New Roman;sans-serif"/>
          <w:b w:val="false"/>
          <w:color w:val="000000"/>
          <w:sz w:val="16"/>
        </w:rPr>
        <w:t xml:space="preserve">Indicate by checkmark if the registrant is a well-known seasoned issuer, as defined in Rule 405 of the Securities Act.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540"/>
        <w:jc w:val="left"/>
        <w:rPr/>
      </w:pPr>
      <w:r>
        <w:rPr>
          <w:rFonts w:ascii="Times New Roman;sans-serif" w:hAnsi="Times New Roman;sans-serif"/>
          <w:b w:val="false"/>
          <w:color w:val="000000"/>
          <w:sz w:val="16"/>
        </w:rPr>
        <w:t xml:space="preserve">Indicate by checkmark if the registrant is not required to file reports pursuant to Section 13 or Section 15(d)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540"/>
        <w:jc w:val="left"/>
        <w:rPr/>
      </w:pPr>
      <w:r>
        <w:rPr>
          <w:rFonts w:ascii="Times New Roman;sans-serif" w:hAnsi="Times New Roman;sans-serif"/>
          <w:b w:val="false"/>
          <w:color w:val="000000"/>
          <w:sz w:val="16"/>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540"/>
        <w:jc w:val="left"/>
        <w:rPr/>
      </w:pPr>
      <w:r>
        <w:rPr>
          <w:rFonts w:ascii="Times New Roman;sans-serif" w:hAnsi="Times New Roman;sans-serif"/>
          <w:b w:val="false"/>
          <w:color w:val="000000"/>
          <w:sz w:val="16"/>
        </w:rPr>
        <w:t xml:space="preserve">Indicate by checkmark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5135"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109"/>
        <w:gridCol w:w="109"/>
        <w:gridCol w:w="109"/>
        <w:gridCol w:w="669"/>
        <w:gridCol w:w="669"/>
        <w:gridCol w:w="672"/>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ind w:left="0" w:right="0" w:firstLine="54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54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54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120" w:after="283"/>
        <w:ind w:left="0" w:right="0" w:firstLine="540"/>
        <w:jc w:val="left"/>
        <w:rPr/>
      </w:pPr>
      <w:r>
        <w:rPr>
          <w:rFonts w:ascii="Times New Roman;sans-serif" w:hAnsi="Times New Roman;sans-serif"/>
          <w:b w:val="false"/>
          <w:color w:val="000000"/>
          <w:sz w:val="16"/>
        </w:rPr>
        <w:t xml:space="preserve">Indicate by checkmark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aggregate market value of common stock held by non-affiliates, based on the closing price of the last day of the registrant’s most recently completed second fiscal quarter as reported on the NASDAQ Global Select Market was approximately $2.2 billion. The number of shares of the registrant’s Common Stock outstanding as of March 22, 2024 was 40,299,451. </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DOCUMENTS INCORPORATED BY REFERENCE </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definitive Proxy Statement for the registrant’s 2024 Annual Meeting of Shareholders have been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FISCAL YEAR ENDED FEBRUARY 4,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36"/>
        <w:gridCol w:w="287"/>
        <w:gridCol w:w="290"/>
        <w:gridCol w:w="2935"/>
        <w:gridCol w:w="2912"/>
        <w:gridCol w:w="2932"/>
        <w:gridCol w:w="149"/>
        <w:gridCol w:w="149"/>
        <w:gridCol w:w="215"/>
      </w:tblGrid>
      <w:tr>
        <w:trPr/>
        <w:tc>
          <w:tcPr>
            <w:tcW w:w="3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93871c31734e59b737dd2f2034985a_13">
              <w:r>
                <w:rPr>
                  <w:rStyle w:val="InternetLink"/>
                  <w:rFonts w:ascii="Times New Roman;sans-serif" w:hAnsi="Times New Roman;sans-serif"/>
                  <w:b/>
                  <w:strike w:val="false"/>
                  <w:dstrike w:val="false"/>
                  <w:color w:val="000000"/>
                  <w:sz w:val="20"/>
                  <w:u w:val="none"/>
                  <w:effect w:val="none"/>
                </w:rPr>
                <w:t>PART I</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6">
              <w:r>
                <w:rPr>
                  <w:rStyle w:val="InternetLink"/>
                  <w:rFonts w:ascii="Times New Roman;sans-serif" w:hAnsi="Times New Roman;sans-serif"/>
                  <w:b w:val="false"/>
                  <w:strike w:val="false"/>
                  <w:dstrike w:val="false"/>
                  <w:color w:val="000000"/>
                  <w:sz w:val="20"/>
                  <w:u w:val="none"/>
                  <w:effect w:val="none"/>
                </w:rPr>
                <w:t>ITEM 1.</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6">
              <w:r>
                <w:rPr>
                  <w:rStyle w:val="InternetLink"/>
                  <w:rFonts w:ascii="Times New Roman;sans-serif" w:hAnsi="Times New Roman;sans-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6">
              <w:r>
                <w:rPr>
                  <w:rStyle w:val="InternetLink"/>
                  <w:rFonts w:ascii="Times New Roman;sans-serif" w:hAnsi="Times New Roman;sans-serif"/>
                  <w:b w:val="false"/>
                  <w:strike w:val="false"/>
                  <w:dstrike w:val="false"/>
                  <w:color w:val="000000"/>
                  <w:sz w:val="20"/>
                  <w:u w:val="none"/>
                  <w:effect w:val="none"/>
                </w:rPr>
                <w:t>2</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9">
              <w:r>
                <w:rPr>
                  <w:rStyle w:val="InternetLink"/>
                  <w:rFonts w:ascii="Times New Roman;sans-serif" w:hAnsi="Times New Roman;sans-serif"/>
                  <w:b w:val="false"/>
                  <w:strike w:val="false"/>
                  <w:dstrike w:val="false"/>
                  <w:color w:val="000000"/>
                  <w:sz w:val="20"/>
                  <w:u w:val="none"/>
                  <w:effect w:val="none"/>
                </w:rPr>
                <w:t>ITEM 1A.</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9">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9">
              <w:r>
                <w:rPr>
                  <w:rStyle w:val="InternetLink"/>
                  <w:rFonts w:ascii="Times New Roman;sans-serif" w:hAnsi="Times New Roman;sans-serif"/>
                  <w:b w:val="false"/>
                  <w:strike w:val="false"/>
                  <w:dstrike w:val="false"/>
                  <w:color w:val="000000"/>
                  <w:sz w:val="20"/>
                  <w:u w:val="none"/>
                  <w:effect w:val="none"/>
                </w:rPr>
                <w:t>10</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22">
              <w:r>
                <w:rPr>
                  <w:rStyle w:val="InternetLink"/>
                  <w:rFonts w:ascii="Times New Roman;sans-serif" w:hAnsi="Times New Roman;sans-serif"/>
                  <w:b w:val="false"/>
                  <w:strike w:val="false"/>
                  <w:dstrike w:val="false"/>
                  <w:color w:val="000000"/>
                  <w:sz w:val="20"/>
                  <w:u w:val="none"/>
                  <w:effect w:val="none"/>
                </w:rPr>
                <w:t>ITEM 1B.</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22">
              <w:r>
                <w:rPr>
                  <w:rStyle w:val="InternetLink"/>
                  <w:rFonts w:ascii="Times New Roman;sans-serif" w:hAnsi="Times New Roman;sans-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right"/>
              <w:rPr/>
            </w:pPr>
            <w:hyperlink w:anchor="ie093871c31734e59b737dd2f2034985a_22">
              <w:r>
                <w:rPr>
                  <w:rStyle w:val="InternetLink"/>
                  <w:rFonts w:ascii="Times New Roman;sans-serif" w:hAnsi="Times New Roman;sans-serif"/>
                  <w:b w:val="false"/>
                  <w:strike w:val="false"/>
                  <w:dstrike w:val="false"/>
                  <w:color w:val="000000"/>
                  <w:sz w:val="20"/>
                  <w:u w:val="none"/>
                  <w:effect w:val="none"/>
                </w:rPr>
                <w:t>21</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479">
              <w:r>
                <w:rPr>
                  <w:rStyle w:val="InternetLink"/>
                  <w:rFonts w:ascii="Times New Roman;sans-serif" w:hAnsi="Times New Roman;sans-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479">
              <w:r>
                <w:rPr>
                  <w:rStyle w:val="InternetLink"/>
                  <w:rFonts w:ascii="Times New Roman;sans-serif" w:hAnsi="Times New Roman;sans-serif"/>
                  <w:b w:val="false"/>
                  <w:strike w:val="false"/>
                  <w:dstrike w:val="false"/>
                  <w:color w:val="000000"/>
                  <w:sz w:val="20"/>
                  <w:u w:val="none"/>
                  <w:effect w:val="none"/>
                </w:rPr>
                <w:t>22</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25">
              <w:r>
                <w:rPr>
                  <w:rStyle w:val="InternetLink"/>
                  <w:rFonts w:ascii="Times New Roman;sans-serif" w:hAnsi="Times New Roman;sans-serif"/>
                  <w:b w:val="false"/>
                  <w:strike w:val="false"/>
                  <w:dstrike w:val="false"/>
                  <w:color w:val="000000"/>
                  <w:sz w:val="20"/>
                  <w:u w:val="none"/>
                  <w:effect w:val="none"/>
                </w:rPr>
                <w:t>ITEM 2.</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25">
              <w:r>
                <w:rPr>
                  <w:rStyle w:val="InternetLink"/>
                  <w:rFonts w:ascii="Times New Roman;sans-serif" w:hAnsi="Times New Roman;sans-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25">
              <w:r>
                <w:rPr>
                  <w:rStyle w:val="InternetLink"/>
                  <w:rFonts w:ascii="Times New Roman;sans-serif" w:hAnsi="Times New Roman;sans-serif"/>
                  <w:b w:val="false"/>
                  <w:strike w:val="false"/>
                  <w:dstrike w:val="false"/>
                  <w:color w:val="000000"/>
                  <w:sz w:val="20"/>
                  <w:u w:val="none"/>
                  <w:effect w:val="none"/>
                </w:rPr>
                <w:t>23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28">
              <w:r>
                <w:rPr>
                  <w:rStyle w:val="InternetLink"/>
                  <w:rFonts w:ascii="Times New Roman;sans-serif" w:hAnsi="Times New Roman;sans-serif"/>
                  <w:b w:val="false"/>
                  <w:strike w:val="false"/>
                  <w:dstrike w:val="false"/>
                  <w:color w:val="000000"/>
                  <w:sz w:val="20"/>
                  <w:u w:val="none"/>
                  <w:effect w:val="none"/>
                </w:rPr>
                <w:t>ITEM 3.</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28">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28">
              <w:r>
                <w:rPr>
                  <w:rStyle w:val="InternetLink"/>
                  <w:rFonts w:ascii="Times New Roman;sans-serif" w:hAnsi="Times New Roman;sans-serif"/>
                  <w:b w:val="false"/>
                  <w:strike w:val="false"/>
                  <w:dstrike w:val="false"/>
                  <w:color w:val="000000"/>
                  <w:sz w:val="20"/>
                  <w:u w:val="none"/>
                  <w:effect w:val="none"/>
                </w:rPr>
                <w:t>24</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31">
              <w:r>
                <w:rPr>
                  <w:rStyle w:val="InternetLink"/>
                  <w:rFonts w:ascii="Times New Roman;sans-serif" w:hAnsi="Times New Roman;sans-serif"/>
                  <w:b w:val="false"/>
                  <w:strike w:val="false"/>
                  <w:dstrike w:val="false"/>
                  <w:color w:val="000000"/>
                  <w:sz w:val="20"/>
                  <w:u w:val="none"/>
                  <w:effect w:val="none"/>
                </w:rPr>
                <w:t>ITEM 4.</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31">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31">
              <w:r>
                <w:rPr>
                  <w:rStyle w:val="InternetLink"/>
                  <w:rFonts w:ascii="Times New Roman;sans-serif" w:hAnsi="Times New Roman;sans-serif"/>
                  <w:b w:val="false"/>
                  <w:strike w:val="false"/>
                  <w:dstrike w:val="false"/>
                  <w:color w:val="000000"/>
                  <w:sz w:val="20"/>
                  <w:u w:val="none"/>
                  <w:effect w:val="none"/>
                </w:rPr>
                <w:t>25</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93871c31734e59b737dd2f2034985a_34">
              <w:r>
                <w:rPr>
                  <w:rStyle w:val="InternetLink"/>
                  <w:rFonts w:ascii="Times New Roman;sans-serif" w:hAnsi="Times New Roman;sans-serif"/>
                  <w:b/>
                  <w:strike w:val="false"/>
                  <w:dstrike w:val="false"/>
                  <w:color w:val="000000"/>
                  <w:sz w:val="20"/>
                  <w:u w:val="none"/>
                  <w:effect w:val="none"/>
                </w:rPr>
                <w:t>PART II</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37">
              <w:r>
                <w:rPr>
                  <w:rStyle w:val="InternetLink"/>
                  <w:rFonts w:ascii="Times New Roman;sans-serif" w:hAnsi="Times New Roman;sans-serif"/>
                  <w:b w:val="false"/>
                  <w:strike w:val="false"/>
                  <w:dstrike w:val="false"/>
                  <w:color w:val="000000"/>
                  <w:sz w:val="20"/>
                  <w:u w:val="none"/>
                  <w:effect w:val="none"/>
                </w:rPr>
                <w:t>ITEM 5.</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93871c31734e59b737dd2f2034985a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37">
              <w:r>
                <w:rPr>
                  <w:rStyle w:val="InternetLink"/>
                  <w:rFonts w:ascii="Times New Roman;sans-serif" w:hAnsi="Times New Roman;sans-serif"/>
                  <w:b w:val="false"/>
                  <w:strike w:val="false"/>
                  <w:dstrike w:val="false"/>
                  <w:color w:val="000000"/>
                  <w:sz w:val="20"/>
                  <w:u w:val="none"/>
                  <w:effect w:val="none"/>
                </w:rPr>
                <w:t>25</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43">
              <w:r>
                <w:rPr>
                  <w:rStyle w:val="InternetLink"/>
                  <w:rFonts w:ascii="Times New Roman;sans-serif" w:hAnsi="Times New Roman;sans-serif"/>
                  <w:b w:val="false"/>
                  <w:strike w:val="false"/>
                  <w:dstrike w:val="false"/>
                  <w:color w:val="000000"/>
                  <w:sz w:val="20"/>
                  <w:u w:val="none"/>
                  <w:effect w:val="none"/>
                </w:rPr>
                <w:t>ITEM 6.</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43">
              <w:r>
                <w:rPr>
                  <w:rStyle w:val="InternetLink"/>
                  <w:rFonts w:ascii="Times New Roman;sans-serif" w:hAnsi="Times New Roman;sans-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43">
              <w:r>
                <w:rPr>
                  <w:rStyle w:val="InternetLink"/>
                  <w:rFonts w:ascii="Times New Roman;sans-serif" w:hAnsi="Times New Roman;sans-serif"/>
                  <w:b w:val="false"/>
                  <w:strike w:val="false"/>
                  <w:dstrike w:val="false"/>
                  <w:color w:val="000000"/>
                  <w:sz w:val="20"/>
                  <w:u w:val="none"/>
                  <w:effect w:val="none"/>
                </w:rPr>
                <w:t>26</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46">
              <w:r>
                <w:rPr>
                  <w:rStyle w:val="InternetLink"/>
                  <w:rFonts w:ascii="Times New Roman;sans-serif" w:hAnsi="Times New Roman;sans-serif"/>
                  <w:b w:val="false"/>
                  <w:strike w:val="false"/>
                  <w:dstrike w:val="false"/>
                  <w:color w:val="000000"/>
                  <w:sz w:val="20"/>
                  <w:u w:val="none"/>
                  <w:effect w:val="none"/>
                </w:rPr>
                <w:t>ITEM 7.</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46">
              <w:r>
                <w:rPr>
                  <w:rStyle w:val="InternetLink"/>
                  <w:rFonts w:ascii="Times New Roman;sans-serif" w:hAnsi="Times New Roman;sans-serif"/>
                  <w:b w:val="false"/>
                  <w:strike w:val="false"/>
                  <w:dstrike w:val="false"/>
                  <w:color w:val="000000"/>
                  <w:sz w:val="20"/>
                  <w:u w:val="none"/>
                  <w:effect w:val="none"/>
                </w:rPr>
                <w:t>26</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88">
              <w:r>
                <w:rPr>
                  <w:rStyle w:val="InternetLink"/>
                  <w:rFonts w:ascii="Times New Roman;sans-serif" w:hAnsi="Times New Roman;sans-serif"/>
                  <w:b w:val="false"/>
                  <w:strike w:val="false"/>
                  <w:dstrike w:val="false"/>
                  <w:color w:val="000000"/>
                  <w:sz w:val="20"/>
                  <w:u w:val="none"/>
                  <w:effect w:val="none"/>
                </w:rPr>
                <w:t>ITEM 7A.</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88">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88">
              <w:r>
                <w:rPr>
                  <w:rStyle w:val="InternetLink"/>
                  <w:rFonts w:ascii="Times New Roman;sans-serif" w:hAnsi="Times New Roman;sans-serif"/>
                  <w:b w:val="false"/>
                  <w:strike w:val="false"/>
                  <w:dstrike w:val="false"/>
                  <w:color w:val="000000"/>
                  <w:sz w:val="20"/>
                  <w:u w:val="none"/>
                  <w:effect w:val="none"/>
                </w:rPr>
                <w:t>39</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91">
              <w:r>
                <w:rPr>
                  <w:rStyle w:val="InternetLink"/>
                  <w:rFonts w:ascii="Times New Roman;sans-serif" w:hAnsi="Times New Roman;sans-serif"/>
                  <w:b w:val="false"/>
                  <w:strike w:val="false"/>
                  <w:dstrike w:val="false"/>
                  <w:color w:val="000000"/>
                  <w:sz w:val="20"/>
                  <w:u w:val="none"/>
                  <w:effect w:val="none"/>
                </w:rPr>
                <w:t>ITEM 8.</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91">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91">
              <w:r>
                <w:rPr>
                  <w:rStyle w:val="InternetLink"/>
                  <w:rFonts w:ascii="Times New Roman;sans-serif" w:hAnsi="Times New Roman;sans-serif"/>
                  <w:b w:val="false"/>
                  <w:strike w:val="false"/>
                  <w:dstrike w:val="false"/>
                  <w:color w:val="000000"/>
                  <w:sz w:val="20"/>
                  <w:u w:val="none"/>
                  <w:effect w:val="none"/>
                </w:rPr>
                <w:t>39</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94">
              <w:r>
                <w:rPr>
                  <w:rStyle w:val="InternetLink"/>
                  <w:rFonts w:ascii="Times New Roman;sans-serif" w:hAnsi="Times New Roman;sans-serif"/>
                  <w:b w:val="false"/>
                  <w:strike w:val="false"/>
                  <w:dstrike w:val="false"/>
                  <w:color w:val="000000"/>
                  <w:sz w:val="20"/>
                  <w:u w:val="none"/>
                  <w:effect w:val="none"/>
                </w:rPr>
                <w:t>ITEM 9.</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9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94">
              <w:r>
                <w:rPr>
                  <w:rStyle w:val="InternetLink"/>
                  <w:rFonts w:ascii="Times New Roman;sans-serif" w:hAnsi="Times New Roman;sans-serif"/>
                  <w:b w:val="false"/>
                  <w:strike w:val="false"/>
                  <w:dstrike w:val="false"/>
                  <w:color w:val="000000"/>
                  <w:sz w:val="20"/>
                  <w:u w:val="none"/>
                  <w:effect w:val="none"/>
                </w:rPr>
                <w:t>39</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97">
              <w:r>
                <w:rPr>
                  <w:rStyle w:val="InternetLink"/>
                  <w:rFonts w:ascii="Times New Roman;sans-serif" w:hAnsi="Times New Roman;sans-serif"/>
                  <w:b w:val="false"/>
                  <w:strike w:val="false"/>
                  <w:dstrike w:val="false"/>
                  <w:color w:val="000000"/>
                  <w:sz w:val="20"/>
                  <w:u w:val="none"/>
                  <w:effect w:val="none"/>
                </w:rPr>
                <w:t>ITEM 9A.</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97">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97">
              <w:r>
                <w:rPr>
                  <w:rStyle w:val="InternetLink"/>
                  <w:rFonts w:ascii="Times New Roman;sans-serif" w:hAnsi="Times New Roman;sans-serif"/>
                  <w:b w:val="false"/>
                  <w:strike w:val="false"/>
                  <w:dstrike w:val="false"/>
                  <w:color w:val="000000"/>
                  <w:sz w:val="20"/>
                  <w:u w:val="none"/>
                  <w:effect w:val="none"/>
                </w:rPr>
                <w:t>39</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00">
              <w:r>
                <w:rPr>
                  <w:rStyle w:val="InternetLink"/>
                  <w:rFonts w:ascii="Times New Roman;sans-serif" w:hAnsi="Times New Roman;sans-serif"/>
                  <w:b w:val="false"/>
                  <w:strike w:val="false"/>
                  <w:dstrike w:val="false"/>
                  <w:color w:val="000000"/>
                  <w:sz w:val="20"/>
                  <w:u w:val="none"/>
                  <w:effect w:val="none"/>
                </w:rPr>
                <w:t>ITEM 9B.</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00">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00">
              <w:r>
                <w:rPr>
                  <w:rStyle w:val="InternetLink"/>
                  <w:rFonts w:ascii="Times New Roman;sans-serif" w:hAnsi="Times New Roman;sans-serif"/>
                  <w:b w:val="false"/>
                  <w:strike w:val="false"/>
                  <w:dstrike w:val="false"/>
                  <w:color w:val="000000"/>
                  <w:sz w:val="20"/>
                  <w:u w:val="none"/>
                  <w:effect w:val="none"/>
                </w:rPr>
                <w:t>40</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03">
              <w:r>
                <w:rPr>
                  <w:rStyle w:val="InternetLink"/>
                  <w:rFonts w:ascii="Times New Roman;sans-serif" w:hAnsi="Times New Roman;sans-serif"/>
                  <w:b w:val="false"/>
                  <w:strike w:val="false"/>
                  <w:dstrike w:val="false"/>
                  <w:color w:val="000000"/>
                  <w:sz w:val="20"/>
                  <w:u w:val="none"/>
                  <w:effect w:val="none"/>
                </w:rPr>
                <w:t>ITEM 9C.</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03">
              <w:r>
                <w:rPr>
                  <w:rStyle w:val="InternetLink"/>
                  <w:rFonts w:ascii="Times New Roman;sans-serif" w:hAnsi="Times New Roman;sans-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03">
              <w:r>
                <w:rPr>
                  <w:rStyle w:val="InternetLink"/>
                  <w:rFonts w:ascii="Times New Roman;sans-serif" w:hAnsi="Times New Roman;sans-serif"/>
                  <w:b w:val="false"/>
                  <w:strike w:val="false"/>
                  <w:dstrike w:val="false"/>
                  <w:color w:val="000000"/>
                  <w:sz w:val="20"/>
                  <w:u w:val="none"/>
                  <w:effect w:val="none"/>
                </w:rPr>
                <w:t>40</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93871c31734e59b737dd2f2034985a_106">
              <w:r>
                <w:rPr>
                  <w:rStyle w:val="InternetLink"/>
                  <w:rFonts w:ascii="Times New Roman;sans-serif" w:hAnsi="Times New Roman;sans-serif"/>
                  <w:b/>
                  <w:strike w:val="false"/>
                  <w:dstrike w:val="false"/>
                  <w:color w:val="000000"/>
                  <w:sz w:val="20"/>
                  <w:u w:val="none"/>
                  <w:effect w:val="none"/>
                </w:rPr>
                <w:t>PART III</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09">
              <w:r>
                <w:rPr>
                  <w:rStyle w:val="InternetLink"/>
                  <w:rFonts w:ascii="Times New Roman;sans-serif" w:hAnsi="Times New Roman;sans-serif"/>
                  <w:b w:val="false"/>
                  <w:strike w:val="false"/>
                  <w:dstrike w:val="false"/>
                  <w:color w:val="000000"/>
                  <w:sz w:val="20"/>
                  <w:u w:val="none"/>
                  <w:effect w:val="none"/>
                </w:rPr>
                <w:t>ITEM 10.</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09">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09">
              <w:r>
                <w:rPr>
                  <w:rStyle w:val="InternetLink"/>
                  <w:rFonts w:ascii="Times New Roman;sans-serif" w:hAnsi="Times New Roman;sans-serif"/>
                  <w:b w:val="false"/>
                  <w:strike w:val="false"/>
                  <w:dstrike w:val="false"/>
                  <w:color w:val="000000"/>
                  <w:sz w:val="20"/>
                  <w:u w:val="none"/>
                  <w:effect w:val="none"/>
                </w:rPr>
                <w:t>41</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12">
              <w:r>
                <w:rPr>
                  <w:rStyle w:val="InternetLink"/>
                  <w:rFonts w:ascii="Times New Roman;sans-serif" w:hAnsi="Times New Roman;sans-serif"/>
                  <w:b w:val="false"/>
                  <w:strike w:val="false"/>
                  <w:dstrike w:val="false"/>
                  <w:color w:val="000000"/>
                  <w:sz w:val="20"/>
                  <w:u w:val="none"/>
                  <w:effect w:val="none"/>
                </w:rPr>
                <w:t>ITEM 11.</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12">
              <w:r>
                <w:rPr>
                  <w:rStyle w:val="InternetLink"/>
                  <w:rFonts w:ascii="Times New Roman;sans-serif" w:hAnsi="Times New Roman;sans-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12">
              <w:r>
                <w:rPr>
                  <w:rStyle w:val="InternetLink"/>
                  <w:rFonts w:ascii="Times New Roman;sans-serif" w:hAnsi="Times New Roman;sans-serif"/>
                  <w:b w:val="false"/>
                  <w:strike w:val="false"/>
                  <w:dstrike w:val="false"/>
                  <w:color w:val="000000"/>
                  <w:sz w:val="20"/>
                  <w:u w:val="none"/>
                  <w:effect w:val="none"/>
                </w:rPr>
                <w:t>41</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15">
              <w:r>
                <w:rPr>
                  <w:rStyle w:val="InternetLink"/>
                  <w:rFonts w:ascii="Times New Roman;sans-serif" w:hAnsi="Times New Roman;sans-serif"/>
                  <w:b w:val="false"/>
                  <w:strike w:val="false"/>
                  <w:dstrike w:val="false"/>
                  <w:color w:val="000000"/>
                  <w:sz w:val="20"/>
                  <w:u w:val="none"/>
                  <w:effect w:val="none"/>
                </w:rPr>
                <w:t>ITEM 12.</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93871c31734e59b737dd2f2034985a_11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15">
              <w:r>
                <w:rPr>
                  <w:rStyle w:val="InternetLink"/>
                  <w:rFonts w:ascii="Times New Roman;sans-serif" w:hAnsi="Times New Roman;sans-serif"/>
                  <w:b w:val="false"/>
                  <w:strike w:val="false"/>
                  <w:dstrike w:val="false"/>
                  <w:color w:val="000000"/>
                  <w:sz w:val="20"/>
                  <w:u w:val="none"/>
                  <w:effect w:val="none"/>
                </w:rPr>
                <w:t>41</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18">
              <w:r>
                <w:rPr>
                  <w:rStyle w:val="InternetLink"/>
                  <w:rFonts w:ascii="Times New Roman;sans-serif" w:hAnsi="Times New Roman;sans-serif"/>
                  <w:b w:val="false"/>
                  <w:strike w:val="false"/>
                  <w:dstrike w:val="false"/>
                  <w:color w:val="000000"/>
                  <w:sz w:val="20"/>
                  <w:u w:val="none"/>
                  <w:effect w:val="none"/>
                </w:rPr>
                <w:t>ITEM 13.</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1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18">
              <w:r>
                <w:rPr>
                  <w:rStyle w:val="InternetLink"/>
                  <w:rFonts w:ascii="Times New Roman;sans-serif" w:hAnsi="Times New Roman;sans-serif"/>
                  <w:b w:val="false"/>
                  <w:strike w:val="false"/>
                  <w:dstrike w:val="false"/>
                  <w:color w:val="000000"/>
                  <w:sz w:val="20"/>
                  <w:u w:val="none"/>
                  <w:effect w:val="none"/>
                </w:rPr>
                <w:t>41</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21">
              <w:r>
                <w:rPr>
                  <w:rStyle w:val="InternetLink"/>
                  <w:rFonts w:ascii="Times New Roman;sans-serif" w:hAnsi="Times New Roman;sans-serif"/>
                  <w:b w:val="false"/>
                  <w:strike w:val="false"/>
                  <w:dstrike w:val="false"/>
                  <w:color w:val="000000"/>
                  <w:sz w:val="20"/>
                  <w:u w:val="none"/>
                  <w:effect w:val="none"/>
                </w:rPr>
                <w:t>ITEM 14.</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21">
              <w:r>
                <w:rPr>
                  <w:rStyle w:val="InternetLink"/>
                  <w:rFonts w:ascii="Times New Roman;sans-serif" w:hAnsi="Times New Roman;sans-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21">
              <w:r>
                <w:rPr>
                  <w:rStyle w:val="InternetLink"/>
                  <w:rFonts w:ascii="Times New Roman;sans-serif" w:hAnsi="Times New Roman;sans-serif"/>
                  <w:b w:val="false"/>
                  <w:strike w:val="false"/>
                  <w:dstrike w:val="false"/>
                  <w:color w:val="000000"/>
                  <w:sz w:val="20"/>
                  <w:u w:val="none"/>
                  <w:effect w:val="none"/>
                </w:rPr>
                <w:t>41</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93871c31734e59b737dd2f2034985a_124">
              <w:r>
                <w:rPr>
                  <w:rStyle w:val="InternetLink"/>
                  <w:rFonts w:ascii="Times New Roman;sans-serif" w:hAnsi="Times New Roman;sans-serif"/>
                  <w:b/>
                  <w:strike w:val="false"/>
                  <w:dstrike w:val="false"/>
                  <w:color w:val="000000"/>
                  <w:sz w:val="20"/>
                  <w:u w:val="none"/>
                  <w:effect w:val="none"/>
                </w:rPr>
                <w:t>PART IV</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27">
              <w:r>
                <w:rPr>
                  <w:rStyle w:val="InternetLink"/>
                  <w:rFonts w:ascii="Times New Roman;sans-serif" w:hAnsi="Times New Roman;sans-serif"/>
                  <w:b w:val="false"/>
                  <w:strike w:val="false"/>
                  <w:dstrike w:val="false"/>
                  <w:color w:val="000000"/>
                  <w:sz w:val="20"/>
                  <w:u w:val="none"/>
                  <w:effect w:val="none"/>
                </w:rPr>
                <w:t>ITEM 15.</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27">
              <w:r>
                <w:rPr>
                  <w:rStyle w:val="InternetLink"/>
                  <w:rFonts w:ascii="Times New Roman;sans-serif" w:hAnsi="Times New Roman;sans-serif"/>
                  <w:b w:val="false"/>
                  <w:color w:val="0000FF"/>
                  <w:sz w:val="20"/>
                  <w:u w:val="single"/>
                </w:rPr>
                <w:t>Exhibits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27">
              <w:r>
                <w:rPr>
                  <w:rStyle w:val="InternetLink"/>
                  <w:rFonts w:ascii="Times New Roman;sans-serif" w:hAnsi="Times New Roman;sans-serif"/>
                  <w:b w:val="false"/>
                  <w:strike w:val="false"/>
                  <w:dstrike w:val="false"/>
                  <w:color w:val="000000"/>
                  <w:sz w:val="20"/>
                  <w:u w:val="none"/>
                  <w:effect w:val="none"/>
                </w:rPr>
                <w:t>42</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33">
              <w:r>
                <w:rPr>
                  <w:rStyle w:val="InternetLink"/>
                  <w:rFonts w:ascii="Times New Roman;sans-serif" w:hAnsi="Times New Roman;sans-serif"/>
                  <w:b w:val="false"/>
                  <w:strike w:val="false"/>
                  <w:dstrike w:val="false"/>
                  <w:color w:val="000000"/>
                  <w:sz w:val="20"/>
                  <w:u w:val="none"/>
                  <w:effect w:val="none"/>
                </w:rPr>
                <w:t>ITEM 16.</w:t>
              </w:r>
            </w:hyperlink>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33">
              <w:r>
                <w:rPr>
                  <w:rStyle w:val="InternetLink"/>
                  <w:rFonts w:ascii="Times New Roman;sans-serif" w:hAnsi="Times New Roman;sans-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33">
              <w:r>
                <w:rPr>
                  <w:rStyle w:val="InternetLink"/>
                  <w:rFonts w:ascii="Times New Roman;sans-serif" w:hAnsi="Times New Roman;sans-serif"/>
                  <w:b w:val="false"/>
                  <w:strike w:val="false"/>
                  <w:dstrike w:val="false"/>
                  <w:color w:val="000000"/>
                  <w:sz w:val="20"/>
                  <w:u w:val="none"/>
                  <w:effect w:val="none"/>
                </w:rPr>
                <w:t>46</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36">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36">
              <w:r>
                <w:rPr>
                  <w:rStyle w:val="InternetLink"/>
                  <w:rFonts w:ascii="Times New Roman;sans-serif" w:hAnsi="Times New Roman;sans-serif"/>
                  <w:b w:val="false"/>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Matters discussed in this report and in other public disclosures, both written and oral, include “forward-looking” statements as defined in the Private Securities Litigation Reform Act of 1995, as codified in Section 27A of the Securities Act of 1933, as amended, and Section 21E of the Securities Act of 1934, as amended (the “Exchange Act”). Forward-looking statements can be identified by the fact that they do not relate strictly to historical or current facts. They often include words such as “believes,” “estimates,” “anticipates,” “expects,” “intends,” “plans,” “seeks,” or words of similar meaning, or future or conditional verbs, such as “may,” “will,” “should,” “could,” “aims,” “intends,” or “projects,” and similar expressions, whether in the negative or the affirmative. You should not place undue reliance on forward-looking statements, which speak only as of the date of the report. These forward-looking statements are all based on currently available operating, financial and competitive information and are subject to various risks and uncertainties. Our actual future results and trends may differ materially depending on a variety of factors, including, but not limited to, the risks and uncertainties discussed under “Item 1A. Risk Factors” and “Item 7. Management’s Discussion and Analysis of Financial Condition and Results of Operations.” Given these risks and uncertainties, you should not rely on forward-looking statements as a prediction of actual results. Any or all forward-looking statements contained in this report and other public statements made by us, including by our management, may turn out to be incorrect. We are including this cautionary note to make applicable and take advantage of the safe harbor provision of the Private Securities Litigation Reform Act of 1995 for forward-looking statements. We expressly disclaim any obligation to update or revise any forward-looking statements, whether as a result of new information, future events,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Dave &amp; Buster’s Entertainment, Inc. (“D&amp;B Entertainment”) is the owner and operator of 220 venues in North America that offer premier entertainment and dining experiences for both adults and families under the Dave &amp; Buster's and Main Event brands. As of February 4, 2024, the Company had 162 Dave &amp; Buster’s branded stores in 42 states, Puerto Rico, and Canada and offers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The Company has 58 Main Event stores in 20 states across the U.S. Main Event offers food, drinks and entertainment, including state-of-the-art bowling, laser tag, arcade games and virtual reality, making it the perfect place for families to connect and make memories.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provided in this report, references to “Dave &amp; Buster’s,” “we,” “us,” “our” or the “Company” refer to D&amp;B Entertainment and its wholly owned subsidiaries and any predecessor entities.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fiscal year consists of 52 or 53 weeks ending on the Sunday after the Saturday closest to January 31. Each quarterly period has 13 weeks, except in a 53-week year when the fourth quarter has 14 weeks. Fiscal 2023 contained 53 weeks and fiscal 2022 and fiscal 2021 each contained 52 weeks. We refer to our fiscal years ended February 4, 2024, January 29, 2023 and January 30, 2022 as "fiscal 2023", "fiscal 2022", and "fiscal 2021", respectively, throughout this report.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Entertainment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Game play is a key aspect of the entertainment experience at each of our stores, which we believe is the core differentiating feature of our brands. The Midway in each of our stores is an area where we offer a wide array of entertainment options, some of which are exclusive to our Dave &amp; Buster's and Main Event brands on a permanent or temporary basis. Our Dave &amp; Buster’s stores average 135 redemption and simulation games, and our Main Event locations average 115 redemption and simulation games as well as bowling, laser tag, billiards and gravity ropes.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games are activated by game play credits on cards or other RFID devices. A customer purchases a card with game play credits or “chips” at an automated kiosk, through our mobile application, or from one of our team members. Our entertainment revenues accounted for approximately 65.1% of our total revenues during fiscal 2023. Redemption games offer our customers the opportunity to win tickets that are redeemable at a retail-style space in our stores with prizes ranging from branded novelty items to high-end electronics. We believe this “opportunity to win” creates a fun and highly energized social experience that is an important aspect of the in-store experience and cannot be easily replicated at home. Many of our non-redemption games, which include our virtual reality, video, and simulation offerings, can be played by multiple customers simultaneously and include some of the latest high-tech games that are commercially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 Other entertainment, including billiards, laser tag and bowling, represented the remainder of our entertainment revenues in fiscal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Sports-viewing is another key component of the entertainment experience at Dave &amp; Buster’s. All our stores have multiple large screen televisions and high-quality audio systems providing customers with a venue for watching live sports and other immersive programming. Most of our Dave &amp; Buster's branded stores have an enhanced viewing experience with huge cutting-edge LED “Wow Walls”, that deliver an elevated viewing experience and provide a platform for broader programming and marketing opportunities. Our "Sports Watching" areas offer an immersive viewing environment that provides customers with large, high-definition televisions, to watch community-focused sports programming and enjoy our full bar and food menu. We believe that we have created an energetic environment that includes a differentiated and interactive viewing experience for customers, and our goal is to build awareness of D&amp;B as “the best place to watch sports” and the “only place to watch the games and play the games.”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Food and Beverage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differentiate our food with quality, flavorful offerings guided by an “Inspired American Kitchen” identity at our Dave &amp; Buster’s locations and a “Family Kitchen” at our Main Event locations. These offerings are rooted in enhanced flavors and quality ingredients across a condensed number of menu items that enable our customers to explore new flavors while offering a balanced selection of familiar dishes. Our menus simplify execution and, along with recent kitchen enhancements, allow us to deliver dishes to customers hotter and faster to drive an improved customer experience. While our menus appeal to a broad spectrum of customers, we continue to evolve it to reflect the changing tastes of our customers, with options for full meals as well as grabbing an appetizer to share with friends. We deliver high-quality offerings, including a wide variety of starters, one-of-a-kind burgers and handhelds, choice-grade steaks, pasta, and low calorie, vegetarian, and gluten-friendly options. We believe our broad menus offer something for everyone and are appropriate for many different occasions. To ensure that we stay on-trend, we update our menus regularly with new food items or tailored promotions.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locations also offers full bar service, including a variety of beers, hand-crafted cocktails, and premium spirits. We are focused on maintaining a streamlined beverage menu for ease of execution, while using quality ingredients including fresh juices, purees and house-made mixers. Beverage service is typically available throughout the entire store, allowing for multiple point of sale opportunities. We believe that our high margin beverage offering is complementary to the other offerings at each of our stores.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Competitive Positioning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out-of-home entertainment market is highly competitive. We compete for customers’ discretionary spend on entertainment with localized attraction facilities such as movie theaters, sporting events, bowling alleys, sports activity centers, arcades and entertainment centers, night clubs and restaurants as well as theme parks. We also face competition from local, regional, and national establishments that offer similar entertainment experiences and restaurants that are highly competitive with respect to price, quality of service, location, ambience and type and quality of food. Some of these establishments may exist in multiple locations, and we may also face competition on a national basis in the future from other similar concepts. We also face competition from increasingly sophisticated home-based forms of entertainment, such as internet and video gaming and home movie streaming.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elements that drive our total customer experience and help position us from a competitive standpoint include the following: </w:t>
      </w:r>
    </w:p>
    <w:p>
      <w:pPr>
        <w:pStyle w:val="TextBody"/>
        <w:bidi w:val="0"/>
        <w:spacing w:lineRule="auto" w:line="268" w:before="120" w:after="283"/>
        <w:jc w:val="both"/>
        <w:rPr/>
      </w:pPr>
      <w:r>
        <w:rPr>
          <w:rFonts w:ascii="Times New Roman;sans-serif" w:hAnsi="Times New Roman;sans-serif"/>
          <w:b/>
          <w:i/>
          <w:color w:val="000000"/>
          <w:sz w:val="20"/>
        </w:rPr>
        <w:t>Strong, distinctive brands with broad customer appeal</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customer experience at our stores, supported by our extensive marketing reach, has helped us create widely recognized brands. We have a high degree of awareness of our brands as an entertainment and dining venue, and a broad customer appeal with an attractive target demographic. The primary target for our Dave &amp; Buster’s locations is adults aged 21-39 and families, while our Main Event stores primarily focus on families with children.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Multi-faceted customer experience highlights our value proposition.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combination of interactive games, attractive television viewing areas, high-quality dining, and full-service beverage offerings, delivered in a highly energized atmosphere, provides a multi-faceted customer experience that cannot be easily replicated at home or elsewhere without having to visit multiple destinations. We aim to offer our customers a value proposition comparable or superior to many of the separately available dining and entertainment options. We are continuously working with game manufacturers and others to create new games and attractions that include content that is exclusively available at our Dave &amp; Buster’s and Main Event stores on a permanent or temporary basis. Our new games in combination with new food and beverage offerings and focused attention to the customer experience help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retain and generate customer traffic. Our value proposition is enhanced by marketing initiatives, including free game play that often features the introduction of our new games, game play dollar volume discounts, and eat and play promotional offers. We believe these initiatives encourage customers to participate more fully across our food, beverage, and entertainment offerings.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Store models generate favorable store economics and strong returns.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store models offering entertainment, food, and beverage options provide certain benefits in comparison to traditional restaurant concepts, which are reflected in our historically higher revenue per store, higher comparable store operating income margins, and higher comparable Store Operating Income Before Depreciation and Amortization Margins (defined in Item 7. “Management’s Discussion and Analysis of Financial Condition and Results of Operations—Non-GAAP Financial Measures”).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entertainment offerings have low variable costs, generating a gross margin of 90.7% for fiscal 2023. With 65.1% of our fiscal 2023 revenues from entertainment, we have less exposure than traditional restaurant concepts to food costs. Our business model generates strong cash flow that we can use to execute our growth strategy. We believe the combination of our operating income margins, our Store Operating Income Before Depreciation and Amortization Margins, our refined new store formats and the fact that our stores typically open with high volumes that drive margins in year one will help us achieve one-year and five-year cash-on-cash return targets.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target average one-year and five-year cash-on-cash returns of at least </w:t>
      </w:r>
      <w:r>
        <w:rPr>
          <w:rFonts w:ascii="Times New Roman;sans-serif" w:hAnsi="Times New Roman;sans-serif"/>
          <w:b w:val="false"/>
          <w:color w:val="000000"/>
          <w:sz w:val="20"/>
          <w:shd w:fill="FFFFFF" w:val="clear"/>
        </w:rPr>
        <w:t>35% a</w:t>
      </w:r>
      <w:r>
        <w:rPr>
          <w:rFonts w:ascii="Times New Roman;sans-serif" w:hAnsi="Times New Roman;sans-serif"/>
          <w:b w:val="false"/>
          <w:color w:val="000000"/>
          <w:sz w:val="20"/>
        </w:rPr>
        <w:t>nd</w:t>
      </w:r>
      <w:r>
        <w:rPr>
          <w:color w:val="000000"/>
          <w:shd w:fill="FFFFFF" w:val="clear"/>
        </w:rPr>
        <w:t xml:space="preserve"> </w:t>
      </w:r>
      <w:r>
        <w:rPr>
          <w:rFonts w:ascii="Times New Roman;sans-serif" w:hAnsi="Times New Roman;sans-serif"/>
          <w:b w:val="false"/>
          <w:color w:val="000000"/>
          <w:sz w:val="20"/>
          <w:shd w:fill="FFFFFF" w:val="clear"/>
        </w:rPr>
        <w:t xml:space="preserve">25%, </w:t>
      </w:r>
      <w:r>
        <w:rPr>
          <w:rFonts w:ascii="Times New Roman;sans-serif" w:hAnsi="Times New Roman;sans-serif"/>
          <w:b w:val="false"/>
          <w:color w:val="000000"/>
          <w:sz w:val="20"/>
        </w:rPr>
        <w:t xml:space="preserve">respectively. We define and calculate cash-on-cash returns for an individual store as (a) Store Operating Income Before Depreciation and Amortization, excluding pre-opening expenses, national marketing expense allocation, non-cash charges related to asset disposals, currency transactions and changes in non-cash deferred entertainment revenue, divided by (b) our net development costs. Net development costs include equipment, building, leaseholds and site costs, net of tenant improvement allowances and other landlord payments, excluding pre-opening costs and capitalized interest. </w:t>
      </w:r>
    </w:p>
    <w:p>
      <w:pPr>
        <w:pStyle w:val="TextBody"/>
        <w:bidi w:val="0"/>
        <w:spacing w:lineRule="auto" w:line="288" w:before="120" w:after="283"/>
        <w:jc w:val="both"/>
        <w:rPr/>
      </w:pPr>
      <w:r>
        <w:rPr>
          <w:rFonts w:ascii="Times New Roman;sans-serif" w:hAnsi="Times New Roman;sans-serif"/>
          <w:b/>
          <w:i/>
          <w:color w:val="000000"/>
          <w:sz w:val="20"/>
        </w:rPr>
        <w:t>Commitment to customer satisfaction.</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aim to continuously enhance our entertainment, food, and beverage offerings through our service philosophy of providing a high quality and consistent customer experience through dedicated training and development of our team members, supported by a corporate culture that fosters employee engagement.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multi-faceted growth strategy focused on the following key components: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Drive growth in comparable store sales.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differentiate our brands from other entertainment and dining alternatives and drive growth in our comparable sales through the following strategies: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Offer the latest entertainment at competitive prices.</w:t>
      </w:r>
      <w:r>
        <w:rPr>
          <w:color w:val="000000"/>
        </w:rPr>
        <w:t xml:space="preserve"> </w:t>
      </w:r>
      <w:r>
        <w:rPr>
          <w:rFonts w:ascii="Times New Roman;sans-serif" w:hAnsi="Times New Roman;sans-serif"/>
          <w:b w:val="false"/>
          <w:color w:val="000000"/>
          <w:sz w:val="20"/>
        </w:rPr>
        <w:t xml:space="preserve">We believe that our diverse offering of games and amusement activities are the core differentiating feature of our brands. Staying current with the latest offerings promotes trial and provides an exciting environment to enjoy with friends and family, especially with the latest multiplayer games and challenges, as well as social gaming experiences. We plan to continually update our games each year through the development of innovative and proprietary games and the purchase of new games that will resonate with our customers to drive brand relevance due to a variety of factors, including their large scale, eye-catching appearance, virtual reality features, association with recognizable brands or the fact they cannot be easily replicated at home. We also intend to extend our programming capabilities at our stores by offering more curated content and creating a calendar of ongoing and one-time events leveraging our investments in the best and latest audio-visual technology. We also plan to continuously review and update pricing of our games and amusement activities to provide affordable entertainment while remaining competitive with our peers.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Offer novel food &amp; drink to bring people together.</w:t>
      </w:r>
      <w:r>
        <w:rPr>
          <w:color w:val="000000"/>
        </w:rPr>
        <w:t xml:space="preserve"> </w:t>
      </w:r>
      <w:r>
        <w:rPr>
          <w:rFonts w:ascii="Times New Roman;sans-serif" w:hAnsi="Times New Roman;sans-serif"/>
          <w:b w:val="false"/>
          <w:color w:val="000000"/>
          <w:sz w:val="20"/>
        </w:rPr>
        <w:t>We aim to offer a wide variety of quality items for our guests at optimized prices. We also strive to improve efficiency by simplifying execution, allowing us to deliver dishes hotter and faster to drive an improved customer experience. We continually update and innovate our offerings based on customer research and optimize our selections to improve execution efficiency. For both food and beverage, we aim to periodically introduce new items and offer attractive promotions during key periods.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Drive customer engagement through strategic marketing and loyalty offerings.</w:t>
      </w:r>
      <w:r>
        <w:rPr>
          <w:color w:val="000000"/>
        </w:rPr>
        <w:t xml:space="preserve"> </w:t>
      </w:r>
      <w:r>
        <w:rPr>
          <w:rFonts w:ascii="Times New Roman;sans-serif" w:hAnsi="Times New Roman;sans-serif"/>
          <w:b w:val="false"/>
          <w:color w:val="000000"/>
          <w:sz w:val="20"/>
        </w:rPr>
        <w:t xml:space="preserve">We will continue to focus on delivering personalized messaging that connects with the customer to drive incremental visitation and will focus our advertising on communicating the values behind our brand promise. In addition, we will continue to leverage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 management program and our growing loyalty database by delivering more targeted individualized offers, creative content and exclusive offerings. We will also continue to review and optimize our media mix to drive both incremental visits from our existing customer base and increase unique visitors.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Optimize our footprint through remodeling existing locations.</w:t>
      </w:r>
      <w:r>
        <w:rPr>
          <w:color w:val="000000"/>
        </w:rPr>
        <w:t xml:space="preserve"> </w:t>
      </w:r>
      <w:r>
        <w:rPr>
          <w:rFonts w:ascii="Times New Roman;sans-serif" w:hAnsi="Times New Roman;sans-serif"/>
          <w:b w:val="false"/>
          <w:color w:val="000000"/>
          <w:sz w:val="20"/>
        </w:rPr>
        <w:t xml:space="preserve">We will continue to invest in remodels of certain existing stores to modernize, attract customers, improve layouts to improve traffic and efficiency, implement technology improvements, provide new entertainment offerings and deliver a personalized experience across screens with connections to our mobile app.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Drive incremental sales volume through advertising and hosting special events.</w:t>
      </w:r>
      <w:r>
        <w:rPr>
          <w:color w:val="000000"/>
        </w:rPr>
        <w:t xml:space="preserve"> </w:t>
      </w:r>
      <w:r>
        <w:rPr>
          <w:rFonts w:ascii="Times New Roman;sans-serif" w:hAnsi="Times New Roman;sans-serif"/>
          <w:b w:val="false"/>
          <w:color w:val="000000"/>
          <w:sz w:val="20"/>
        </w:rPr>
        <w:t xml:space="preserve">Our dedicated sales team strives to drive incremental special events traffic in each of our stores. We continue to focus on opportunities to grow special events sales including optimized online booking and entertainment offerings geared toward special events. New, elevated banquet menu offerings and dedicated service provide an exceptional guest experience.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Drive an improved guest experience and optimize operations through targeted technology investments. </w:t>
      </w:r>
      <w:r>
        <w:rPr>
          <w:rFonts w:ascii="Times New Roman;sans-serif" w:hAnsi="Times New Roman;sans-serif"/>
          <w:b w:val="false"/>
          <w:color w:val="000000"/>
          <w:sz w:val="20"/>
        </w:rPr>
        <w:t>We continue to streamline our service model through store-level technology improvements including kiosks and other self-service technology. We also continue to invest in analytics tools and technology upgrades to more efficiently measure and improve performance, drive incremental sales, and continuously monitor costs and profitability.</w:t>
      </w:r>
    </w:p>
    <w:p>
      <w:pPr>
        <w:pStyle w:val="TextBody"/>
        <w:bidi w:val="0"/>
        <w:spacing w:lineRule="auto" w:line="288" w:before="120" w:after="283"/>
        <w:jc w:val="both"/>
        <w:rPr/>
      </w:pPr>
      <w:r>
        <w:rPr>
          <w:rFonts w:ascii="Times New Roman;sans-serif" w:hAnsi="Times New Roman;sans-serif"/>
          <w:b/>
          <w:i/>
          <w:color w:val="000000"/>
          <w:sz w:val="20"/>
        </w:rPr>
        <w:t>Invest domestically in our brands.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Dave &amp; Buster’s and Main Event brands have significant domestic growth opportunities in the United States and Canada. In fiscal 2023, we opened eleven Dave &amp; Buster's stores and five Main Event stores. In fiscal 2024 and beyond, the number of openings will depend on many factors, including our ability to locate appropriate sites, negotiate acceptable purchase or lease terms, generate sufficient operating cash flows or utilize available cash to finance construction of leasehold improvements and pre-opening costs, obtain necessary local governmental permits, and recruit and train team members.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base new site selection on an analytical evaluation of a set of drivers we believe increase the probability of successful, high-volume stores, including site visibility, accessibility and traffic volume, and trade area demographics. The experience and relationships of our current development team has enabled us to focus our attention on the most relevant network of real estate brokers, which has given us access to a larger pool of qualified potential store sites. In addition, we believe the more contemporary look of our stores has been one of the key drivers in attracting new developers and building our new store pipeline.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Dave &amp; Buster's Stores </w:t>
      </w:r>
      <w:r>
        <w:rPr>
          <w:rFonts w:ascii="Times New Roman;sans-serif" w:hAnsi="Times New Roman;sans-serif"/>
          <w:b w:val="false"/>
          <w:color w:val="000000"/>
          <w:sz w:val="20"/>
        </w:rPr>
        <w:t xml:space="preserve">- Our Dave &amp; Buster's stores vary in size from approximately 16,000 to 70,000 square feet. To optimize sales per square foot and further enhance our store economics we currently utilize three basic formats when designing new stores. The target size of our future large format stores is expected to be between 30,000 and 45,000 square feet, the target size of our future medium format stores is expected to be between 25,000 and 30,000 square feet while our small format stores are below 25,000 square feet. We believe the smaller store format allows us to reduce capital investment risk per store and enter smaller markets that would not have warranted the investment of a larger box. For the smaller format, we have reduced the back-of-house space and optimized the customer facing area dedicated to video and redemption games. We believe the smaller format maintains the dynamic customer experience that is the foundation of our brand and allows us flexibility in our site selection process.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Main Event Stores </w:t>
      </w:r>
      <w:r>
        <w:rPr>
          <w:rFonts w:ascii="Times New Roman;sans-serif" w:hAnsi="Times New Roman;sans-serif"/>
          <w:b w:val="false"/>
          <w:color w:val="000000"/>
          <w:sz w:val="20"/>
        </w:rPr>
        <w:t>- Our Main Event stores vary in size from approximately 37,500 to 78,000 square feet. The target size of our future stores is between approximately 40,000 and 55,000 square feet. If an existing building is identified in a target location, we could open a future store outside of this range depending on projected store economics, competition and various other factors.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 in Foreign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expanding the Dave &amp; Buster's brand through international franchise agreements. We have signed five international franchise partnerships, expanding the Dave &amp; Buster's brand to locations in the Kingdom of Saudi Arabia, followed by the United Arab Emirates, Egypt, India, Australia, and the Dominican Republic. Under these partnerships, we plan to open 38 franchised Dave &amp; Buster's locations beginning in 2024. Additionally, the acquisition of Main Event provides us another brand to expand internationally.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drive international expansion, we have developed key strategic initiatives that uniquely support global market penetration. These include a customizable footprint to drive box economics in each market, menu localization with high regional resonance, a proprietary, dynamic pricing model, global marketing programs that are demographically agnostic and locally executable, differentiated entertainment strategies and packages unique to each demographic, and localized entertainment and 3rd party programming.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own and operate two stores outside of the United States in the Canadian province of Ontario. These stores generated aggregate revenues of approximately $23.5 million and $24.1 million in fiscal 2023 and fiscal 2022,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activities of these and future stores outside the United States are subject to various risks of doing business in a foreign country, including currency fluctuations, changes in laws and regulations and economic and political stability. We do not believe there is any material risk associated with the Canadian operations or any dependence by the domestic business upon the Canadian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Our team members are the heart of our Company, and we depend on them to provide great guest service and to maintain consistently strong operations. Our ability to attract and retain an engaged and experienced team is critical to successful execution of our business strategies. While we continue to operate in a competitive labor environment, we believe our culture, policies, and labor practices contribute to strong relations with our team members. (See Item 1A. Risk Factors, “</w:t>
      </w:r>
      <w:r>
        <w:rPr>
          <w:rFonts w:ascii="Times New Roman;sans-serif" w:hAnsi="Times New Roman;sans-serif"/>
          <w:b w:val="false"/>
          <w:i/>
          <w:color w:val="000000"/>
          <w:sz w:val="20"/>
        </w:rPr>
        <w:t>Our success depends upon our ability to recruit and retain qualified store management and operating personnel while also controlling our labor costs</w:t>
      </w:r>
      <w:r>
        <w:rPr>
          <w:rFonts w:ascii="Times New Roman;sans-serif" w:hAnsi="Times New Roman;sans-serif"/>
          <w:b w:val="false"/>
          <w:color w:val="000000"/>
          <w:sz w:val="20"/>
        </w:rPr>
        <w:t xml:space="preserv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Culture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stores and at our store support center, we are committed to being fun creators. Our team members share a deep commitment to values that describe the relationships our team members have with our customers and each other. We are devoted to our service philosophy that calls for providing exceptional service to our customers and to each other every day. Our attitude encourages intensity, hard work, and having fun. We firmly believe we are better together, and we encourage inclusivity, teamwork, and good judgment. Finally, we encourage all team members to be committed to innovation, embracing change, and continuous learning and growth.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Team</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4, 2024, we employed 23,258 team members across both of our brands, consisting of 384 store support, 139 dedicated special events sales force, 1,998 store management, and 20,737 store hourly team members.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values bind us to a shared commitment to attract, retain, engage, and develop a team that mirrors the diversity of the customers we serve. We strive to provide inclusive fun for all, and we believe our commitment to diversity, equity and inclusion promotes teamwork to achieve our common goals, helps our team members reach their highest potential at work, enables our team members to make better decisions to serve all our stakeholders, and fuels innovation. Racial minorities make up approximately 64.9% of our U.S. workforce, and we are proud of our diversity, which is summarized below: </w:t>
      </w:r>
    </w:p>
    <w:tbl>
      <w:tblPr>
        <w:tblW w:w="6526" w:type="dxa"/>
        <w:jc w:val="left"/>
        <w:tblInd w:w="0" w:type="dxa"/>
        <w:tblLayout w:type="fixed"/>
        <w:tblCellMar>
          <w:top w:w="28" w:type="dxa"/>
          <w:left w:w="28" w:type="dxa"/>
          <w:bottom w:w="28" w:type="dxa"/>
          <w:right w:w="28" w:type="dxa"/>
        </w:tblCellMar>
      </w:tblPr>
      <w:tblGrid>
        <w:gridCol w:w="1192"/>
        <w:gridCol w:w="1048"/>
        <w:gridCol w:w="1059"/>
        <w:gridCol w:w="255"/>
        <w:gridCol w:w="256"/>
        <w:gridCol w:w="271"/>
        <w:gridCol w:w="109"/>
        <w:gridCol w:w="109"/>
        <w:gridCol w:w="109"/>
        <w:gridCol w:w="255"/>
        <w:gridCol w:w="256"/>
        <w:gridCol w:w="351"/>
        <w:gridCol w:w="109"/>
        <w:gridCol w:w="109"/>
        <w:gridCol w:w="109"/>
        <w:gridCol w:w="255"/>
        <w:gridCol w:w="256"/>
        <w:gridCol w:w="418"/>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Female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Total </w:t>
            </w:r>
            <w:r>
              <w:rPr>
                <w:rFonts w:ascii="Times New Roman;sans-serif" w:hAnsi="Times New Roman;sans-serif"/>
                <w:b/>
                <w:color w:val="000000"/>
                <w:sz w:val="10"/>
              </w:rPr>
              <w:t>(1)</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 or Latino</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or African American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Asian/American Indian/Pacific Islander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Unspecified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2"/>
        </w:rPr>
        <w:t xml:space="preserve">(1) </w:t>
      </w:r>
      <w:r>
        <w:rPr>
          <w:color w:val="000000"/>
        </w:rPr>
        <w:t>    </w:t>
      </w:r>
      <w:r>
        <w:rPr>
          <w:rFonts w:ascii="Times New Roman;sans-serif" w:hAnsi="Times New Roman;sans-serif"/>
          <w:b w:val="false"/>
          <w:color w:val="000000"/>
          <w:sz w:val="18"/>
        </w:rPr>
        <w:t>Approximately 0.8% of our team members either do not identify as a specific gender or identify as non-binary across all races.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2023, we strengthened our commitment to diversity, equity, and inclusion. Among other key accomplishments, we: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progressed on our goals to improve representation of women and team members who are black, indigenous or people of color (“BIPOC”) in our corporate and field leadership before the end of FY 2025;</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enhanced our commitment to women in leadership through greater participation in membership and activity with Women’s Foodservice Forum;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emphasized our commitment to diversity and belonging throughout the year in internal and external communications, including social media and the expansion of our Diversity Council membership and activity.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culture, policies, and labor practices contribute to strong engagement with our team members. In particular, our leaders work to develop and maintain strong communications and relationships with our team members.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Leadership Team</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led by a strong senior management team with a wealth of experience with national brands spanning casual dining, entertainment, and other consumer-centric industries. We believe our management team’s prior experience, combined with its experience at Dave &amp; Buster’s and Main Event, provides us with insights into our customer base and enables us to create the dynamic environment that is core to our brands.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Store Teams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typical store team consists of a General Manager supported by an average of six to seven additional management positions per store. Management team members handle various departments within the store including responsibility for hourly team members. Our stores typically employ approximately 100 hourly team members, most of which are part-time.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General Manager and the management team are responsible for the day-to-day operations of the store, including the hiring, training, and development of team members, as well as financial and operational performance. There is a defined structure of development and progression of job responsibilities within the supporting management positions to ensure that an adequate succession plan exists within each store. Each store is overseen by a Regional Operations Director, Senior Regional Operations Director or Vice President of Operations (collectively, “Regional Management”) who directly or indirectly report to our Chief Operating Officer. We are proud of our store leadership teams’ experience and carefully monitor store management team retention rates, which for us has consistently tracked in the top quartile of the upscale casual dining industry.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Attracting Talent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hire experienced leaders and team members and offer competitive wage and benefit programs. We offer performance-based compensation programs to our store management and store support center employees. In addition to salaries, these programs (which vary by employee level) include bonuses, stock awards, and various employee assistance programs. In addition, our salaried and hourly team members are also eligible to participate in a 401(k) plan, medical/dental/vision insurance plans and receive vacation/paid time off based on tenure.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Developing Talent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motivate and develop our team members by providing them with opportunities for increased responsibilities and advancement. Throughout the year, we provide numerous training opportunities for our team members, with a focus on continuous learning and development. With hundreds of leadership positions across our stores, we provide a pathway and training for individuals across the organization to advance from entry-level jobs into management roles. In addition, our geographic footprint often allows us to offer our store team members relocation options.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maintain quality and consistency in each of our stores through the careful training and supervision of our team members and the establishment of, and adherence to, high standards relating to personnel performance, food and beverage preparation, safety protocols, game playability and maintenance of our stores. We provide new team members with comprehensive orientation and one-on-one training for their positions to help ensure they meet our high standards. New team members are trained by partnering with a trainer to assure that the training and information they receive is complete and accurate. Team members are certified for their positions by passing a series of tests, including alcohol awareness and responsibility training for service team members.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our new store managers to complete an eight-week training program that includes front-of-house service, kitchen, amusements, and management responsibilities. Newly trained managers are then assigned to their home store, where they receive additional training with their General Manager. Their last two weeks of training include a comprehensive validation of new skills. We place a high priority on our continuing management development programs to ensure that qualified managers are available for our future openings. We conduct regular evaluations with each manager to discuss prior performance and future performance goals and continuously evaluate our staffing to proactively plan for growth. We hold an Annual Operators Conference in which our General Managers share best practices and receive an operating plan they will execute to drive performance.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we open a new store, we provide varying levels of training to team members in each position to ensure the smooth and efficient operation of the store from the first day it opens to the public. Prior to opening a new store, our dedicated training and opening team travels to the store to deliver an intensive training program for all team members. We believe this additional investment in our new stores is important because it helps us provide our customers with a quality experience from day one. After a store has been opened and is operating smoothly, the store managers supervise the training of new team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Corporate Responsibility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core values call for each of our team members to care for each other, our customers, and the communities we serve. We will not do business with organizations that employ or condone unfair labor practices. We partner with suppliers who share our commitment to ethical business conduct, fair labor practices, proven environmental, health, and safety practices, and environmental sustainability. We also specifically condemn human trafficking and abuse of child labor. We understand that supporting our communities includes being good environmental stewards and striving to conduct business in a sustainable and environmentally responsible manner.</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encourage team members to give back to the communities we serve. Although our Company invests time and resources in many charitable causes, we have two main causes we focus our efforts to support. The first is our long-standing partnership with Make-A-Wish, which we have proudly supported in a national partnership since April 2012. Through fiscal 2023, we have given over $17.4 million to this worthy cause, and we participate in several events throughout the year, both in our stores and at our store support center, to raise money for Make-A-Wish. We also volunteer our time and talents.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invest in helping our own team members during their times of greatest need. The Buster's Legacy Fund is an independent non-profit established to create an employee assistance fund for the benefit of team members who suffer catastrophic events resulting in severe economic hardship. The Buster's Legacy Fund is financed by contributions from our team members, customers, and business partners.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Advertising and Marketing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advertising and marketing to build awareness, strengthen our brands' relevance and generate and retain new customer demand. We spent approximately $67.8 million and $57.6 million on marketing efforts in fiscal years 2023 and 2022, respectively. We have recently evolved our media investment approach to one that is data-driven and consumer centric, shifting away from a focus on linear TV, connected TV and streaming advertising to more “always-on” performance media with a digital focus.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a diversified media mix, including connected TV, select linear TV buys, social and digital video, programmatic display, paid social and paid search, along with several digital marketing initiatives including search engine marketing and optimization, organic social, content marketing, mobile campaigns, mobile app and website improvements. We execute periodic promotions, create in-store point-of-purchase materials and execute local marketing plans to address specific objectives in individual stores or markets. We work with best-in-class external advertising, digital, media and public relations agencies in the development and execution of these programs.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invest in developing and implementing new technology platforms that will allow us to digitally engage with our customers and team members and strengthen our marketing and analytics capabilities in an increasingly connected society. Central to this effort is continued investment in our mobile application and web platforms, which are used to enhance existing customer satisfaction and attract new customers by providing periodic exclusive offers and limited-time discounts, while also providing a convenient way to purchase and easily recharge gaming cards.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launched an enhanced loyalty program for our Dave &amp; Buster's brand in 2021 that now has nearly six million members and continues to grow. The Dave &amp; Buster’s Rewards Program is a customer recognition program that rewards members primarily for their game chips played. Eligible members have the ability to level-up by playing game chips, and members are rewarded with free game play or food offers based on their level. As our loyalty program continues to grow, it provides an important method for maintaining customers’ connection with the D&amp;B brand and further driving customer satisfaction.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a number of other initiatives to continuously improve our market effectiveness, including refining our marketing strategy to better reach both young adults and families, creating new advertising campaigns, investing in menu research and development to differentiate our food offerings from our competition and improve key product attributes (quality, consistency, value and overall customer satisfaction) and execution, developing product/promotional strategies to attract new customers and increase spending/length of stay, and reflecting a consistent brand identity that represents our positioning and commitment to quality.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Special Event marketing programs are run in support of our special events team initiatives. Dedicated, target-specific marketing programs are executed primarily utilizing digital, customer relationship management, organic social, partnerships/co-op programs, and print marketing collateral. We have online booking for social parties to provide additional convenience, and a personalized experience, in booking events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Technology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several proprietary and third-party management information systems. These systems are designed to enable our games’ functionality, improve operating efficiencies, provide us with timely access to financial and marketing data and reduce store and corporate administrative time and expense. We believe our management information systems are sufficient to support our business plans. Information systems projects are prioritized based upon strategic, financial, regulatory and other business advantage criteria.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managers have daily routines focused on driving consistent execution in entertainment, food and beverage. We utilize a customized food and beverage analysis program that determines the theoretical food and beverage costs for each store and provides additional tools and reports to help us identify opportunities, including waste management. In addition to our own routines, we leverage a third-party vendor to help ensure quality beverage operations, responsible alcohol service and loss prevention. Our workforce management platform also allows management to quickly add or reduce labor based on real-time business needs and historically assisted our managers in optimizing hourly labor based on anticipated sales volumes. Our amusement team uses a proprietary system that is supported by a mobile application that identifies amusement issues and needed repairs to help ensure our games are operational and meeting our ideal playing standard. Complementing this program is our routine preventative maintenance program, designed to prevent game failure and extend the functionality of our games. Consolidated reporting tools for the key drivers of our business are provided to our Regional Management to identify and troubleshoot any systemic issues.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in connectivity and data infrastructure to modernize and upgrade the capacity of our store systems, continued work on new, customer-facing digital experiences, such as the launch of our new mobile application that supports in-store and off-premise entertainment, and deployed hand-held point-of-sale devices in our stores.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2022, we began investing in new enterprise resource planning, human capital management, and inventory management software to provide our store management and store support teams with the tools necessary to enhance our ability to record and track data, make more effective real-time decisions, and drive process efficiencies. We plan to fully implement these new systems in fiscal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Food Preparation, Quality Control and Purchasing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maintain the highest food quality standards. To ensure our quality standards are met, we negotiate directly with independent producers of food products. We provide detailed quality and yield specifications to suppliers for our purchases. Our systems are designed to protect the safety and quality of our food supply throughout the procurement and preparation process. Within each store, the Kitchen Manager is primarily responsible for ensuring the timely and correct preparation of food products per the recipes we specify. We provide each of our stores with various tools and training to facilitate these activities.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Store-Level Quarterly Fluctuations and Seasonality</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are influenced by seasonal shifts in consumer spending.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 During the first half of fiscal 2021, results also fluctuated due to the timing and frequency of temporary closures and operating restrictions as a result of state and local guidelines imposed due to the COVID-19 pandemic.</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Suppliers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goods used by us are redemption game prizes and food and beverage products, which are available from a number of suppliers. We are a large buyer of traditional and amusement games and, as a result, we receive discounted pricing arrangements. Wage inflation and other macro-economic pressures could result in increasing expenses, as suppliers may seek to pass higher costs on to us.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have registered the trademarks Dave &amp; Buster’s</w:t>
      </w:r>
      <w:r>
        <w:rPr>
          <w:rFonts w:ascii="Times New Roman;sans-serif" w:hAnsi="Times New Roman;sans-serif"/>
          <w:b w:val="false"/>
          <w:color w:val="000000"/>
          <w:sz w:val="13"/>
        </w:rPr>
        <w:t>®</w:t>
      </w:r>
      <w:r>
        <w:rPr>
          <w:rFonts w:ascii="Times New Roman;sans-serif" w:hAnsi="Times New Roman;sans-serif"/>
          <w:b w:val="false"/>
          <w:color w:val="000000"/>
          <w:sz w:val="20"/>
        </w:rPr>
        <w:t>, Power Card</w:t>
      </w:r>
      <w:r>
        <w:rPr>
          <w:rFonts w:ascii="Times New Roman;sans-serif" w:hAnsi="Times New Roman;sans-serif"/>
          <w:b w:val="false"/>
          <w:color w:val="000000"/>
          <w:sz w:val="13"/>
        </w:rPr>
        <w:t>®</w:t>
      </w:r>
      <w:r>
        <w:rPr>
          <w:rFonts w:ascii="Times New Roman;sans-serif" w:hAnsi="Times New Roman;sans-serif"/>
          <w:b w:val="false"/>
          <w:color w:val="000000"/>
          <w:sz w:val="20"/>
        </w:rPr>
        <w:t>, Eat &amp; Play Combo</w:t>
      </w:r>
      <w:r>
        <w:rPr>
          <w:rFonts w:ascii="Times New Roman;sans-serif" w:hAnsi="Times New Roman;sans-serif"/>
          <w:b w:val="false"/>
          <w:color w:val="000000"/>
          <w:sz w:val="13"/>
        </w:rPr>
        <w:t>®</w:t>
      </w:r>
      <w:r>
        <w:rPr>
          <w:rFonts w:ascii="Times New Roman;sans-serif" w:hAnsi="Times New Roman;sans-serif"/>
          <w:b w:val="false"/>
          <w:color w:val="000000"/>
          <w:sz w:val="20"/>
        </w:rPr>
        <w:t>, Eat Drink Play</w:t>
      </w:r>
      <w:r>
        <w:rPr>
          <w:rFonts w:ascii="Times New Roman;sans-serif" w:hAnsi="Times New Roman;sans-serif"/>
          <w:b w:val="false"/>
          <w:color w:val="000000"/>
          <w:sz w:val="13"/>
        </w:rPr>
        <w:t>®</w:t>
      </w:r>
      <w:r>
        <w:rPr>
          <w:rFonts w:ascii="Times New Roman;sans-serif" w:hAnsi="Times New Roman;sans-serif"/>
          <w:b w:val="false"/>
          <w:color w:val="000000"/>
          <w:sz w:val="20"/>
        </w:rPr>
        <w:t>, Eat Drink Play Watch</w:t>
      </w:r>
      <w:r>
        <w:rPr>
          <w:rFonts w:ascii="Times New Roman;sans-serif" w:hAnsi="Times New Roman;sans-serif"/>
          <w:b w:val="false"/>
          <w:color w:val="000000"/>
          <w:sz w:val="13"/>
        </w:rPr>
        <w:t>®</w:t>
      </w:r>
      <w:r>
        <w:rPr>
          <w:rFonts w:ascii="Times New Roman;sans-serif" w:hAnsi="Times New Roman;sans-serif"/>
          <w:b w:val="false"/>
          <w:color w:val="000000"/>
          <w:sz w:val="20"/>
        </w:rPr>
        <w:t>, Main Event</w:t>
      </w:r>
      <w:r>
        <w:rPr>
          <w:rFonts w:ascii="Times New Roman;sans-serif" w:hAnsi="Times New Roman;sans-serif"/>
          <w:b w:val="false"/>
          <w:color w:val="000000"/>
          <w:sz w:val="13"/>
        </w:rPr>
        <w:t>®</w:t>
      </w:r>
      <w:r>
        <w:rPr>
          <w:rFonts w:ascii="Times New Roman;sans-serif" w:hAnsi="Times New Roman;sans-serif"/>
          <w:b w:val="false"/>
          <w:color w:val="000000"/>
          <w:sz w:val="20"/>
        </w:rPr>
        <w:t>, Main Event Entertainment</w:t>
      </w:r>
      <w:r>
        <w:rPr>
          <w:rFonts w:ascii="Times New Roman;sans-serif" w:hAnsi="Times New Roman;sans-serif"/>
          <w:b w:val="false"/>
          <w:color w:val="000000"/>
          <w:sz w:val="13"/>
        </w:rPr>
        <w:t>®</w:t>
      </w:r>
      <w:r>
        <w:rPr>
          <w:rFonts w:ascii="Times New Roman;sans-serif" w:hAnsi="Times New Roman;sans-serif"/>
          <w:b w:val="false"/>
          <w:color w:val="000000"/>
          <w:sz w:val="20"/>
        </w:rPr>
        <w:t>, and Eat.Bowl.Play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have registered or applied to register certain additional trademarks with the United States Patent and Trademark Office and in various foreign countries. We consider our tradenames and our logos to be important features of our operations and seek to actively monitor and protect our interest in this property in the various jurisdictions where we operate. We also have certain trade secrets, such as our recipes, processes, proprietary information and certain software programs that we protect by requiring all of our employees to sign a code of ethics, which includes an agreement to keep trade secrets confidential.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Government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federal, state and local laws affecting our business. For a discussion of the risks and potential impact on our business of a failure by us to comply with applicable laws and regulations, see Item 1A Risk Factors. Each of our stores is subject to permitting and licensing requirements and regulations by a number of government authorities, which may include, among others, alcoholic beverage control, health and safety, sanitation, environmental, labor and zoning. The development and construction of new stores is subject to compliance with applicable zoning, land use and environmental regulations. We must comply with laws and regulations relating to consumer protection, fair trade practices, and the preparation and sale of food, including regulations regarding product safety, nutritional content and menu labeling. We are also subject to federal, state, and local laws that govern health benefits, employment practices and working conditions, including minimum wage rates, wage and hour practices, gratuities, overtime, various family leave mandates, discrimination and harassment, immigration, workplace safety and other areas. We must comply with laws relating to information security, consumer credit protection and fraud, and data privacy laws and standards for the protection of personal and health information.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annual reports on Form 10-K, quarterly reports on Form 10-Q, current reports on Form 8-K and amendments to those reports filed or furnished pursuant to Section 13(a) or 15(d) of the Exchange Act are available free of charge through our internet website, at www.daveandbusters.com, as soon as reasonably practicable after they are electronically filed with or furnished to the Securities and Exchange Commission (“SEC”). Such reports may also be obtained on the SEC’s website at www.sec.gov. Information on our corporate governance principles and practices can also be found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Various risks and uncertainties could affect our business. In addition to the information contained elsewhere in this report and other filings that we make with the SEC, the risk factors described below could have a material impact on our business, financial condition, results of operation, cash flows or the trading price of our common stock. It is not possible to identify all risk factors. Additional risks and uncertainties not presently known to us or that we currently believe to be immaterial may also impair our business operations.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Growth and Operating Strategy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successfully design and execute our business strategy plan, including growing comparable store sales, our revenues and profitability may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revenues and profitability is dependent on designing and executing effective business strategies. If we are delayed or unsuccessful in executing our strategies or if our strategies do not yield desired results, our business, financial condition and results of operations may suffer. Our ability to meet our business strategy plan is dependent upon, among other things: our ability to increase gross sales and operating profits at existing stores with entertainment, food, and beverage options desired by our customers, evolve our marketing and branding strategies to appeal to our customers, innovate and implement technology initiatives to provide a unique digital customer experience, identify adequate sources of capital to fund and finance strategic initiatives, grow and expand operations, including identifying available, suitable, and economically viable locations for new stores and making strategic acquisitions, and improve the speed and quality of our service.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fail to effectively integrate or operate our past or future acquisitions.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2022, we acquired Main Event as part of our expansion effort and may acquire more businesses in the future. If we fail to manage our recent or future acquisitions effectively, our results of operations could be adversely affected by any of the following:</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incorrect assumptions regarding the future results of acquired operations or assets or expected cost reductions or other synergies to be realized from acquiring operations or assets;</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failure to integrate the operations or management of any acquired operations or assets successfully and timely; </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potential loss of key team members and customers of the acquired companies; </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potential lack of experience operating in a geographic market or product line of the acquired business; </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an increase in our expenses, particularly overhead expenses, and working capital requirements;</w:t>
      </w:r>
    </w:p>
    <w:p>
      <w:pPr>
        <w:pStyle w:val="TextBody"/>
        <w:bidi w:val="0"/>
        <w:spacing w:lineRule="auto" w:line="268" w:before="60" w:after="283"/>
        <w:ind w:left="0" w:right="0" w:hanging="270"/>
        <w:jc w:val="both"/>
        <w:rPr/>
      </w:pPr>
      <w:r>
        <w:rPr>
          <w:color w:val="000000"/>
        </w:rPr>
        <w:t>•</w:t>
      </w:r>
      <w:r>
        <w:rPr>
          <w:rFonts w:ascii="Times New Roman;sans-serif" w:hAnsi="Times New Roman;sans-serif"/>
          <w:b w:val="false"/>
          <w:color w:val="000000"/>
          <w:sz w:val="20"/>
        </w:rPr>
        <w:t xml:space="preserve">the possible inability to achieve the intended objectives of the business combination; and </w:t>
      </w:r>
    </w:p>
    <w:p>
      <w:pPr>
        <w:pStyle w:val="TextBody"/>
        <w:bidi w:val="0"/>
        <w:spacing w:lineRule="auto" w:line="268" w:before="60" w:after="283"/>
        <w:ind w:left="0" w:right="0" w:hanging="270"/>
        <w:jc w:val="both"/>
        <w:rPr/>
      </w:pPr>
      <w:r>
        <w:rPr>
          <w:color w:val="000000"/>
        </w:rPr>
        <w:t>•</w:t>
      </w:r>
      <w:r>
        <w:rPr>
          <w:rFonts w:ascii="Times New Roman;sans-serif" w:hAnsi="Times New Roman;sans-serif"/>
          <w:b w:val="false"/>
          <w:color w:val="000000"/>
          <w:sz w:val="20"/>
        </w:rPr>
        <w:t xml:space="preserve">the diversion of management’s attention from existing operations or other priorities.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New or improved technologies or changes in consumer behavior facilitated by these technologies could negatively affect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Advances in technologies or certain changes in consumer behavior driven by such technologies could have a negative effect on our business. Technology and consumer offerings continue to develop, and we expect new or enhanced technologies and consumer offerings will be available in the future. As part of our marketing efforts, we use a variety of digital platforms including search engines, mobile, online videos and social media platforms to attract and retain customers. We also test new technology platforms to improve our level of digital engagement with our customers and team members to help strengthen our marketing and related consumer analytics capabilities. These initiatives may not prove to be successful and may result in expenses incurred without the benefit of higher revenues or increased engagement. Our inability to effectively use and monitor social media could harm our marketing efforts as well as our reputation, which could negatively impact our sales and financial performance.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Changes in consumer preferences and buying patterns and changes in economic conditions could negatively affect our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out-of-home entertainment market is highly dependent on consumer discretionary spending levels, which may be negatively affected by economic conditions, such as: fluctuations in disposable income and changes in consumer confidence, the price of fuel and transportation, slow or negative growth, unemployment, credit conditions and availability, volatility in financial markets, inflationary pressures, weakness in the housing market, tariffs and trade barriers, wars or conflict in certain regions, pandemics or public health concerns, and changes in government and central bank monetary policies. When economic conditions negatively affect consumer spending, discretionary spending for visits to out-of-home entertainment venues will be challenged, our guest traffic may deteriorate, and the average amount guests spend in our stores may be reduced. This will negatively impact our results of operations. This could result in reductions in staff levels, asset impairment charges and potential store 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stores also depends on properties primarily located near high density retail areas such as regional malls, lifestyle centers, big box shopping centers and entertainment centers. We depend on a high volume of visitors at these centers to attract customers to our locations. As demographic and economic patterns change, current locations may or may not continue to be attractive or profitable. A decline in development or closures of businesses in these settings or a decline in visitors to retail areas near our locations could negatively affect our sales. In addition, desirable sites for the relocation of existing stores may not be available at an acceptable cost, due in part to the inability to easily terminate a long-term lease.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Consumers’ health and dietary preferences are continually changing. As a result, we are challenged to evolve our food and beverage menu offerings to appeal to these changing customer preferences, while maintaining the character of our brands and retaining popular menu items. New information or changes in dietary, nutritional, allergen or health guidelines or environmental or sustainability concerns, whether issued by governmental agencies, academic studies, advocacy organizations or similar groups, may cause some groups of consumers to select foods other than those that are offered by our stores.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compete favorably in the entertainment and restaurant markets, which could have a material adverse effect on our business, results of operations or financial condition.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out-of-home entertainment market is highly competitive. We compete for customers’ discretionary entertainment dollars with providers of out-of-home entertainment, including location-based entertainment facilities such as movie theaters, sporting events, bowling alleys, sports activity centers, arcades and entertainment centers, nightclubs, and restaurants as well as theme parks. Some of the entities operating these businesses are larger and have greater financial resources, have a greater number of stores, have been in business longer, have greater name recognition or are better established in the markets where our stores are located or are planned to be located. As a result, they may be able to invest greater resources than we can in attracting customers and succeed in attracting customers who would otherwise come to our stores. The legalization of casino gambling in geographic areas near any current or future store and the expanded availability of online sports betting could also have a material adverse effect on our business and financial condition. We also face competition from local, regional, and national establishments that offer similar entertainment experiences to ours and restaurants that are highly competitive with respect to price, quality of service, location, ambience and type and quality of food. We also face competition from increasingly sophisticated home-based forms of entertainment, such as internet and video gaming and home movie streaming and delivery. Our failure to compete favorably in the competitive out-of-home and home-based entertainment and restaurant markets could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Unfavorable publicity or a failure to respond effectively to adverse publicity,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brands and our reputation are among our most important assets. Our ability to attract and retain customers depends, in part, upon the external perception of our Company, the quality of our food service and facilities and our integrity. Multi-store businesses, such as ours, can be adversely affected by unfavorable publicity resulting from poor food quality, food safety concerns, flu or other virus outbreaks and other public health concerns stemming from one or a limited number of our stores. While we dedicate substantial resources and provide training to ensure the safety and quality of the food we serve, these risks cannot be eliminated. Additionally, we rely on our network of suppliers to properly handle, store, and transport our ingredients for delivery to our stores. Any failure by our suppliers, or their suppliers, could cause our ingredients to be contaminated, which could be difficult to detect and put the safety of our food in jeopardy. The risk of food-borne illness also may increase whenever our menu items are served outside of our control, such as by third-party food delivery services or customer take-out.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Negative publicity may also result from criminal incidents, data privacy breaches, scandals involving our team members or operational problems at our stores. Regardless of whether the allegations or complaints are valid, unfavorable publicity related to one or more of our stores could affect public perception of the entire brand. Even incidents at similar businesses such as restaurants, our competitors, or in the supply chain generally could result in negative publicity that could indirectly harm our brand. If one or more of our stores were the subject of unfavorable publicity and we are unable to quickly and effectively respond to such reports, our overall brands could be adversely affected, which could have a material adverse effect on our business, results of operations and financial condition.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use of social media and similar platforms allow individuals access to a broad audience of consumers and other interested persons. Consumers value readily available information concerning goods and services that they have or plan to purchase and may act on such information without further investigation or authentication. Many social media platforms immediately publish the content their subscribers and participants post, often without filters or checks on accuracy of the content posted. Inaccurate or adverse information concerning our Company may be posted on such platforms at any time and may spread quickly. The harm may be immediate without affording us an opportunity for redress or correction. Such platforms also may be used for dissemination of trade secret information, compromising valuable company assets. In summary, the dissemination of information via social media and similar platforms may harm our business, prospects, financial condition, and results of operations, regardless of the information’s accuracy. The inappropriate use of social media vehicles by our customers or team members could increase our costs, lead to litigation, or result in negative publicity that could damage our reputation.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if we are not effective in addressing social and environmental responsibility matters or achieving relevant sustainability goals, consumer trust in our brands may suffer. Consumer demand for our products and the value of our brands could diminish significantly if any such incidents or other matters erode consumer confidence in us or our products, which would likely result in lower revenues.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risks associated with leasing space subject to long-term, non-cancelable leases, and risks related to renewal.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do not own real property for long periods. Payments under our non-cancelable, long-term operating leases account for a significant portion of our operating expenses and we expect the new stores we open in the future will also be predominantly leased. The leases typically provide for a base rent plus additional rent based on a percentage of the revenue generated by the stores on the leased premises once certain thresholds are met. We generally cannot cancel these leases without substantial economic penalty. If an existing or future store is not profitable, and we decide to close it, we may nonetheless be committed to perform our obligation under the applicable lease, including, among other things, paying the base rent for the remainder of the lease term. We depend on cash flow from operations to pay our lease obligations. If our business does not generate adequate cash flow from operating activities and sufficient funds are not otherwise available to us from borrowings under our existing credit facility, we may not be able to service our operating lease obligations, grow our business, respond to competitive challenges, or fund other liquidity and capital needs, all of which could have a material adverse effect on 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each of our existing leases expires, we may choose not to renew, or may not be able to renew, if the capital investment required to maintain the stores at the leased locations is not justified by the return required on the investment. If we are not able to renew the leases at rents that allow such stores to remain profitable as their terms expire, the number of such stores may decrease, resulting in lower revenue from operations, or we may relocate a store, which could subject us to construction and other costs and risks, and, in either case, could have a material adverse effect on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financial performance and the ability to successfully implement our strategic direction could be adversely affected if we fail to retain, or effectively respond to a loss of, key management.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is substantially supported by the contributions and abilities of senior management, including key executives and other leadership team members. Changes in senior management could expose us to significant changes in strategic direction and initiatives. A failure to maintain appropriate organizational capacity and capability to support leadership excellence or a loss of key skill sets could jeopardize our ability to meet our business performance expectations and growth targets. Although we have employment agreements with all members of senior management, we cannot prevent members of senior management from terminating their employment with us. The departure of a member of senior management and/or the failure to ensure an effective transfer of knowledge and a smooth transition upon such departure may be disruptive to the business and could hinder our strategic planning and execution.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face risks related to our substantial indebtedness and limitations on future sources of liquidity.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substantial indebtedness could have adverse consequences to us, including: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making it more difficult for us to satisfy our obligations with respect to our debt, and any failure to comply with the obligations under our debt instruments, including restrictive covenants, could result in an event of default under the agreements governing our indebtedness increasing our vulnerability to general economic and industry conditions;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requiring a substantial portion of our cash flow from operations to be dedicated to the payment of obligations with respect to our debt, thereby reducing our ability to use our cash flow to fund our operations, lease payments, capital expenditures, selling and marketing efforts, product development, future business opportunities and other purposes;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exposing us to the risk of increased interest rates as some of our borrowings are at variable rates;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limiting our ability to obtain additional financing for working capital, capital expenditures, product development, debt service requirements, strategic acquisitions, and general corporate or other purposes; and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limiting our ability to plan for, or adjust to, changing market conditions and placing us at a competitive disadvantage compared to our competitors who may be less highly leveraged.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Covenants in our debt agreements restrict our business and could limit our ability to implement our business plan.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facility and the indenture governing the senior secured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the credit facility, our ability to borrow under the revolving credit loans portion of the credit facility may be restricted.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facility and the indenture governing the senior secured notes include covenants restricting, among other things, our ability to do the following under certain circumstances: incur or guarantee additional indebtedness or issue certain disqualified or preferred stock; pay dividends or make other distributions on, or redeem or purchase any equity interests or make other restricted payments; make certain acquisitions or investments; create or incur liens; transfer or sell assets; incur restrictions on the payment of dividends or other distributions from our restricted subsidiaries; alter the business that we conduct; enter into transactions with affiliates; and consummate a merger or consolidation or sell, assign, transfer, lease or otherwise dispose of all or substantially all our assets.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Events beyond our control may affect our ability to comply with our covenants. If we default under the credit facility or the indenture governing the senior secured notes, because of a covenant breach or otherwise, all outstanding amounts thereunder could become immediately due and payable. We cannot assure that we will be able to comply with our covenants under the credit facility, or the indenture governing the senior secured notes or that any covenant violations will be waived in the future. Any violation that is not waived could result in an event of default, permitting our lenders to declare outstanding indebtedness and interest thereon due and payable, and permitting the lenders under the revolving credit loans provided under the credit facility to suspend commitments to make any advance, or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the credit facility or the indenture governing the senior secured notes, we may need additional financing to service or extinguish our indebtedness. We may not be able to obtain financing or refinancing on commercially reasonable terms, or at all. We cannot assure that we would have sufficient funds to repay outstanding amounts under the credit facility or the indenture governing the senior secured notes and any acceleration of amounts due would have a material adverse effect on our liquidity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success of our longer-term growth strategy depends in part on our ability to open and operate new stores profitability, and on our ability to optimize our existing stores.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timely and efficiently open new stores and to operate these stores on a profitable basis is dependent on numerous factors including quality locations, acceptable lease or purchase agreements, zoning, use and other regulations, our liquidity, staffing needs and training, permitting, customer acceptance, impact on existing stores and financial performance targets. The timing of new store openings may result in significant fluctuations in our quarterly performance. We typically incur significant costs prior to opening for pre-opening and construction and increased labor and operating costs for a newly opened store. Due to these substantial upfront financial requirements to open new stores, the investment risk related to any single store is much larger than that associated with many other entertainment or restaurant venues.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growth strategy depends, in part, on our ability to remodel existing stores in a manner that achieves appropriate returns on our capital investment. A robust store remodel program will require significant capital investment, based on the condition of each store as well as other factors, including the optimization of the size and layout of our existing stores to ensure maximum space utilization. Pursuing the wrong remodel and any delays, cost increases, disruptions or other uncertainties related to those opportunities could adversely affect our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results can be adversely affected by events, such as adverse weather conditions, natural disasters, climate change, pandemics or other catastrophic events.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weather conditions, natural disasters, climate change or catastrophic events, such as terrorist acts, can adversely impact our operations. Natural disasters such as earthquakes, hurricanes, and severe adverse weather conditions, climate change and health pandemics can keep customers in the affected area from visiting our stores, adversely affect consumer spending and confidence levels and supply availability and costs, cause damage to, or closure of, our stores and result in lost opportunities for our stores. Our receipt of proceeds under any insurance we maintain with respect to some of these risks may be delayed or the proceeds may be insufficient to cover our losses fully. </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Information Technology and Cybersecurity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Information technology system failures or interruptions may impact our ability to effectively operate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heavily on various information technology systems, including point-of-sale, kiosk and amusement operations systems in our stores, data centers that process transactions, communication systems and various other software applications used throughout our operations. Some of these systems have been internally developed or we rely on third-party providers and platforms for some of these information technology systems and support. Although we have operational safeguards in place, those technology systems and solutions could become vulnerable to damage, disability, or failures due to theft, fire, power outages, telecommunications failure or other catastrophic events. Any failure of these systems could significantly impact our operations. We rely on third-party service providers for certain key elements of our operations including credit card processing, telecommunications, and utilities. Our reliance on systems operated by third-parties also presents the risk faced by the third-party’s business, including the operational, cybersecurity, and credit risks of those parties. If those systems were to fail or otherwise be unavailable, and we were unable to timely recover, we could experience an interruption in, or other material adverse effect on, our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Cybersecurity breaches or other privacy or data security incidents that expose confidential customer, personal employee or other material, confidential information that is stored in our information systems or by third-parties may adversely impact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information technology systems (and those of our third-party business partners, whether cloud-based or hosted in proprietary servers), including those used for point-of-sale, web and mobile platforms, mobile payment systems and administrative functions including time and attendance reporting and payroll processing, contain personal, financial, or other information that is entrusted to us by our customers and team members. Many of our information technology systems also contain proprietary and other confidential information related to our business, such as business plans and initiatives. A cyber incident (generally any intentional or unintentional attack that results in unauthorized access resulting in disruption of systems, corruption of data, theft or exposure of confidential information or intellectual property) that compromises the information of our customers or team members could result in widespread negative publicity, damage to our reputation, a loss of customers, additional costs, litigation claims, legal or regulatory proceedings, fines or penalties, remediation costs, a negative impact on team member morale, or other impacts to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employ security technologies and practices and have taken other steps to try to prevent a breach, there are no assurances that such measures will prevent or detect cybersecurity breaches, and we may nevertheless not have the resources or technical sophistication to prevent rapidly evolving types of cyberattacks. We maintain a separate insurance policy covering cybersecurity risks and such insurance coverage may, subject to policy terms and conditions, cover certain aspects of cyber risks, but this policy is subject to a retention amount and may not be applicable to a particular incident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otherwise may be insufficient to cover all our losses beyond any retention. Based on recent court rulings, there is uncertainty as to whether traditional commercial general liability policies will be construed to cover the expenses related to cyberattacks and breaches if credit and debit card information is stolen.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likely will continue to be, the target of cyber and other security threats. If we experience a security breach, we could become subject to claims, lawsuits or other proceedings for purportedly fraudulent transactions arising out of the theft of credit or debit card information, compromised security and information systems, failure of our team members to comply with applicable laws, the unauthorized acquisition or use of such information by third-parties, or other similar claims, and such claims, lawsuits or other proceedings could have a material and adverse effect on our operations, results of operations, and financial condition.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Compliance with cybersecurity, privacy and similar laws may involve significant cost and any failure to comply could adversely affect our business, reputation, and results of operations.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statutory and regulatory environment surrounding information security, privacy, and other matters involving consumer protection is increasingly demanding, with the frequent imposition of new and constantly changing laws and requirements. Compliance with these laws and requirements can be costly and time-consuming and the costs could adversely impact our results of operations due to necessary system changes and the development of new administrative processes. Security breaches could also result in a violation of applicable privacy and other laws, and subject us to private consumer, business partner or securities litigation and governmental investigations and proceedings, any of which could result in our exposure to material civil or criminal liability. We are required to maintain the highest level of </w:t>
      </w:r>
      <w:r>
        <w:rPr>
          <w:rFonts w:ascii="Times New Roman;sans-serif" w:hAnsi="Times New Roman;sans-serif"/>
          <w:b w:val="false"/>
          <w:color w:val="242424"/>
          <w:sz w:val="20"/>
        </w:rPr>
        <w:t>Payment Card Industry Data Security Standards (“PCI DSS”)</w:t>
      </w:r>
      <w:r>
        <w:rPr>
          <w:color w:val="000000"/>
        </w:rPr>
        <w:t xml:space="preserve"> </w:t>
      </w:r>
      <w:r>
        <w:rPr>
          <w:rFonts w:ascii="Times New Roman;sans-serif" w:hAnsi="Times New Roman;sans-serif"/>
          <w:b w:val="false"/>
          <w:color w:val="000000"/>
          <w:sz w:val="20"/>
        </w:rPr>
        <w:t xml:space="preserve">compliance at our store support center and stores. If we do not maintain the required level of PCI DSS compliance, we could be subject to costly fines or additional fees from the card brands that we accept or lose our ability to accept those payment cards. Additionally, an increasing number of government and industry groups have established laws and standards for the protection of personal and health information. </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the Entertainment and Restaurant Industries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success depends upon our ability to recruit and retain qualified store management and operating personnel while also controlling our labor costs.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continue to attract, retain, and motivate qualified management and operating personnel to maintain consistency in our service, hospitality, quality, and atmosphere of our stores, and to also support future growth. Adequate staffing of qualified personnel is a critical factor impacting our customers’ experience in our stores. Our ability to attract and retain qualified management and operating personnel has become more challenging due to an increasingly competitive job market. If we are unable to attract and retain a satisfactory number of qualified management and operating personnel, labor shortages could delay the planned openings of new stores or adversely impact the operation of our existing stores. Any such delays, material increases in team member turnover rates in existing stores or widespread team dissatisfaction could have a material adverse effect on our business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Low unemployment coupled with increases in minimum wages and minimum tip credit wages, extensions of personal and other leave policies, other governmental regulations affecting labor costs, reduced levels of legal immigration and a diminishing pool of potential team members, which has been exacerbated by potential team members choosing to exit the workforce, in general, and for hospitality industry in particular, especially in certain localities, have and may continue to significantly increase our labor costs and make it more difficult to fully staff our restaurants, any of which could materially adversely affect our financial performance.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minimum wage and tip credit wage are under constant pressure from many partisan groups to be increased or eliminated in favor of significantly more mandated benefits than what is currently required under federal law. Should such increases occur, other jurisdictions that have historically mandated higher wages and greater benefits than what is required under federal law may seek to further increase wages and mandated benefits. In addition to increasing the overall wages paid to our minimum wage and tip credit wage earners, these increases create pressure to increase wages and other benefits paid to other team members who, in recognition of their tenure, performance, job responsibilities and other similar considerations, historically received a rate of pay exceeding the applicable minimum wage or minimum tip credit wage. Because we employ a large workforce, any wage increase and/or expansion of benefits mandates will have a particularly significant impact on our labor costs. Our vendors, contractors and business partners are similarly impacted by wage and benefit cost inflation, and many have or will increase their price for goods, construction and services in order to offset their increasing labor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labor expenses include significant costs related to our self-insured health, pharmacy and dental benefit plans. Health care costs continue to rise and are especially difficult to project given that material increases in costs associated with medical claims, or an increase in the severity or frequency of such claims, may cause health care costs to vary substantially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quarter-to-quarter and year-over-year. Any significant changes to the healthcare insurance system could also impact our health care costs. Material increases in health care costs could materially adversely affect our financial performance.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we seek to offset labor cost increases through menu price increases, more efficient purchasing practices, productivity improvements, greater economies of scale and by offering a variety of health plans to our team members, including lower cost high deductible health plans, there can be no assurance that these efforts will be successful. If we are unable to effectively anticipate and respond to increased labor costs, our financial performance could be materially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Also, our team members and others may attempt to unionize our workforce, establish boycotts or picket lines or interrupt our supply chains which could limit our ability to manage our workforce effectively and cause disruptions to our operations, which could materially adversely affect our financial performance. Our labor costs may significantly increase if we become unable to effectively manage our workforce and the compensation and benefits we offer to our team members, which also could materially adversely affect our financial performance.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revenues and operating results may fluctuate significantly due to various risks and unforeseen circumstances, including increases in costs, seasonality, weather, acts of violence or terrorism and other factors outside our control.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regions in which our stores are located have been, and may in the future be, subject to natural disasters, such as earthquakes, floods, and hurricanes. Depending upon its magnitude, a natural disaster could severely damage our stores, which could adversely affect our business, results of operations or financial condition. Additionally, a natural or man-made disaster at our store support center, game repair facility, data center, or backup data facility could significantly impact our ability to provide services and systems to our stores. We currently maintain property and business interruption insurance through the aggregate property policy for each of our stores.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act of violence at or threatened against our stores or the centers in which they are located, including active shooter situations and terrorist activities, may result in restricted access to our stores and/or store closures in the short-term and, in the long term, may cause our customers and team members to avoid visiting our stores. Any such situation could adversely impact cash flows and make it more difficult to fully staff our stores, which could materially adversely affect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results may fluctuate significantly due to seasonal factors. Typically, our third quarter, which encompasses the back-to-school fall season, has historically had lower revenues compared to other quarters. Revenues associated with the spring and year-end holidays are typically higher. As a result, factors affecting peak seasons could have a disproportionate effect on our results. For example, the number of days between Thanksgiving and New Year’s Day and the days of the week on which Christmas and New Year’s Eve fall affect the volume of business generated during the December holiday season and can affect our results for the full fiscal year. In addition, unfavorable weather conditions during the winter and spring seasons could have a significant adverse impact on our results.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operations are susceptible to the changes in cost and availability of commodities and other products, which could negatively affect our operating results.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depends in part on our ability to anticipate and react to changes in commodity and other product costs. Various factors beyond our control, including adverse weather conditions, governmental regulation and monetary policy, product availability, recalls of food products, disruption of our supplier manufacturing and distribution processes due to public health crises or pandemics, and seasonality, may affect our commodity costs or cause a disruption in our supply chain. We have multiple short-term supply contracts with a limited number of suppliers. If any of these suppliers do not perform adequately or otherwise fail to distribute products or supplies to our stores, we may be unable to replace the suppliers in a short period of time on acceptable terms or at all, which could increase our costs, cause shortages of food and other items at our stores and cause us to remove certain items from our menu.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price or availability of commodities for which we do not have short-term supply contracts could have a material adverse effect on our profitability. Expiring contracts with our food suppliers could also result in unfavorable renewal terms and therefore increase costs associated with these suppliers or may necessitate negotiations with other suppliers. Other than short-term supply contracts for certain food items, we currently do not engage in futures contracts or other financial risk management strategies with respect to potential price fluctuations in the cost of food and other supplies. Also, the unplanned loss of a major distributor could adversely affect our business by disrupting our operations as we seek out and negotiate a new distribution contract. Further, a significant percentage of our inventory is directly or indirectly sourced outside the United States and changes in trade policy and tariffs could negatively impact our costs. If we pay higher prices for food or other product costs, our operating costs may increase, and, if we are unable to adjust our purchasing practices or pass any cost increases on to our customers, our operating results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procurement of new games and entertainment offerings is contingent upon availability, and in some instances, our ability to obtain licensing rights.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continue to procure new games and entertainment offerings, and other entertainment-related equipment is important to our business strategy. The number of suppliers from which we can purchase games and other entertainment-related equipment is limited. To the extent the number of suppliers declines, we could be subject to the risk of distribution delays, pricing pressure, lack of innovation and other associated risks. We may not be able to anticipate and react to changing offerings cost by adjusting purchasing practices or game prices, and a failure to do so could have a material adverse effect on our operating results. In addition, any decrease in availability of new entertainment offerings that appeal to customers could lead to decreases in revenues as customers negatively react to a lack of new game options.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successfully developed several proprietary entertainment offerings that are not available to operations outside the Company. Our ability to develop future offerings is dependent on, among other things, obtaining rights to compelling game content and developing new entertainment offerings that are accepted by our customers. There is no guarantee that additional licensing rights will be obtained by us or that our customers will accept the future offerings that we develop. The result could be increased expenses without increased revenues putting downward pressure on our results of operations and financial performance.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operate our stores or obtain/maintain licenses and permits necessary for such operation, in compliance with laws, regulations and other requirements, which could adversely affect our business, results of operations or financial condition.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licensing and regulation by state and local authorities relating to the sale of alcoholic beverages, health, sanitation, safety, building and fire codes. Each store is required to obtain a license to sell alcoholic beverages on the premises from a state authority and, in certain locations, county and municipal authorities. Typically, licenses must be renewed annually and may be revoked or suspended for cause at any time. In some states, the loss of a license for cause with respect to one store may lead to the loss of licenses at all stores in that state and could make it more difficult to obtain additional licenses in that state. Alcoholic beverage control regulations relate to numerous aspects of the daily operations of each store, including minimum age of patrons and team members, hours of operation, advertising, wholesale purchasing, inventory control and handling and storage and dispensing of alcoholic beverages.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have not encountered any material difficulties or failures in obtaining and maintaining the required licenses, permits and approvals that could impact the continuing operations of an existing store, or delay or prevent the opening of a new store. Although we do not anticipate any material difficulties occurring in the future, the failure to receive or retain a liquor license, or any other required permit or license, in a particular location, or to continue to qualify for, or renew licenses, could have a material adverse effect on operations and our ability to obtain such a license or permit in other locations.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amusement and game licensing and regulation by the states, counties, and municipalities in which our stores are located, due to operating certain entertainment games and attractions, including skill-based games that offer redemption prizes. These laws and regulations can vary significantly by state, county, and municipality and, in some jurisdictions, may require us to modify our business operations or alter the mix of redemption games and simulators we offer. Moreover, as more states and local communities implement legalized gambling, the laws and corresponding enabling regulations may also be applicable to our redemption games and regulators may create new licensing requirements, taxes or fees, or restrictions on the various types of redemption games we offer. Furthermore, other states, counties and municipalities may make changes to existing laws to further regulate legalized gaming and illegal gambling. Adoption of these laws, or adverse interpretation of existing laws, could require our existing stores in these jurisdictions to alter the mix of games, modify certain games, limit the number of tickets that may be won by a customer from a redemption game, change the mix of prizes that we may offer at our redemption area or terminate the use of specific games, any of which could adversely affect our operations. If we fail to comply with such laws and regulations, we may be subject to various sanctions and/or penalties and fines or may be required to cease operations until we achieve compliance, which could have an adverse effect on our business and our financial results.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extensive laws and regulations and failure to comply with existing or new laws and regulations could adversely affect our operational efficiencies, cost structure and talent availability.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federal, state, and local laws and regulations that govern numerous aspects of our business, including, but not limited to, the following: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the Fair Labor Standards Act; federal, state and local laws and regulations that govern employment practices and working conditions, including minimum wage rates, wage and hour practices, gratuities, overtime, labor practices, various family leave mandates, discrimination and harassment, immigration, workplace safety and other areas;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the Americans with Disabilities Act and similar state laws that give civil rights protections to individuals with disabilities in the context of employment, public accommodations and other areas;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the Patient Protection and Affordable Care Act as amended by the Health Care and Education Affordability Reconciliation Act of 2010 and uncertainties surrounding future changes to or replacement of our health insurance system;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preparation, sale and labeling of food, including the federal regulations of the Food and Drug Administration, which oversees the safety of the entire food system, including inspection and mandatory food recalls, menu labeling and nutritional content, and additional requirements in certain states and local jurisdictions;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environmental laws and regulations governing, among other things, discharges of pollutants into the air and water as well as the presence, handling, release and disposal of and exposure to hazardous substances; and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other environmental matters, such as climate change, the reduction of greenhouse gases, water consumption and animal health and welfare.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these laws and regulations and future new laws or changes in laws or regulations that impose additional requirements can be costly. Any failure or perceived failure to comply with these laws or regulations could result in, among other things, revocation of required licenses, administrative enforcement actions, fines, civil and criminal liability, and/or closure of stores. We could also be strictly liable, without regard to fault, for certain environmental conditions at properties we formerly owned or operated as well as at our current properties. Further, more stringent and varied requirements of local and state governmental bodies with respect to zoning, land use, and environmental factors could delay or prevent development of new stores in certain locations.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new immigration legislation is enacted, such laws may contain provisions that could increase our costs in recruiting, training and retaining team members. Also, although our hiring practices comply with the requirements of federal law in reviewing the citizenship of our team members or their authority to work in the United States, increased enforcement efforts with respect to existing immigration laws by governmental authorities may disrupt a portion of our workforce or our operations at one or more of our stores, thereby negatively impacting our business.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face potential liability with our gift cards and game play cards under the property laws of some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gift cards, which may be used to purchase food, beverages, merchandise, and game play credits in our stores, may be considered stored value cards. Certain states include gift cards under their abandoned and unclaimed property laws and require companies to remit to the state cash in an amount equal to all or a designated portion of the unredeemed balance on the gift cards based on certain card attributes and the length of time that the cards are inactive. To date, we have not remitted any amounts relating to unredeemed gift cards to states based upon our assessment of applicable laws.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analysis of the potential application of the abandoned and unclaimed property laws to our gift cards is complex, involving an analysis of constitutional and statutory provisions and factual issues. In the event one or more states change their existing abandoned and unclaimed property laws or successfully challenge our position on the application of its abandoned and unclaimed property laws to our gift cards, our liabilities with respect to unredeemed gift cards may be materially higher than the amounts shown in our financial statements. If we are required to materially increase the estimated liability recorded in our financial statements with respect to unredeemed gift cards, our net income could be materially and adversely affected.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game play cards may raise similar concerns to gift cards in terms of the applicability of state abandoned and unclaimed property laws. However, based on our analysis of abandoned and unclaimed property laws, we believe they are not stored value cards and such laws do not apply, although there can be no assurance that states will not take a different position, which may have an adverse effect on our results of operations and financial condition.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including allegations of illegal, unfair, or inconsistent employment practices, may adversely affect our business, results of operations or financial condition.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be adversely affected by the risk of legal proceedings brought by or on behalf of our customers, team members, suppliers, shareholders, government agencies or others through private actions, class actions, administrative proceedings, regulatory actions or other litigation. In recent years, a number of restaurant companies, including ours, have been subject to lawsuits, including class action lawsuits, alleging violations of federal and state law regarding workplace and employment matters, discrimination and similar matters, and a number of these lawsuits have resulted in the payment of substantial damages by the defendants. We have had from time to time and now have such lawsuits pending against us. In addition, from time to time, customers file complaints or lawsuits against us alleging that we are responsible for some illness or injury they suffered at or after a visit to a store. We are also subject to a variety of other claims in the ordinary course of business, including personal injury, lease, and contract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“dram shop” statutes in certain states in which our stores are located. These statutes generally provide a person injured by an intoxicated person the right to recover damages from an establishment that wrongfully served alcoholic beverages to the intoxicated individual. In many instances litigation of these claims results in significant judgments and settlements under dram shop statutes. Because these cases often seek punitive damages, which may not be covered by insurance, such litigation could have an adverse impact on our business, results of operations or financial condition. Regardless of whether any claims against us are valid or whether we are liable, claims may be expensive to defend and may divert time and money away from operations and adversely affect our financial performance. A judgment significantly in excess of our insurance coverage or not covered by insurance could have a material adverse effect on our business, results of operations or financial condition. Also, adverse publicity resulting from these allegations, regardless of whether the allegations are valid or we are ultimately found liable, may materially adversely affect our stores and us.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adequately protect our intellectual property could harm our business.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regard our intellectual property as having significant value and being important to our marketing efforts. We use a combination of intellectual property rights, such as trademarks and trade secrets, to protect our brands, including Dave &amp; Buster’s</w:t>
      </w:r>
      <w:r>
        <w:rPr>
          <w:rFonts w:ascii="Times New Roman;sans-serif" w:hAnsi="Times New Roman;sans-serif"/>
          <w:b w:val="false"/>
          <w:color w:val="000000"/>
          <w:sz w:val="13"/>
        </w:rPr>
        <w:t>®</w:t>
      </w:r>
      <w:r>
        <w:rPr>
          <w:rFonts w:ascii="Times New Roman;sans-serif" w:hAnsi="Times New Roman;sans-serif"/>
          <w:b w:val="false"/>
          <w:color w:val="000000"/>
          <w:sz w:val="20"/>
        </w:rPr>
        <w:t>, Power Card</w:t>
      </w:r>
      <w:r>
        <w:rPr>
          <w:rFonts w:ascii="Times New Roman;sans-serif" w:hAnsi="Times New Roman;sans-serif"/>
          <w:b w:val="false"/>
          <w:color w:val="000000"/>
          <w:sz w:val="13"/>
        </w:rPr>
        <w:t>®</w:t>
      </w:r>
      <w:r>
        <w:rPr>
          <w:rFonts w:ascii="Times New Roman;sans-serif" w:hAnsi="Times New Roman;sans-serif"/>
          <w:b w:val="false"/>
          <w:color w:val="000000"/>
          <w:sz w:val="20"/>
        </w:rPr>
        <w:t>, Eat &amp; Play Combo</w:t>
      </w:r>
      <w:r>
        <w:rPr>
          <w:rFonts w:ascii="Times New Roman;sans-serif" w:hAnsi="Times New Roman;sans-serif"/>
          <w:b w:val="false"/>
          <w:color w:val="000000"/>
          <w:sz w:val="13"/>
        </w:rPr>
        <w:t>®</w:t>
      </w:r>
      <w:r>
        <w:rPr>
          <w:rFonts w:ascii="Times New Roman;sans-serif" w:hAnsi="Times New Roman;sans-serif"/>
          <w:b w:val="false"/>
          <w:color w:val="000000"/>
          <w:sz w:val="20"/>
        </w:rPr>
        <w:t>, Eat Drink Play</w:t>
      </w:r>
      <w:r>
        <w:rPr>
          <w:rFonts w:ascii="Times New Roman;sans-serif" w:hAnsi="Times New Roman;sans-serif"/>
          <w:b w:val="false"/>
          <w:color w:val="000000"/>
          <w:sz w:val="13"/>
        </w:rPr>
        <w:t>®</w:t>
      </w:r>
      <w:r>
        <w:rPr>
          <w:rFonts w:ascii="Times New Roman;sans-serif" w:hAnsi="Times New Roman;sans-serif"/>
          <w:b w:val="false"/>
          <w:color w:val="000000"/>
          <w:sz w:val="20"/>
        </w:rPr>
        <w:t>, Eat Drink Play Watch</w:t>
      </w:r>
      <w:r>
        <w:rPr>
          <w:rFonts w:ascii="Times New Roman;sans-serif" w:hAnsi="Times New Roman;sans-serif"/>
          <w:b w:val="false"/>
          <w:color w:val="000000"/>
          <w:sz w:val="13"/>
        </w:rPr>
        <w:t>®</w:t>
      </w:r>
      <w:r>
        <w:rPr>
          <w:rFonts w:ascii="Times New Roman;sans-serif" w:hAnsi="Times New Roman;sans-serif"/>
          <w:b w:val="false"/>
          <w:color w:val="000000"/>
          <w:sz w:val="20"/>
        </w:rPr>
        <w:t>, Main Event</w:t>
      </w:r>
      <w:r>
        <w:rPr>
          <w:rFonts w:ascii="Times New Roman;sans-serif" w:hAnsi="Times New Roman;sans-serif"/>
          <w:b w:val="false"/>
          <w:color w:val="000000"/>
          <w:sz w:val="13"/>
        </w:rPr>
        <w:t>®</w:t>
      </w:r>
      <w:r>
        <w:rPr>
          <w:rFonts w:ascii="Times New Roman;sans-serif" w:hAnsi="Times New Roman;sans-serif"/>
          <w:b w:val="false"/>
          <w:color w:val="000000"/>
          <w:sz w:val="20"/>
        </w:rPr>
        <w:t>, Main Event Entertainment</w:t>
      </w:r>
      <w:r>
        <w:rPr>
          <w:rFonts w:ascii="Times New Roman;sans-serif" w:hAnsi="Times New Roman;sans-serif"/>
          <w:b w:val="false"/>
          <w:color w:val="000000"/>
          <w:sz w:val="13"/>
        </w:rPr>
        <w:t>®</w:t>
      </w:r>
      <w:r>
        <w:rPr>
          <w:rFonts w:ascii="Times New Roman;sans-serif" w:hAnsi="Times New Roman;sans-serif"/>
          <w:b w:val="false"/>
          <w:color w:val="000000"/>
          <w:sz w:val="20"/>
        </w:rPr>
        <w:t>, and Eat.Bowl.Play</w:t>
      </w:r>
      <w:r>
        <w:rPr>
          <w:rFonts w:ascii="Times New Roman;sans-serif" w:hAnsi="Times New Roman;sans-serif"/>
          <w:b w:val="false"/>
          <w:color w:val="000000"/>
          <w:sz w:val="13"/>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as well as certain other proprietary processes and information material to our business. The success of our business strategy depends, in part, on our continued ability to use our intellectual property rights to increase brand awareness and further develop our branded products in both existing and new markets. If we fail to protect our intellectual property rights adequately, we may lose an important advantage in the markets in which we compete. If third-parties misappropriate or infringe our intellectual property, the value of our image, brands and the goodwill associated therewith may be diminished, our brands may fail to achieve and maintain market recognition, and our competitive position may be harmed, any of which could have a material adverse effect on our business, including our revenues. Policing unauthorized use of our intellectual property is difficult, and we cannot be certain that the steps we have taken will prevent the violation or misappropriation of such intellectual property rights by others. To protect our intellectual property, we may become involved in litigation, which could result in substantial expenses, divert the attention of management, and adversely affect our revenue,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our products and services do not and will not infringe on the intellectual property rights of others. Any such claims, regardless of merit, could be time-consuming and expensive to litigate or settle, divert the attention of management, cause significant delays, materially disrupt the conduct of our business, and have a material adverse effect on our financial condition and results of operations. We could also be required to pay a substantial damage award, take a royalty-bearing license, discontinue the use of third-party products used within our operations and/or rebrand our products and services as a result of any such claims. </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Our Corporate Structure, Our Stock Ownership and Our Common Stock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market price of our common stock is subject to volatility.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entertainment, restaurant or other consumer discretionary industries, and announcement of significant transactions (including mergers or acquisitions, divestitures, joint ventures or other strategic initiatives) by us or others in those industries. In addition, the equity markets have experienced price and volume fluctuations that affect the stock price of companies in ways that have been unrelated to an individual company’s operating performance. The price for our common stock may continue to be volatile, based on factors specific to our company and industry, as well as factors related to the equity markets overall.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Provisions in our certificate of incorporation and bylaws may discourage, delay or prevent a change of control of our company or changes in our management and, therefore, may depress the trading price of our stock.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Our certificate of incorporation and bylaws include certain provisions that could have the effect of discouraging, delaying or preventing a change of control of our Company or changes in our management, including: restrictions on the ability of our stockholders to fill a vacancy on the Board of Directors (the </w:t>
      </w:r>
      <w:r>
        <w:rPr>
          <w:color w:val="242424"/>
        </w:rPr>
        <w:t>“</w:t>
      </w:r>
      <w:r>
        <w:rPr>
          <w:rFonts w:ascii="Times New Roman;sans-serif" w:hAnsi="Times New Roman;sans-serif"/>
          <w:b w:val="false"/>
          <w:color w:val="242424"/>
          <w:sz w:val="20"/>
        </w:rPr>
        <w:t>Board”</w:t>
      </w:r>
      <w:r>
        <w:rPr>
          <w:rFonts w:ascii="Times New Roman;sans-serif" w:hAnsi="Times New Roman;sans-serif"/>
          <w:b w:val="false"/>
          <w:color w:val="000000"/>
          <w:sz w:val="20"/>
        </w:rPr>
        <w:t>); our ability to issue preferred stock with terms that the Board may determine, without stockholder approval, which could be used to significantly dilute the ownership of a hostile acquirer; the inability of our stockholders to call a special meeting of stockholders; requirement that special meetings of our stockholders be called only upon the request of a majority of our Board or our Chief Executive Officer (</w:t>
      </w:r>
      <w:r>
        <w:rPr>
          <w:color w:val="242424"/>
        </w:rPr>
        <w:t>“</w:t>
      </w:r>
      <w:r>
        <w:rPr>
          <w:rFonts w:ascii="Times New Roman;sans-serif" w:hAnsi="Times New Roman;sans-serif"/>
          <w:b w:val="false"/>
          <w:color w:val="242424"/>
          <w:sz w:val="20"/>
        </w:rPr>
        <w:t>CEO”</w:t>
      </w:r>
      <w:r>
        <w:rPr>
          <w:rFonts w:ascii="Times New Roman;sans-serif" w:hAnsi="Times New Roman;sans-serif"/>
          <w:b w:val="false"/>
          <w:color w:val="000000"/>
          <w:sz w:val="20"/>
        </w:rPr>
        <w:t xml:space="preserve">); the absence of cumulative voting in the election of directors, which may limit the ability of minority stockholders to elect directors; and advance notice requirements for stockholder proposals and nominations, which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discourage or deter a potential acquirer from soliciting proxies to elect a particular slate of directors or otherwise attempting to obtain control of 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in our certificate of incorporation and our bylaws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Unsolicited takeover proposals, governance change proposals, proxy contests and certain proposals/actions by activist investors may create additional risks and uncertainties with respect to the Company’s financial position, operations, strategies and management, and may adversely affect our ability to attract and retain key members of our team. Any perceived uncertainties may affect the market price and volatility of our securities.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Public companies including those in the restaurant industry have been the target of unsolicited takeover proposals in the past. In the event that a third-party, such as a competitor, private equity firm or activist investor makes an unsolicited takeover proposal or proposes to change our governance policies or board of directors or makes other proposals concerning the Company’s ownership structure or operations, our review and consideration of such proposals may be a significant distraction for our management and team members and may require us to expend significant time and resources away from our primary operations. Such proposals may create uncertainty for our team members, additional risks and uncertainties with respect to the Company’s financial position, operations, strategies, and management, and may adversely affect our ability to attract and retain key members of our team. Any perceived uncertainties as to our future direction also may adversely affect the market price and volatility of our securities.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fourth amended and restated certificate of incorporation designates specific courts as the exclusive forum for certain litigation that may be initiated by our stockholders, which could limit our stockholders’ ability to obtain a judicial forum of their choice for disputes with 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fourth amended and restated certificate of incorporation provides that, unless we consent in writing to the selection of an alternative forum, the Court of Chancery of the State of Delaware will, to the fullest extent permitted by law, be the sole and exclusive forum for the following types of actions or proceedings under Delaware statutory or common law: any derivative action or proceeding brought on our behalf; any action asserting a claim of breach of a fiduciary duty owed by any of our directors, officers, team members or stockholders to our company or our stockholders; any action asserting a claim arising pursuant to any provision of the Delaware General Corporation Law ("DGCL") or as to which the DGCL confers jurisdiction on the Court of Chancery of the State of Delaware; or any action asserting a claim arising pursuant to any provision of our certificate of incorporation or bylaws (in each case, as they may be amended from time to time) or governed by the internal affairs doctrine.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choice of forum provision in our certificate of incorporation does not waive our compliance with obligations under the federal securities laws and the rules and regulations thereunder. Moreover, the provision does not apply to suits brought to enforce a duty or liability created by the Exchange Act or by the Securities Act.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with respect to suits brought to enforce a duty or liability created by the Securities Act or the rules and regulations thereunder. Accordingly, both state and federal courts have jurisdiction to entertain claims under the Securities Act. </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General Risk Factors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tax laws and resulting regulations could result in changes to our tax provisions and subject us to additional tax liabilities that could materially adversely affect our financial performance.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sales, use and other taxes in the United States and certain foreign jurisdictions. Changes in applicable U.S. or foreign tax laws and regulations, including the Tax Cuts and Jobs Act (“Tax Act”), or in their interpretation and application, including the possibility of retroactive effect and changes to state tax laws that may occur in response to the Tax Act, could affect our effective income tax rate. In addition, the final determination of any tax audits or related litigation could be materially different from our historical tax provisions and accruals. Changes in our tax expense or an increase in our tax liabilities, whether due to changes in applicable laws and regulation, the interpretation or application thereof, or a final determination of tax audits or litigation, could materially adversely affect our financial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Failure of our internal control over financial reporting could harm our business, financial results and stock price.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generally accepted accounting principles in the United States. There can be no assurance that we will be able to timely remediate material weakness in internal controls (if any) or maintain all of the controls necessary to remain in compliance. Any failure to maintain an effective system of internal control over financial reporting could limit our ability to report our financial results accurately and timely or to detect and prevent fraud, could result in substantial cost to remediate, and could cause a loss of investor confidence and decline in the market price of our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1B.    Unresolved Staff Comments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20" w:after="283"/>
        <w:ind w:left="0" w:right="0" w:firstLine="540"/>
        <w:jc w:val="both"/>
        <w:rPr>
          <w:rFonts w:ascii="Times New Roman;sans-serif" w:hAnsi="Times New Roman;sans-serif"/>
          <w:b w:val="false"/>
          <w:color w:val="242424"/>
          <w:sz w:val="20"/>
        </w:rPr>
      </w:pPr>
      <w:r>
        <w:rPr>
          <w:rFonts w:ascii="Times New Roman;sans-serif" w:hAnsi="Times New Roman;sans-serif"/>
          <w:b w:val="false"/>
          <w:color w:val="242424"/>
          <w:sz w:val="20"/>
        </w:rPr>
        <w:t>The Company has developed and implemented a cybersecurity program (the “Program”) designed to identify, assess, and mitigate material cybersecurity related risks. The Company’s program leverages recognized frameworks and standards, including National Institute of Standards and Technology Cyber Security Framework , the Center for Internet Security Critical Security Controls, and the Payment Card Industry Data Security Standards, to assess, organize, and improve our program. As part of the Program, the Company maintains various safeguards to help protect the confidentiality, integrity, and availability of its information systems and data, including:</w:t>
      </w:r>
    </w:p>
    <w:p>
      <w:pPr>
        <w:pStyle w:val="TextBody"/>
        <w:bidi w:val="0"/>
        <w:spacing w:lineRule="auto" w:line="288" w:before="120" w:after="283"/>
        <w:ind w:left="0" w:right="0" w:hanging="270"/>
        <w:jc w:val="both"/>
        <w:rPr/>
      </w:pPr>
      <w:r>
        <w:rPr>
          <w:color w:val="242424"/>
        </w:rPr>
        <w:t>•</w:t>
      </w:r>
      <w:r>
        <w:rPr>
          <w:rFonts w:ascii="Times New Roman;sans-serif" w:hAnsi="Times New Roman;sans-serif"/>
          <w:b w:val="false"/>
          <w:color w:val="242424"/>
          <w:sz w:val="20"/>
        </w:rPr>
        <w:t>layered technical controls designed to help detect, prevent, and mitigate cybersecurity threats to Company assets;</w:t>
      </w:r>
    </w:p>
    <w:p>
      <w:pPr>
        <w:pStyle w:val="TextBody"/>
        <w:bidi w:val="0"/>
        <w:spacing w:lineRule="auto" w:line="288" w:before="120" w:after="283"/>
        <w:ind w:left="0" w:right="0" w:hanging="270"/>
        <w:jc w:val="both"/>
        <w:rPr/>
      </w:pPr>
      <w:r>
        <w:rPr>
          <w:color w:val="242424"/>
        </w:rPr>
        <w:t>•</w:t>
      </w:r>
      <w:r>
        <w:rPr>
          <w:rFonts w:ascii="Times New Roman;sans-serif" w:hAnsi="Times New Roman;sans-serif"/>
          <w:b w:val="false"/>
          <w:color w:val="242424"/>
          <w:sz w:val="20"/>
        </w:rPr>
        <w:t>utilization of a third-party managed detection and response service provider to monitor for cybersecurity threats, ingest threat-intelligence, and coordinate incident response efforts;</w:t>
      </w:r>
    </w:p>
    <w:p>
      <w:pPr>
        <w:pStyle w:val="TextBody"/>
        <w:bidi w:val="0"/>
        <w:spacing w:lineRule="auto" w:line="288" w:before="120" w:after="283"/>
        <w:ind w:left="0" w:right="0" w:hanging="270"/>
        <w:jc w:val="both"/>
        <w:rPr/>
      </w:pPr>
      <w:r>
        <w:rPr>
          <w:color w:val="242424"/>
        </w:rPr>
        <w:t>•</w:t>
      </w:r>
      <w:r>
        <w:rPr>
          <w:rFonts w:ascii="Times New Roman;sans-serif" w:hAnsi="Times New Roman;sans-serif"/>
          <w:b w:val="false"/>
          <w:color w:val="242424"/>
          <w:sz w:val="20"/>
        </w:rPr>
        <w:t>policies, procedures, and standards that are utilized to outline the Company’s expectations, guidelines and best practices for managing cybersecurity risks;</w:t>
      </w:r>
    </w:p>
    <w:p>
      <w:pPr>
        <w:pStyle w:val="TextBody"/>
        <w:bidi w:val="0"/>
        <w:spacing w:lineRule="auto" w:line="288" w:before="120" w:after="283"/>
        <w:ind w:left="0" w:right="0" w:hanging="270"/>
        <w:jc w:val="both"/>
        <w:rPr/>
      </w:pPr>
      <w:r>
        <w:rPr>
          <w:color w:val="242424"/>
        </w:rPr>
        <w:t>•</w:t>
      </w:r>
      <w:r>
        <w:rPr>
          <w:rFonts w:ascii="Times New Roman;sans-serif" w:hAnsi="Times New Roman;sans-serif"/>
          <w:b w:val="false"/>
          <w:color w:val="242424"/>
          <w:sz w:val="20"/>
        </w:rPr>
        <w:t>cybersecurity training and education for our employees;</w:t>
      </w:r>
    </w:p>
    <w:p>
      <w:pPr>
        <w:pStyle w:val="TextBody"/>
        <w:bidi w:val="0"/>
        <w:spacing w:lineRule="auto" w:line="288" w:before="120" w:after="283"/>
        <w:ind w:left="0" w:right="0" w:hanging="270"/>
        <w:jc w:val="both"/>
        <w:rPr/>
      </w:pPr>
      <w:r>
        <w:rPr>
          <w:color w:val="242424"/>
        </w:rPr>
        <w:t>•</w:t>
      </w:r>
      <w:r>
        <w:rPr>
          <w:rFonts w:ascii="Times New Roman;sans-serif" w:hAnsi="Times New Roman;sans-serif"/>
          <w:b w:val="false"/>
          <w:color w:val="242424"/>
          <w:sz w:val="20"/>
        </w:rPr>
        <w:t>practices for monitoring cybersecurity risks of key third-party service providers; and</w:t>
      </w:r>
    </w:p>
    <w:p>
      <w:pPr>
        <w:pStyle w:val="TextBody"/>
        <w:bidi w:val="0"/>
        <w:spacing w:lineRule="auto" w:line="288" w:before="120" w:after="283"/>
        <w:ind w:left="0" w:right="0" w:hanging="270"/>
        <w:jc w:val="both"/>
        <w:rPr/>
      </w:pPr>
      <w:r>
        <w:rPr>
          <w:color w:val="242424"/>
        </w:rPr>
        <w:t>•</w:t>
      </w:r>
      <w:r>
        <w:rPr>
          <w:rFonts w:ascii="Times New Roman;sans-serif" w:hAnsi="Times New Roman;sans-serif"/>
          <w:b w:val="false"/>
          <w:color w:val="242424"/>
          <w:sz w:val="20"/>
        </w:rPr>
        <w:t>incident response plans that provide a framework for the Company’s response to cybersecurity incidents.</w:t>
      </w:r>
    </w:p>
    <w:p>
      <w:pPr>
        <w:pStyle w:val="TextBody"/>
        <w:bidi w:val="0"/>
        <w:spacing w:lineRule="auto" w:line="288" w:before="120" w:after="283"/>
        <w:ind w:left="0" w:right="0" w:firstLine="540"/>
        <w:jc w:val="both"/>
        <w:rPr>
          <w:rFonts w:ascii="Times New Roman;sans-serif" w:hAnsi="Times New Roman;sans-serif"/>
          <w:b w:val="false"/>
          <w:color w:val="242424"/>
          <w:sz w:val="20"/>
        </w:rPr>
      </w:pPr>
      <w:r>
        <w:rPr>
          <w:rFonts w:ascii="Times New Roman;sans-serif" w:hAnsi="Times New Roman;sans-serif"/>
          <w:b w:val="false"/>
          <w:color w:val="242424"/>
          <w:sz w:val="20"/>
        </w:rPr>
        <w:t>From time to time, the Company engages third-party subject matter experts and consultants to conduct evaluations of our program and security controls, whether through penetration testing, assessments, or consulting on best practices to address new challenges. Results are used to identify and assess risks as well as drive priorities and initiatives to improve the overall Program. The Company also engages third-party experts and consultants, when deemed appropriate, to assist with responding to cybersecurity incidents, such as external legal counsel and forensic specialists.</w:t>
      </w:r>
    </w:p>
    <w:p>
      <w:pPr>
        <w:pStyle w:val="TextBody"/>
        <w:bidi w:val="0"/>
        <w:spacing w:lineRule="auto" w:line="288" w:before="120" w:after="283"/>
        <w:ind w:left="0" w:right="0" w:firstLine="540"/>
        <w:jc w:val="both"/>
        <w:rPr/>
      </w:pPr>
      <w:r>
        <w:rPr>
          <w:rFonts w:ascii="Times New Roman;sans-serif" w:hAnsi="Times New Roman;sans-serif"/>
          <w:b w:val="false"/>
          <w:color w:val="242424"/>
          <w:sz w:val="20"/>
        </w:rPr>
        <w:t xml:space="preserve">In addition, </w:t>
      </w:r>
      <w:r>
        <w:rPr>
          <w:rFonts w:ascii="Times New Roman;sans-serif" w:hAnsi="Times New Roman;sans-serif"/>
          <w:b w:val="false"/>
          <w:color w:val="000000"/>
          <w:sz w:val="20"/>
        </w:rPr>
        <w:t>assessing, identifying, and managing cybersecurity-related risks are integrated into our overall enterprise risk management (“ERM”) process. Cybersecurity risks are included in the risk universe that the ERM function evaluates, with input from information security subject matter experts at the Company, to assess top risks to the enterprise. The ERM process provides input into our strategic planning process, such as development of action plans to address and mitigate identified risks. By integrating cybersecurity risk into the overall ERM process in this manner, the Company is better equipped to identify, assess, and manage material cybersecurity risks</w:t>
      </w:r>
      <w:r>
        <w:rPr>
          <w:rFonts w:ascii="Times New Roman;sans-serif" w:hAnsi="Times New Roman;sans-serif"/>
          <w:b w:val="false"/>
          <w:color w:val="242424"/>
          <w:sz w:val="20"/>
        </w:rPr>
        <w: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During the period of this Annual Report, the business strategy, results of operations and financial condition of the Company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w:t>
      </w:r>
      <w:r>
        <w:rPr>
          <w:rFonts w:ascii="Times New Roman;sans-serif" w:hAnsi="Times New Roman;sans-serif"/>
          <w:b w:val="false"/>
          <w:i/>
          <w:color w:val="000000"/>
          <w:sz w:val="20"/>
        </w:rPr>
        <w:t>Risks Related to Information Technology and Cybersecurity</w:t>
      </w:r>
      <w:r>
        <w:rPr>
          <w:color w:val="000000"/>
        </w:rPr>
        <w:t xml:space="preserve"> </w:t>
      </w:r>
      <w:r>
        <w:rPr>
          <w:rFonts w:ascii="Times New Roman;sans-serif" w:hAnsi="Times New Roman;sans-serif"/>
          <w:b w:val="false"/>
          <w:color w:val="000000"/>
          <w:sz w:val="20"/>
        </w:rPr>
        <w:t>at Item 1A Risk Factors.</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120" w:after="283"/>
        <w:ind w:left="0" w:right="0" w:firstLine="540"/>
        <w:jc w:val="both"/>
        <w:rPr>
          <w:rFonts w:ascii="Times New Roman;sans-serif" w:hAnsi="Times New Roman;sans-serif"/>
          <w:b w:val="false"/>
          <w:color w:val="242424"/>
          <w:sz w:val="20"/>
        </w:rPr>
      </w:pPr>
      <w:r>
        <w:rPr>
          <w:rFonts w:ascii="Times New Roman;sans-serif" w:hAnsi="Times New Roman;sans-serif"/>
          <w:b w:val="false"/>
          <w:color w:val="242424"/>
          <w:sz w:val="20"/>
        </w:rPr>
        <w:t>The Company’s Information Systems organization, which is led by the Chief Information Officer (“CIO”), is responsible for implementing and maintaining the Company’s Program and related risk management. The Company's current CIO has formal education in information technology and extensive work experience gained from over 20 years in various technology leadership roles. As leader of the Company's information systems and technology function, the CIO receives regular updates on cybersecurity matters, results of mitigation efforts and cybersecurity incident response and remediation. The team responsible for developing and executing its cybersecurity policies is comprised of individuals with either formal education and degrees in information technology or cybersecurity, or significant experience working in information technology and cybersecurity, including relevant industry experience in security related industries.</w:t>
      </w:r>
    </w:p>
    <w:p>
      <w:pPr>
        <w:pStyle w:val="TextBody"/>
        <w:bidi w:val="0"/>
        <w:spacing w:lineRule="auto" w:line="288" w:before="120" w:after="283"/>
        <w:ind w:left="0" w:right="0" w:firstLine="540"/>
        <w:jc w:val="both"/>
        <w:rPr>
          <w:rFonts w:ascii="Times New Roman;sans-serif" w:hAnsi="Times New Roman;sans-serif"/>
          <w:b w:val="false"/>
          <w:color w:val="242424"/>
          <w:sz w:val="20"/>
        </w:rPr>
      </w:pPr>
      <w:r>
        <w:rPr>
          <w:rFonts w:ascii="Times New Roman;sans-serif" w:hAnsi="Times New Roman;sans-serif"/>
          <w:b w:val="false"/>
          <w:color w:val="242424"/>
          <w:sz w:val="20"/>
        </w:rPr>
        <w:t>Our Board considers cybersecurity risk as part of its risk management oversight function. The Audit Committee assists the Board in its oversight of cybersecurity risks and receives regular updates from the CIO and other Company management on cybersecurity matters at least annually. The Audit Committee reports findings and recommendations, as appropriate, to the full Board for consideration. The Audit Committee also receives information about cybersecurity risks as part of the Company’s ERM program and reporting. In addition, any cybersecurity incident assessed as being, or potentially becoming, material is escalated for further assessment and then reported to designated members of our senior management and, if necessary,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a 67,000 square foot office building in Coppell, Texas for use as our store support center. This lease expires during the second quarter of fiscal 2032, with options to renew through the second quarter of fiscal 2042. We also lease a 43,000 square foot warehouse facility in Dallas, Texas. Further, we remain obligated on the lease for the former Main Event corporate office in Plano, Texas, which is no longer being used. The lease for this property expires in April 2029, and the Company is working to sublease the property.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fiscal 2023, we owned the building or site for four of our 220 operating stores and leased the remainder. We own land related to two future sites, which are expected to open in fiscal 2024. Our leases typically have initial terms ranging from ten to twenty years and most include options to extend the term for one or more 5-year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had the following locations as of the end of fiscal 2023:</w:t>
      </w:r>
    </w:p>
    <w:tbl>
      <w:tblPr>
        <w:tblW w:w="5134" w:type="dxa"/>
        <w:jc w:val="left"/>
        <w:tblInd w:w="0" w:type="dxa"/>
        <w:tblLayout w:type="fixed"/>
        <w:tblCellMar>
          <w:top w:w="28" w:type="dxa"/>
          <w:left w:w="28" w:type="dxa"/>
          <w:bottom w:w="28" w:type="dxa"/>
          <w:right w:w="28" w:type="dxa"/>
        </w:tblCellMar>
      </w:tblPr>
      <w:tblGrid>
        <w:gridCol w:w="463"/>
        <w:gridCol w:w="407"/>
        <w:gridCol w:w="419"/>
        <w:gridCol w:w="109"/>
        <w:gridCol w:w="109"/>
        <w:gridCol w:w="109"/>
        <w:gridCol w:w="424"/>
        <w:gridCol w:w="424"/>
        <w:gridCol w:w="426"/>
        <w:gridCol w:w="109"/>
        <w:gridCol w:w="109"/>
        <w:gridCol w:w="109"/>
        <w:gridCol w:w="314"/>
        <w:gridCol w:w="314"/>
        <w:gridCol w:w="316"/>
        <w:gridCol w:w="109"/>
        <w:gridCol w:w="109"/>
        <w:gridCol w:w="109"/>
        <w:gridCol w:w="209"/>
        <w:gridCol w:w="212"/>
        <w:gridCol w:w="225"/>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Dave &amp; Buster's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Main Event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Alabama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Alaska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Connecticut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Hawaii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Idaho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Iowa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Kentucky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Minnesota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Missouri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Nebraska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Hampshire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Oregon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Dakota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Wisconsin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Puerto Rico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Ontario,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certain legal proceedings and claims that arise in the ordinary course of our business, including intellectual property disputes, miscellaneous premises liability, employment-related claims, and dram shop claims. In the opinion of management, based upon consultation with legal counsel, the amount of ultimate liability with respect to, or an adverse outcome in any such legal proceedings or claims will not materially affect our business, the consolidated results of our operations or our financial condition. Refer to Note 12 of Notes to Consolidated Financial Statements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Market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common stock trades under the symbol PLAY and is listed on the NASDAQ Global Market (“NASDAQ”).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shareholders of record of the Company’s common stock as of March 22, 2024 was 292. This does not include persons whose stock is in nominee or “street name” accounts through brokers.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Dividends and Share Repurchases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dividends declared or paid in fiscal years 2023, 2022 or 2021.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2023, our Board approved a share repurchase program with an authorization limit of $100.0 million. On April 19, 2023, our Board approved an increase to the authorization limit of $200.0 million for a total of $300.0 million authorized under the program. On September 4, 2023 our Board approved an increase to the authorization limit of $100.0 million for a total of $400.0 million authorized under the program. During fiscal 2023, the Company repurchased 8.49 million shares at an average of $35.35 per share. The remaining dollar value of shares that may be repurchased under the program is $100.0 million as of February 4, 2024.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decisions to pay cash dividends or repurchase shares continue to be at the discretion of the Board and will be dependent on our operating performance, financial condition, capital expenditure requirements and other factors that the Board considers relevant.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Issuer Purchases of Equity Securities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repurchases of our common stock during the fourth quarter of fiscal 2023:</w:t>
      </w:r>
    </w:p>
    <w:tbl>
      <w:tblPr>
        <w:tblW w:w="10205" w:type="dxa"/>
        <w:jc w:val="left"/>
        <w:tblInd w:w="0" w:type="dxa"/>
        <w:tblLayout w:type="fixed"/>
        <w:tblCellMar>
          <w:top w:w="28" w:type="dxa"/>
          <w:left w:w="28" w:type="dxa"/>
          <w:bottom w:w="28" w:type="dxa"/>
          <w:right w:w="28" w:type="dxa"/>
        </w:tblCellMar>
      </w:tblPr>
      <w:tblGrid>
        <w:gridCol w:w="606"/>
        <w:gridCol w:w="532"/>
        <w:gridCol w:w="541"/>
        <w:gridCol w:w="109"/>
        <w:gridCol w:w="109"/>
        <w:gridCol w:w="109"/>
        <w:gridCol w:w="458"/>
        <w:gridCol w:w="458"/>
        <w:gridCol w:w="460"/>
        <w:gridCol w:w="109"/>
        <w:gridCol w:w="109"/>
        <w:gridCol w:w="109"/>
        <w:gridCol w:w="244"/>
        <w:gridCol w:w="694"/>
        <w:gridCol w:w="136"/>
        <w:gridCol w:w="109"/>
        <w:gridCol w:w="109"/>
        <w:gridCol w:w="109"/>
        <w:gridCol w:w="1044"/>
        <w:gridCol w:w="1044"/>
        <w:gridCol w:w="1048"/>
        <w:gridCol w:w="109"/>
        <w:gridCol w:w="109"/>
        <w:gridCol w:w="109"/>
        <w:gridCol w:w="350"/>
        <w:gridCol w:w="996"/>
        <w:gridCol w:w="286"/>
      </w:tblGrid>
      <w:tr>
        <w:trPr/>
        <w:tc>
          <w:tcPr>
            <w:tcW w:w="60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rPr>
              <w:t xml:space="preserve">Period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Number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Shares</w:t>
            </w:r>
          </w:p>
          <w:p>
            <w:pPr>
              <w:pStyle w:val="TableContents"/>
              <w:bidi w:val="0"/>
              <w:spacing w:lineRule="auto" w:line="288" w:before="0" w:after="0"/>
              <w:jc w:val="center"/>
              <w:rPr/>
            </w:pPr>
            <w:r>
              <w:rPr>
                <w:rFonts w:ascii="Times New Roman;sans-serif" w:hAnsi="Times New Roman;sans-serif"/>
                <w:b/>
                <w:color w:val="000000"/>
                <w:sz w:val="16"/>
              </w:rPr>
              <w:t xml:space="preserve">Repurchased </w:t>
            </w:r>
            <w:r>
              <w:rPr>
                <w:rFonts w:ascii="Times New Roman;sans-serif" w:hAnsi="Times New Roman;sans-serif"/>
                <w:b/>
                <w:color w:val="000000"/>
                <w:sz w:val="10"/>
              </w:rPr>
              <w:t>(2)</w:t>
            </w:r>
            <w:r>
              <w:rPr>
                <w:color w:val="000000"/>
              </w:rPr>
              <w:t xml:space="preserv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 Price</w:t>
            </w:r>
          </w:p>
          <w:p>
            <w:pPr>
              <w:pStyle w:val="TableContents"/>
              <w:bidi w:val="0"/>
              <w:spacing w:lineRule="auto" w:line="288" w:before="0" w:after="0"/>
              <w:jc w:val="center"/>
              <w:rPr/>
            </w:pPr>
            <w:r>
              <w:rPr>
                <w:rFonts w:ascii="Times New Roman;sans-serif" w:hAnsi="Times New Roman;sans-serif"/>
                <w:b/>
                <w:color w:val="000000"/>
                <w:sz w:val="16"/>
              </w:rPr>
              <w:t xml:space="preserve">Paid per Share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Total Number of Shares Repurchased as Part of Publicly Announced Plans </w:t>
            </w:r>
            <w:r>
              <w:rPr>
                <w:rFonts w:ascii="Times New Roman;sans-serif" w:hAnsi="Times New Roman;sans-serif"/>
                <w:b/>
                <w:color w:val="000000"/>
                <w:sz w:val="10"/>
              </w:rPr>
              <w:t>(2) (3)</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Approximate Dollar Value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That May Yet Be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Repurchased </w:t>
            </w:r>
          </w:p>
          <w:p>
            <w:pPr>
              <w:pStyle w:val="TableContents"/>
              <w:bidi w:val="0"/>
              <w:spacing w:lineRule="auto" w:line="288" w:before="0" w:after="0"/>
              <w:jc w:val="center"/>
              <w:rPr/>
            </w:pPr>
            <w:r>
              <w:rPr>
                <w:rFonts w:ascii="Times New Roman;sans-serif" w:hAnsi="Times New Roman;sans-serif"/>
                <w:b/>
                <w:color w:val="000000"/>
                <w:sz w:val="16"/>
              </w:rPr>
              <w:t>Under the Plans</w:t>
            </w:r>
            <w:r>
              <w:rPr>
                <w:color w:val="000000"/>
              </w:rPr>
              <w:t xml:space="preserve"> </w:t>
            </w:r>
            <w:r>
              <w:rPr>
                <w:rFonts w:ascii="Times New Roman;sans-serif" w:hAnsi="Times New Roman;sans-serif"/>
                <w:b/>
                <w:color w:val="000000"/>
                <w:sz w:val="10"/>
              </w:rPr>
              <w:t>(4)</w:t>
            </w:r>
            <w:r>
              <w:rPr>
                <w:color w:val="000000"/>
              </w:rPr>
              <w:t xml:space="preserv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in millions)</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30 to November 26,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27 to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to February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27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 Company uses a "4-5-4" calendar to determine the months in each quarter. The periods presented represent the 4 week and 5 week periods making up the fourth quarter of fiscal 2023.</w:t>
      </w:r>
    </w:p>
    <w:p>
      <w:pPr>
        <w:pStyle w:val="TextBody"/>
        <w:bidi w:val="0"/>
        <w:spacing w:lineRule="auto" w:line="276" w:before="0" w:after="0"/>
        <w:ind w:left="0" w:right="0" w:hanging="27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Represents shares withheld for tax purposes on behalf of our employees in connection with the vesting of time-based and performance restricted stock units. There were no purchases under repurchase program(s) during the fourth quarter of fiscal 2023.</w:t>
      </w:r>
    </w:p>
    <w:p>
      <w:pPr>
        <w:pStyle w:val="TextBody"/>
        <w:bidi w:val="0"/>
        <w:spacing w:lineRule="auto" w:line="276" w:before="0" w:after="0"/>
        <w:ind w:left="0" w:right="0" w:hanging="27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Our Board approved a share repurchase program in March of 2023, with approved increases in April and September of 2023 (see further discussion at Note 10 to our consolidated financial statements). Under the program, the Company may repurchase shares on the open market, through privately negotiated transactions, and through trading plans designed to comply with Rule 10b5-1 of the Securities Exchange Act of 1934, as amended. The share repurchase program(s) may be modified, suspended or discontinued at any time.</w:t>
      </w:r>
    </w:p>
    <w:p>
      <w:pPr>
        <w:pStyle w:val="TextBody"/>
        <w:bidi w:val="0"/>
        <w:spacing w:lineRule="auto" w:line="276" w:before="0" w:after="0"/>
        <w:ind w:left="0" w:right="0" w:hanging="27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Represents total cumulative share repurchase authorizations in effect, less cumulative purchases, at the end of each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Performance Graph</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following performance graph depicts the total returns to shareholders of our stock for the past five fiscal years, relative to the performance of the NASDAQ Composite Index, Standard &amp; Poor’s (“S&amp;P”) 600 Small Cap Index and </w:t>
      </w:r>
      <w:r>
        <w:rPr>
          <w:rFonts w:ascii="Times New Roman;sans-serif" w:hAnsi="Times New Roman;sans-serif"/>
          <w:b w:val="false"/>
          <w:color w:val="000000"/>
          <w:sz w:val="18"/>
        </w:rPr>
        <w:t>S&amp;P 600</w:t>
      </w:r>
      <w:r>
        <w:rPr>
          <w:color w:val="000000"/>
        </w:rPr>
        <w:t xml:space="preserve"> </w:t>
      </w:r>
      <w:r>
        <w:rPr>
          <w:rFonts w:ascii="Times New Roman;sans-serif" w:hAnsi="Times New Roman;sans-serif"/>
          <w:b w:val="false"/>
          <w:color w:val="000000"/>
          <w:sz w:val="20"/>
        </w:rPr>
        <w:t>Hotels Restaurants and Leisure Index. All returns assume a base investment of $100 at the beginning of the five fiscal years (February 3, 2019 — the end of our fiscal year 2018) and the reinvestment of dividends paid, if applicable, since that date. The performance shown in the graph is not necessarily indicative of future price performance.</w:t>
      </w:r>
    </w:p>
    <w:p>
      <w:pPr>
        <w:pStyle w:val="TextBody"/>
        <w:bidi w:val="0"/>
        <w:spacing w:before="120" w:after="283"/>
        <w:jc w:val="left"/>
        <w:rPr/>
      </w:pPr>
      <w:r>
        <w:rPr/>
        <w:drawing>
          <wp:inline distT="0" distB="0" distL="0" distR="0">
            <wp:extent cx="6286500" cy="361950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286500" cy="36195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824"/>
        <w:gridCol w:w="726"/>
        <w:gridCol w:w="72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2/2/2020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1/30/2022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2/4/2024</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600 Small Cap</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S&amp;P 600 Hotels Restaurants &amp; Leisure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 xml:space="preserve">Due to the limited number of publicly traded companies in our industry, we were unable to identify a suitable peer group for comparison to our market performance. In lieu of a peer group, we selected the S&amp;P 600 Hotels Restaurants and Leisure index, of which our stock was a member during fiscal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following discussion and analysis of our financial condition and results of operations should be read together with our audited consolidated financial statements and related notes included herein. This discussion may contain forward-looking statements. See </w:t>
      </w:r>
      <w:r>
        <w:rPr>
          <w:rFonts w:ascii="Times New Roman;sans-serif" w:hAnsi="Times New Roman;sans-serif"/>
          <w:b w:val="false"/>
          <w:i/>
          <w:color w:val="000000"/>
          <w:sz w:val="20"/>
        </w:rPr>
        <w:t>Cautionary Statement Regarding Forward-Looking Statements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for a discussion of the uncertainties and risks associated with these statements. Unless otherwise specified, the meanings of all defined terms in “Management’s Discussion and Analysis of Financial Condition and Results of Operations” are consistent with the meanings of such terms as defined in the Notes to Consolidated Financial Statements. All dollar amounts are presented in millions, unless otherwise noted, except per share amounts.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Discussion regarding our financial condition and results of operations for fiscal 2022 compared with fiscal 2021 is included in Item 7 of our fiscal 2022 Annual Report on Form 10-K filed March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Financial Highlights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Revenue of $2,205.3 million increased 12.3% compared with $1,964.4 million in fiscal 2022.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Net income totaled $126.9 million, or $2.88 per diluted share, compared with net income of $137.1 million, or $2.79 per diluted share in fiscal 2022.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Adjusted EBITDA increased $75.2 million to $555.6 million, or 25.2% of revenues, compared with Adjusted EBITDA of $480.4, or 24.5% of revenues, in fiscal 2022. See further discussion of Adjusted EBITDA, a non-GAAP measure, at Non-GAAP Financial Measures below as well as a reconciliation to net income at Reconciliations of Non-GAAP Financial Measures below.</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The 53rd week of fiscal 2023 contributed $39.5 million in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owner and operator of high-volume venues in North America that combine entertainment and dining for both adults and families under the “Dave &amp; Buster’s” and “Main Event” brands. The core of our concept is to offer our customers various forms of entertainment along with quality dining all in one location. Our entertainment offerings provide an extensive assortment of attractions centered around playing games, bowling, and watching live sports and other televised events. Our brands appeal to a relatively balanced mix of male and female adults, as well as families and teenagers. We believe we appeal to a diverse customer base by providing a highly customizable experience in a dynamic and fun setting.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Dave &amp; Buster’s stores average 40,000 square feet and range in size between 16,000 and 70,000 square feet. Our Main Event stores average 54,000 square feet and range in size between 37,500 and 78,000 square feet. Generally, our stores are open seven days a week, with normal hours of operation generally from between 10:00 to 11:30 a.m. until midnight, with stores typically open for extended hours on weekends.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Strategy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is built on the following key initiatives: </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Offer the latest entertainment at competitive prices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Offer novel food &amp; drink to bring people together</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Drive customer engagement through strategic marketing and loyalty offerings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Optimize our footprint through opening new stores and remodeling existing locations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Drive incremental sales volume through advertising and hosting special events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Drive an improved guest experience and optimize operations through targeted technology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information about our strategy, refer to “Item 1. Strategy”.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Measures of Our Performance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and analyze several key performance measures to manage our business and evaluate financial and operating performance, including: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Comparable store sales.</w:t>
      </w:r>
      <w:r>
        <w:rPr>
          <w:color w:val="000000"/>
        </w:rPr>
        <w:t xml:space="preserve"> </w:t>
      </w:r>
      <w:r>
        <w:rPr>
          <w:rFonts w:ascii="Times New Roman;sans-serif" w:hAnsi="Times New Roman;sans-serif"/>
          <w:b w:val="false"/>
          <w:color w:val="000000"/>
          <w:sz w:val="20"/>
        </w:rPr>
        <w:t xml:space="preserve">Comparable store sales are a comparison of sales to the same period of prior years for the comparable store base. We historically define the comparable store base to include those stores owned and open for a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 months before the beginning of the fiscal year and excluding stores permanently closed during the period. For fiscal 2023, our comparable store base consists of 141 Dave &amp; Buster's branded stores. Our Main Event branded stores are not included in comparable store sales for fiscal 2023.</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New store openings. </w:t>
      </w:r>
      <w:r>
        <w:rPr>
          <w:rFonts w:ascii="Times New Roman;sans-serif" w:hAnsi="Times New Roman;sans-serif"/>
          <w:b w:val="false"/>
          <w:color w:val="000000"/>
          <w:sz w:val="20"/>
        </w:rPr>
        <w:t xml:space="preserve">Our ability to reach new customers is influenced by the opening of additional stores in new and existing markets. The success of our new stores is indicative of our brand appeal and the efficacy of our site selection and operating models. During fiscal 2023, we opened eleven new Dave &amp; Buster's stores and five Main Event stores. We currently plan to open 15 stores in fiscal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Non-GAAP Financial Measures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Credit Adjusted EBITDA,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which may be important in analyzing our GAAP results. Because Adjusted EBITDA does not account for these expenses, its utility as a measure of our operating performance has material limitations. Our calculations of Adjusted EBITDA adjust for these amounts because they do not directly relate to the ongoing operations of the currently underlying business of our stores and therefore complicate comparison of the underlying business between periods. Nevertheless, because of the limitations described above, management does not view Adjusted EBITDA, Adjusted EBITDA Margin, Credit Adjusted EBITDA, Store Operating Income Before Depreciation and Amortization or Store Operating Income Before Depreciation and Amortization Margin in isolation and also uses other measures, such as revenues, gross margin, operating income and net income to measure operating performance.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Adjusted EBITDA and Adjusted EBITDA Margin</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(loss), plus interest expense, net, loss on debt refinancing, provision for (benefit from) income taxes, depreciation and amortization expense, (gain) loss on property and equipment transactions, impairment of long-lived assets, share-based compensation, currency transaction (gains) losses and other costs. “Adjusted EBITDA Margin” is defined as Adjusted EBITDA divided by total revenues.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and Adjusted EBITDA Margin are presented because we believe they provide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Credit Adjusted EBITDA</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define “Credit Adjusted EBITDA” as Adjusted EBITDA plus certain other items as defined in our Credit Facility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 xml:space="preserve">below). Other adjustments include (i) entertainment revenue deferrals, (ii) the cost of new projects, including store pre-opening costs, and (iii) other costs and adjustments as permitted by the debt agreements. We believe the presentation of Credit Adjusted EBITDA is appropriate as it provides additional information to investors about the calculation of, and compliance with, certain financial covenants in the Credit Facility.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Store Operating Income Before Depreciation and Amortization and Store Operating Income Before Depreciation and Amortization Margin.</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loss on debt refinancing and depreciation and amortization expense, which are important in evaluating our consolidated financial performance from period to period, the value of this measure is limited as a measure of our consolidated financial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Presentation of Operating Results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consists of 52 or 53 weeks ending on the Sunday after the Saturday closest to January 31. Fiscal year 2023, which ended on February 4, 2024, contained 53 weeks. Fiscal years 2022 and 2021, which ended on January 29, 2023 and January 30, 2022, respectively, each contained 52 weeks. Each quarterly period has 13 weeks, except in a 53-week year when the fourth quarter has 14 weeks. All dollar amounts are presented in millions, unless otherwise noted,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Store-Level Variability, Quarterly Fluctuations, Seasonality and Inflation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stores varying in size and have experienced significant variability among stores in volumes, operating results and net investment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new stores typically open with sales volumes in excess of their expected long-term run-rate levels, which we refer to as a “honeymoon” effect. We traditionally expect our new store sales volumes in year two to be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New store operating margins (excluding pre-opening expenses) during the first year of operation historically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have historically fluctuated due to seasonal factors. Typically, we have higher revenues associated with the spring and year-end holidays, and sales and customer traffic during these periods are susceptible to the impact of severe, unfavorable or unseasonably mild weather. Our third quarter, which encompasses the back-to-school fall season, has historically had lower revenues as compared to other quarters.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economic and environmental conditions and changes in regulatory legislation will continue to exert pressure on both supplier pricing and consumer spending related to entertainment and dining alternatives. There is no assurance that our cost of products will remain stable or that federal, state, or local minimum wage rates will not increase beyond amounts currently legislated, however, the effects of any supplier price increase or wage rate increases might be partially offset by selective price increases if competitively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Fiscal 2023 Compared to Fiscal 2022</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Results of operations. </w:t>
      </w:r>
      <w:r>
        <w:rPr>
          <w:rFonts w:ascii="Times New Roman;sans-serif" w:hAnsi="Times New Roman;sans-serif"/>
          <w:b w:val="false"/>
          <w:color w:val="000000"/>
          <w:sz w:val="20"/>
        </w:rPr>
        <w:t>The following table sets forth selected data, in millions of dollars and as a percentage of total revenues (unless otherwise noted) for the periods indicated. All information is derived from the accompanying Consolidated Statements of Comprehensive Income.</w:t>
      </w:r>
    </w:p>
    <w:tbl>
      <w:tblPr>
        <w:tblW w:w="8451" w:type="dxa"/>
        <w:jc w:val="center"/>
        <w:tblInd w:w="0" w:type="dxa"/>
        <w:tblLayout w:type="fixed"/>
        <w:tblCellMar>
          <w:top w:w="28" w:type="dxa"/>
          <w:left w:w="28" w:type="dxa"/>
          <w:bottom w:w="28" w:type="dxa"/>
          <w:right w:w="28" w:type="dxa"/>
        </w:tblCellMar>
      </w:tblPr>
      <w:tblGrid>
        <w:gridCol w:w="1260"/>
        <w:gridCol w:w="1106"/>
        <w:gridCol w:w="1113"/>
        <w:gridCol w:w="211"/>
        <w:gridCol w:w="766"/>
        <w:gridCol w:w="109"/>
        <w:gridCol w:w="109"/>
        <w:gridCol w:w="109"/>
        <w:gridCol w:w="109"/>
        <w:gridCol w:w="307"/>
        <w:gridCol w:w="309"/>
        <w:gridCol w:w="271"/>
        <w:gridCol w:w="109"/>
        <w:gridCol w:w="109"/>
        <w:gridCol w:w="109"/>
        <w:gridCol w:w="211"/>
        <w:gridCol w:w="766"/>
        <w:gridCol w:w="109"/>
        <w:gridCol w:w="109"/>
        <w:gridCol w:w="109"/>
        <w:gridCol w:w="109"/>
        <w:gridCol w:w="307"/>
        <w:gridCol w:w="309"/>
        <w:gridCol w:w="316"/>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Cost of entertainment</w:t>
            </w:r>
            <w:r>
              <w:rPr>
                <w:color w:val="000000"/>
              </w:rPr>
              <w:t xml:space="preserve"> </w:t>
            </w:r>
            <w:r>
              <w:rPr>
                <w:rFonts w:ascii="Times New Roman;sans-serif" w:hAnsi="Times New Roman;sans-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Cost of food and beverage</w:t>
            </w:r>
            <w:r>
              <w:rPr>
                <w:color w:val="000000"/>
              </w:rPr>
              <w:t xml:space="preserve"> </w:t>
            </w:r>
            <w:r>
              <w:rPr>
                <w:rFonts w:ascii="Times New Roman;sans-serif" w:hAnsi="Times New Roman;sans-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products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payroll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store operating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refinancing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stores at end of period</w:t>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stores at end of period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All revenues and costs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Reconciliations of Non-GAAP Financial Measures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Net income to EBITDA and Adjusted EBITDA (in millions of dollars and as a percent of total revenues) for the periods indicated: </w:t>
      </w:r>
    </w:p>
    <w:tbl>
      <w:tblPr>
        <w:tblW w:w="7881" w:type="dxa"/>
        <w:jc w:val="left"/>
        <w:tblInd w:w="0" w:type="dxa"/>
        <w:tblLayout w:type="fixed"/>
        <w:tblCellMar>
          <w:top w:w="28" w:type="dxa"/>
          <w:left w:w="28" w:type="dxa"/>
          <w:bottom w:w="28" w:type="dxa"/>
          <w:right w:w="28" w:type="dxa"/>
        </w:tblCellMar>
      </w:tblPr>
      <w:tblGrid>
        <w:gridCol w:w="1238"/>
        <w:gridCol w:w="1086"/>
        <w:gridCol w:w="1095"/>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6"/>
      </w:tblGrid>
      <w:tr>
        <w:trPr/>
        <w:tc>
          <w:tcPr>
            <w:tcW w:w="123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refinancing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Share-based compensation</w:t>
            </w:r>
            <w:r>
              <w:rPr>
                <w:color w:val="000000"/>
              </w:rPr>
              <w:t xml:space="preserve">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Transaction and integration costs</w:t>
            </w:r>
            <w:r>
              <w:rPr>
                <w:color w:val="000000"/>
              </w:rPr>
              <w:t xml:space="preserve"> </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System implementation costs</w:t>
            </w:r>
            <w:r>
              <w:rPr>
                <w:color w:val="000000"/>
              </w:rPr>
              <w:t xml:space="preserve"> </w:t>
            </w:r>
            <w:r>
              <w:rPr>
                <w:rFonts w:ascii="Times New Roman;sans-serif" w:hAnsi="Times New Roman;sans-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costs, net</w:t>
            </w:r>
            <w:r>
              <w:rPr>
                <w:color w:val="000000"/>
              </w:rPr>
              <w:t xml:space="preserve"> </w:t>
            </w:r>
            <w:r>
              <w:rPr>
                <w:rFonts w:ascii="Times New Roman;sans-serif" w:hAnsi="Times New Roman;sans-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measure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hanging="270"/>
        <w:jc w:val="both"/>
        <w:rPr/>
      </w:pPr>
      <w:r>
        <w:rPr>
          <w:rFonts w:ascii="Times New Roman;sans-serif" w:hAnsi="Times New Roman;sans-serif"/>
          <w:b/>
          <w:color w:val="000000"/>
          <w:sz w:val="12"/>
        </w:rPr>
        <w:t>(1)</w:t>
      </w:r>
      <w:r>
        <w:rPr>
          <w:rFonts w:ascii="Times New Roman;sans-serif" w:hAnsi="Times New Roman;sans-serif"/>
          <w:b w:val="false"/>
          <w:color w:val="000000"/>
          <w:sz w:val="18"/>
        </w:rPr>
        <w:t>Non-cash share-based compensation expense, net of forfeitures, recorded in general and administrative expenses on the consolidated comprehensive income statement.</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Transaction and integration costs related to the acquisition and integration of Main Event recorded in general and administrative expenses on the consolidated comprehensive income statement.</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System implementation costs represent expenses incurred related to the development and launch of new enterprise resource planning, human capital management and inventory software for our stores and store support teams and staff augmentation for the implementation team at the store support center. These charges are primarily recorded in general and administrative expenses on the consolidated comprehensive income statement.</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Includes one-time, third-party consulting fees that are not part of our ongoing operations, impairment expenses and (gain) loss on property and equipment transactions.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Store Operating Income Before Depreciation and Amortization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Operating income to Store Operating Income Before Depreciation and Amortization (in millions of dollars and as a percent of total revenues) for the periods indicated:</w:t>
      </w:r>
    </w:p>
    <w:tbl>
      <w:tblPr>
        <w:tblW w:w="10205" w:type="dxa"/>
        <w:jc w:val="left"/>
        <w:tblInd w:w="0" w:type="dxa"/>
        <w:tblLayout w:type="fixed"/>
        <w:tblCellMar>
          <w:top w:w="28" w:type="dxa"/>
          <w:left w:w="28" w:type="dxa"/>
          <w:bottom w:w="28" w:type="dxa"/>
          <w:right w:w="28" w:type="dxa"/>
        </w:tblCellMar>
      </w:tblPr>
      <w:tblGrid>
        <w:gridCol w:w="2100"/>
        <w:gridCol w:w="1830"/>
        <w:gridCol w:w="1812"/>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7"/>
      </w:tblGrid>
      <w:tr>
        <w:trPr/>
        <w:tc>
          <w:tcPr>
            <w:tcW w:w="210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5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 Operating Income Before Depreciation and Amortization, a non-GAAP measure</w:t>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Capital Additions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accrual-based capital additions. Capital additions do not include any reductions for accrual-based leasehold improvement incentives (“Payments from landlords”).</w:t>
      </w:r>
    </w:p>
    <w:tbl>
      <w:tblPr>
        <w:tblW w:w="6099" w:type="dxa"/>
        <w:jc w:val="left"/>
        <w:tblInd w:w="0" w:type="dxa"/>
        <w:tblLayout w:type="fixed"/>
        <w:tblCellMar>
          <w:top w:w="28" w:type="dxa"/>
          <w:left w:w="28" w:type="dxa"/>
          <w:bottom w:w="28" w:type="dxa"/>
          <w:right w:w="28" w:type="dxa"/>
        </w:tblCellMar>
      </w:tblPr>
      <w:tblGrid>
        <w:gridCol w:w="1068"/>
        <w:gridCol w:w="940"/>
        <w:gridCol w:w="946"/>
        <w:gridCol w:w="311"/>
        <w:gridCol w:w="908"/>
        <w:gridCol w:w="160"/>
        <w:gridCol w:w="109"/>
        <w:gridCol w:w="109"/>
        <w:gridCol w:w="109"/>
        <w:gridCol w:w="309"/>
        <w:gridCol w:w="904"/>
        <w:gridCol w:w="226"/>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 and operating initiatives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Games</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additions</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from landlords</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Results of Operations </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Revenues - </w:t>
      </w:r>
      <w:r>
        <w:rPr>
          <w:rFonts w:ascii="Times New Roman;sans-serif" w:hAnsi="Times New Roman;sans-serif"/>
          <w:b w:val="false"/>
          <w:color w:val="000000"/>
          <w:sz w:val="20"/>
        </w:rPr>
        <w:t xml:space="preserve">Selected revenue data (in millions except for store operating weeks) and store data for the periods indicated are as follows: </w:t>
      </w:r>
    </w:p>
    <w:tbl>
      <w:tblPr>
        <w:tblW w:w="7995" w:type="dxa"/>
        <w:jc w:val="left"/>
        <w:tblInd w:w="0" w:type="dxa"/>
        <w:tblLayout w:type="fixed"/>
        <w:tblCellMar>
          <w:top w:w="28" w:type="dxa"/>
          <w:left w:w="28" w:type="dxa"/>
          <w:bottom w:w="28" w:type="dxa"/>
          <w:right w:w="28" w:type="dxa"/>
        </w:tblCellMar>
      </w:tblPr>
      <w:tblGrid>
        <w:gridCol w:w="1296"/>
        <w:gridCol w:w="1142"/>
        <w:gridCol w:w="1147"/>
        <w:gridCol w:w="268"/>
        <w:gridCol w:w="974"/>
        <w:gridCol w:w="138"/>
        <w:gridCol w:w="109"/>
        <w:gridCol w:w="109"/>
        <w:gridCol w:w="109"/>
        <w:gridCol w:w="271"/>
        <w:gridCol w:w="984"/>
        <w:gridCol w:w="140"/>
        <w:gridCol w:w="109"/>
        <w:gridCol w:w="109"/>
        <w:gridCol w:w="109"/>
        <w:gridCol w:w="211"/>
        <w:gridCol w:w="616"/>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Total store operating weeks </w:t>
            </w:r>
            <w:r>
              <w:rPr>
                <w:rFonts w:ascii="Times New Roman;sans-serif" w:hAnsi="Times New Roman;sans-serif"/>
                <w:b w:val="false"/>
                <w:color w:val="000000"/>
                <w:sz w:val="13"/>
              </w:rPr>
              <w:t>(1)</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revenues</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Comparable store operating weeks </w:t>
            </w:r>
            <w:r>
              <w:rPr>
                <w:rFonts w:ascii="Times New Roman;sans-serif" w:hAnsi="Times New Roman;sans-serif"/>
                <w:b w:val="false"/>
                <w:color w:val="000000"/>
                <w:sz w:val="13"/>
              </w:rPr>
              <w:t>(1)</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Noncomparable store revenues </w:t>
            </w:r>
            <w:r>
              <w:rPr>
                <w:rFonts w:ascii="Times New Roman;sans-serif" w:hAnsi="Times New Roman;sans-serif"/>
                <w:b w:val="false"/>
                <w:color w:val="000000"/>
                <w:sz w:val="13"/>
              </w:rPr>
              <w:t>(2)</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Noncomparable store operating weeks </w:t>
            </w:r>
            <w:r>
              <w:rPr>
                <w:rFonts w:ascii="Times New Roman;sans-serif" w:hAnsi="Times New Roman;sans-serif"/>
                <w:b w:val="false"/>
                <w:color w:val="000000"/>
                <w:sz w:val="13"/>
              </w:rPr>
              <w:t>(1)(2)</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 and deferrals</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Total store operating weeks, comparable store operating weeks and noncomparable store operating weeks included an additional 220, 141 and 79 operating weeks, respectively, due to the 53rd week included in fiscal 2023.</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Noncomparable store revenues and operating weeks includes all of the acquired Main Event stores as they were owned less than 18 months at the beginning of fiscal 2023. See further discussion of the definition of comparable and noncomparable stores at </w:t>
      </w:r>
      <w:r>
        <w:rPr>
          <w:rFonts w:ascii="Times New Roman;sans-serif" w:hAnsi="Times New Roman;sans-serif"/>
          <w:b w:val="false"/>
          <w:i/>
          <w:color w:val="000000"/>
          <w:sz w:val="18"/>
        </w:rPr>
        <w:t>Key Measures of Our Performance</w:t>
      </w:r>
      <w:r>
        <w:rPr>
          <w:color w:val="000000"/>
        </w:rPr>
        <w:t xml:space="preserve"> </w:t>
      </w:r>
      <w:r>
        <w:rPr>
          <w:rFonts w:ascii="Times New Roman;sans-serif" w:hAnsi="Times New Roman;sans-serif"/>
          <w:b w:val="false"/>
          <w:color w:val="000000"/>
          <w:sz w:val="18"/>
        </w:rPr>
        <w:t>above.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represents our revenue mix for the fiscal periods indicated. </w:t>
      </w:r>
    </w:p>
    <w:tbl>
      <w:tblPr>
        <w:tblW w:w="7011" w:type="dxa"/>
        <w:jc w:val="left"/>
        <w:tblInd w:w="0" w:type="dxa"/>
        <w:tblLayout w:type="fixed"/>
        <w:tblCellMar>
          <w:top w:w="28" w:type="dxa"/>
          <w:left w:w="28" w:type="dxa"/>
          <w:bottom w:w="28" w:type="dxa"/>
          <w:right w:w="28" w:type="dxa"/>
        </w:tblCellMar>
      </w:tblPr>
      <w:tblGrid>
        <w:gridCol w:w="738"/>
        <w:gridCol w:w="649"/>
        <w:gridCol w:w="652"/>
        <w:gridCol w:w="211"/>
        <w:gridCol w:w="766"/>
        <w:gridCol w:w="109"/>
        <w:gridCol w:w="109"/>
        <w:gridCol w:w="109"/>
        <w:gridCol w:w="109"/>
        <w:gridCol w:w="307"/>
        <w:gridCol w:w="309"/>
        <w:gridCol w:w="271"/>
        <w:gridCol w:w="109"/>
        <w:gridCol w:w="109"/>
        <w:gridCol w:w="109"/>
        <w:gridCol w:w="211"/>
        <w:gridCol w:w="766"/>
        <w:gridCol w:w="109"/>
        <w:gridCol w:w="109"/>
        <w:gridCol w:w="109"/>
        <w:gridCol w:w="109"/>
        <w:gridCol w:w="307"/>
        <w:gridCol w:w="309"/>
        <w:gridCol w:w="316"/>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Beverage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increased $240.9 million, or 12.3%, to $2,205.3 million in fiscal 2023 compared to $1,964.4 million in fiscal 2022. The increase in revenue is primarily attributable to increased revenue from our Main Event stores, which were acquired on June 29, 2022, incremental revenue from new, noncomparable, Dave &amp; Buster's stores, and incremental revenues as a result of the 53rd week in fiscal 2023, partially offset by a decrease in comparable store sales. The decrease in comparable store revenue is due primarily to a reduction in walk-in transaction counts relative to the robust consumer environment of the prior year period, partially offset by increases in food and beverage prices and increases in special event bookings.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Comparable entertainment revenues in fiscal 2023 decreased by $67.8 million, or 6.5%, to $973.8 million from $1,041.6 million in fiscal 2022. Food sales at comparable stores decreased by $11.9 million, or 3.1%, to $366.8 million in fiscal 2023 from $378.7 million in fiscal 2022. Beverage sales at comparable stores increased by $5.0 million, or 2.8%, to $184.2 million in fiscal 2023 from $179.2 million in fiscal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Cost of products - </w:t>
      </w:r>
      <w:r>
        <w:rPr>
          <w:rFonts w:ascii="Times New Roman;sans-serif" w:hAnsi="Times New Roman;sans-serif"/>
          <w:b w:val="false"/>
          <w:color w:val="000000"/>
          <w:sz w:val="20"/>
        </w:rPr>
        <w:t xml:space="preserve">The total cost of products was $337.0 million for fiscal 2023 and $308.9 million for fiscal 2022. The total cost of products as a percentage of total revenues decreased to 15.3% for fiscal 2023 compared to 15.7% for fiscal 2022.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entertainment increased to $134.1 million in fiscal 2023 compared to $115.1 million in fiscal 2022. The cost of entertainment, as a percentage of entertainment revenues, increased to 9.3% for fiscal 2023 from 8.9% in the fiscal 2022. The increase was primarily due to a shift in mix toward more redemption games.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food and beverage products increased to $202.9 million for fiscal 2023 compared to $193.8 million for fiscal 2022. Cost of food and beverage products, as a percentage of food and beverage revenues, decreased to 26.3% for fiscal 2023 from 28.6% for fiscal 2022. The decrease was primarily attributable to food and beverage menu price increases, continued supply chain and ingredient optimization, and the mix of products sold with our new menu.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Operating payroll and benefits - </w:t>
      </w:r>
      <w:r>
        <w:rPr>
          <w:rFonts w:ascii="Times New Roman;sans-serif" w:hAnsi="Times New Roman;sans-serif"/>
          <w:b w:val="false"/>
          <w:color w:val="000000"/>
          <w:sz w:val="20"/>
        </w:rPr>
        <w:t>Total operating payroll and benefits increased to $526.0 million in fiscal 2023 compared to $470.7 million in fiscal 2022. The total cost of operating payroll and benefits as a percentage of total revenues was 23.9% in fiscal 2023 compared to 24.0% in fiscal 2022.</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Other store operating expenses - </w:t>
      </w:r>
      <w:r>
        <w:rPr>
          <w:rFonts w:ascii="Times New Roman;sans-serif" w:hAnsi="Times New Roman;sans-serif"/>
          <w:b w:val="false"/>
          <w:color w:val="000000"/>
          <w:sz w:val="20"/>
        </w:rPr>
        <w:t xml:space="preserve">Other store operating expenses increased to $686.2 million in fiscal 2023 compared to $600.6 million in fiscal 2022. The increase is primarily due to the additional store operating hours related to our Main Event stores, the impact of the 53rd week in fiscal 2023, the impact of newly opened stores, and higher occupancy and marketing costs. Other store operating expense as a percentage of total revenues increased to 31.1% in fiscal 2023 compared to 30.6% in fiscal 2022. This increase in expense as a percentage of total revenues was primarily due to increased occupancy and marketing costs.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General and administrative expenses - </w:t>
      </w:r>
      <w:r>
        <w:rPr>
          <w:rFonts w:ascii="Times New Roman;sans-serif" w:hAnsi="Times New Roman;sans-serif"/>
          <w:b w:val="false"/>
          <w:color w:val="000000"/>
          <w:sz w:val="20"/>
        </w:rPr>
        <w:t xml:space="preserve">General and administrative expenses decreased to $122.6 million in fiscal 2023 compared to $137.8 million in fiscal 2022. The decrease in general and administrative expenses was driven primarily by lower transaction and integration costs, lower incentive compensation in the current year, and lower stock based compensation expense, partially offset by system implementation and consulting costs. General and administrative expenses as a percentage of total revenues decreased to 5.6% in fiscal 2023 compared to 7.0% in fiscal 2022 due primarily to the reasons noted above.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Depreciation and amortization expense - </w:t>
      </w:r>
      <w:r>
        <w:rPr>
          <w:rFonts w:ascii="Times New Roman;sans-serif" w:hAnsi="Times New Roman;sans-serif"/>
          <w:b w:val="false"/>
          <w:color w:val="000000"/>
          <w:sz w:val="20"/>
        </w:rPr>
        <w:t xml:space="preserve">Depreciation and amortization expense increased to $208.5 million in fiscal 2023 compared to $169.3 million in fiscal 2022, primarily due to the acquired Main Event stores and the impact of the 53rd week in fiscal 2023.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Pre-opening costs - </w:t>
      </w:r>
      <w:r>
        <w:rPr>
          <w:rFonts w:ascii="Times New Roman;sans-serif" w:hAnsi="Times New Roman;sans-serif"/>
          <w:b w:val="false"/>
          <w:color w:val="000000"/>
          <w:sz w:val="20"/>
        </w:rPr>
        <w:t xml:space="preserve">Pre-opening costs increased to $18.4 million in fiscal 2023 compared to $14.6 million in fiscal 2022 primarily related to sixteen new store openings in fiscal 2023 compared to eight new store openings in fiscal 2022.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Interest expense, net - </w:t>
      </w:r>
      <w:r>
        <w:rPr>
          <w:rFonts w:ascii="Times New Roman;sans-serif" w:hAnsi="Times New Roman;sans-serif"/>
          <w:b w:val="false"/>
          <w:color w:val="000000"/>
          <w:sz w:val="20"/>
        </w:rPr>
        <w:t>Interest expense, net increased to $127.4 million in fiscal 2023 compared to $87.4 million in fiscal 2022 due primarily to an increase in average outstanding debt and interest expense recorded as a result of a sale-leaseback transaction, partially offset by lower interest rates on the outstanding credit facility balances and an increase in interest income. See further discussion of the Company's debt activity at Note 7 to the consolidated financial statements. See further discussion of the sale-leaseback transaction at Note 9 to the consolidated financial statements.</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Loss on debt refinancing - </w:t>
      </w:r>
      <w:r>
        <w:rPr>
          <w:rFonts w:ascii="Times New Roman;sans-serif" w:hAnsi="Times New Roman;sans-serif"/>
          <w:b w:val="false"/>
          <w:color w:val="000000"/>
          <w:sz w:val="20"/>
        </w:rPr>
        <w:t>Loss on debt refinancing was $16.1 million in fiscal 2023 and $1.5 million in fiscal 2022. The amount for fiscal 2023 is related to the debt refinancings in January 2024 and June 2023. The amount for fiscal 2022 is related to the debt refinancing in June 2022. See further discussion of the Company's debt refinancing activity at Note 7 to the consolidated financial statements.</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Provision for income taxes - </w:t>
      </w:r>
      <w:r>
        <w:rPr>
          <w:rFonts w:ascii="Times New Roman;sans-serif" w:hAnsi="Times New Roman;sans-serif"/>
          <w:b w:val="false"/>
          <w:color w:val="000000"/>
          <w:sz w:val="20"/>
        </w:rPr>
        <w:t>The effective tax rate for fiscal 2023 was 22.2%, compared to 21.0% for fiscal 2022. The previous year tax provision includes higher excess tax benefits associated with share-based compensation.</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Debt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Senior Secured 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Main Event Acquisition on June 29, 2022, the Company entered into a senior secured credit agreement, which refinanced the $500.0 million existing revolving facility, extended the maturity date to June 29, 2027, and added a new term loan facility in the aggregate principal amount of $850.0 million, with a maturity date of June 29, 2029 (“Credit Facility”). The proceeds of the term loan, net of an original issue discount of $42.5 million, were used to pay the consideration for the Main Event Acquisition. The revolving credit facility can expire before the stated maturity date if the aggregate outstanding principal amount of the Notes, as defined below, exceeds $100.0 million ninety-one days prior to November 1, 2025. A portion of the revolving facility not to exceed $35.0 million is available for the issuance of letters of credit. The Credit Facility is unconditionally guaranteed by Dave &amp; Buster’s Holdings, Inc. (“D&amp;B Holdings”), and certain of Dave &amp; Buster’s, Inc.’s (“D&amp;B Inc.”) existing and future wholly owned material domestic subsidiaries serve as guarantors and/or co-borrowers.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4, 2024, we had letters of credit outstanding of $9.7 million and an unused commitment balance of $490.3 million under the revolving facility. The Credit Facility may be increased through incremental facilities, by an amount equal to the greater of (i) $400.0 million and (ii) 0.75 times trailing twelve-month Adjusted EBITDA, as defined in the Credit Facility, plus additional amounts subject to compliance with applicable leverage ratio and/or interest coverage ratio requirements.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original interest rates per annum applicable to SOFR term loans were based on a defined SOFR rate (with a floor of 0.50%) plus an additional credit spread adjustment of 0.10%, plus a margin of 5.00%. The original interest rates per annum applicable to SOFR revolving loans (the “Revolving Loans”) were based on a defined SOFR rate (with a floor of 0.50%) plus an additional credit spread adjustment of 0.10%, plus an initial margin of 4.75%. Unused commitments under the revolving facility incur initial commitment fees of 0.50%. After the Company’s third quarter of fiscal 2022, the margin for the Revolving Loans became subject to a pricing grid based on net total leverage, ranging from 4.25% to 4.75%, and commitment fees became subject to a pricing grid based on net total leverage, ranging from 0.30% to 0.50%.</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First Amendment to the Credit Facility (the "First Amendment")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D&amp;B Inc entered into the First Amendment with its banking syndicate, which amended the Credit Facility. The First Amendment provided for a new tranche of term loans in an aggregate principal amount of $900.0 million (the “2023 Term B Loans”) which consisted of $843.6 million of 2023 refinancing Term B Loans which refinanced in full the term loans outstanding immediately prior to the First Amendment effective date and $56.4 million of 2023 additional Term B Loans, which were used for general corporate and working capital purposes. The 2023 Term B Loans, which were issued with an original issue discount of 1%, reduced the interest rate margin applicable to term loans and Revolving Loans outstanding under the Credit Facility by 1.25% and otherwise have terms substantially the same as the terms of the existing Term B Loans under the June 29, 2022 Credit Facility. The 2023 Term B Loans could be prepaid at any time, without premium or penalty, but were subject to a prepayment premium of 1.00% (subject to certain exceptions) if certain refinancing of, or amendment to, reduce the all-in-yield of the 2023 Term B Loans was made at any time during the first six months after the First Amendment effective date.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First Amendment, the 2023 Term B Loans bore interest at Term SOFR (plus an additional credit spread adjustment of 0.10%) or ABR (each, as defined in the amended Credit Facility) plus (i) in the case of Term SOFR loans, 3.75% per annum and (ii) in the case of ABR loans, 2.75% per annum. The Revolving Loans bore interest subject to a pricing grid based on net total leverage, at Term SOFR (plus an additional credit spread adjustment of 0.10%) plus a spread ranging from 3.00% to 3.50% per annum or ABR plus a spread ranging from 2.00% to 2.50% per annum. Unused commitments under the revolving facility incur initial commitment fees of 0.30% to 0.50%.</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Second Amendment to the Credit Facility (the "Second Amendment")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19, 2024, D&amp;B Inc entered into the Second Facility with its banking syndicate, which amended the Credit Facility. The Second Amendment provides for a new tranche of term loans in an aggregate principal amount of $897.8 million (the “2024 Term B Loans”) which consist of $897.8 million of 2024 refinancing Term B Loans which refinanced in full the 2023 Term B Loans outstanding immediately prior to the Second Amendment effective date. The 2024 Term B Loans reduced the interest rate margin applicable to term loans and Revolving Loans outstanding under the Credit Facility by 0.50%, removed the previously existing 0.10% credit spread adjustment, provided for an additional 0.25% step-down if a rating of B1/B+ or higher from Moody’s and S&amp;P is achieved (which will step back up if such 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 subsequently not maintained), and otherwise have terms substantially the same as the terms of the existing 2023 Term B Loans under the First Amendment. The 2024 Term B Loans could be prepaid at any time, without premium or penalty, but were subject to a prepayment premium of 1.00% (subject to certain exceptions) if certain refinancing of, or amendment to, reduce the all-in-yield of the 2024 Term B Loans is made at any time during the first six months after the Second Amendment effective date.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2024 Term B Loans bear interest at Term SOFR or ABR (each, as defined in the amended Credit Facility) plus (i) in the case of Term SOFR loans, 3.25% per annum and (ii) in the case of ABR loans, 2.25% per annum. The Revolving Loans bear interest subject to a pricing grid based on net total leverage, at Term SOFR plus a spread ranging from 2.50% to 3.00% per annum or ABR plus a spread ranging from 1.50% to 2.00% per annum. Unused commitments under the revolving facility incur initial commitment fees of 0.30% to 0.50%.</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7.625% Senior Secured Notes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2020, the Company issued $550.0 million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 million outstanding principal amount of the Notes. The Company may elect to further redeem the Notes, in whole or in part, at certain specified redemption prices, plus accrued and unpaid interest, at the redemption date.</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recorded interest expense, net for the periods presented:</w:t>
      </w:r>
    </w:p>
    <w:tbl>
      <w:tblPr>
        <w:tblW w:w="8933" w:type="dxa"/>
        <w:jc w:val="left"/>
        <w:tblInd w:w="0" w:type="dxa"/>
        <w:tblLayout w:type="fixed"/>
        <w:tblCellMar>
          <w:top w:w="28" w:type="dxa"/>
          <w:left w:w="28" w:type="dxa"/>
          <w:bottom w:w="28" w:type="dxa"/>
          <w:right w:w="28" w:type="dxa"/>
        </w:tblCellMar>
      </w:tblPr>
      <w:tblGrid>
        <w:gridCol w:w="1473"/>
        <w:gridCol w:w="1291"/>
        <w:gridCol w:w="1301"/>
        <w:gridCol w:w="311"/>
        <w:gridCol w:w="908"/>
        <w:gridCol w:w="160"/>
        <w:gridCol w:w="109"/>
        <w:gridCol w:w="109"/>
        <w:gridCol w:w="109"/>
        <w:gridCol w:w="354"/>
        <w:gridCol w:w="858"/>
        <w:gridCol w:w="183"/>
        <w:gridCol w:w="109"/>
        <w:gridCol w:w="109"/>
        <w:gridCol w:w="109"/>
        <w:gridCol w:w="347"/>
        <w:gridCol w:w="840"/>
        <w:gridCol w:w="253"/>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debt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associated with swap agreements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issue discount and issuance cost</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expense on sale-leaseback </w:t>
            </w:r>
            <w:r>
              <w:rPr>
                <w:rFonts w:ascii="Times New Roman;sans-serif" w:hAnsi="Times New Roman;sans-serif"/>
                <w:b w:val="false"/>
                <w:color w:val="000000"/>
                <w:sz w:val="13"/>
              </w:rPr>
              <w:t>(1)</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See discussion of sale-leaseback transaction at Note 9 to the consolidated financial statements. </w:t>
      </w:r>
    </w:p>
    <w:p>
      <w:pPr>
        <w:pStyle w:val="TextBody"/>
        <w:bidi w:val="0"/>
        <w:spacing w:before="24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Credit Adjusted EBITDA and Net Total Leverage Ratio</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Credit Adjusted EBITDA, a non-GAAP measure, represents Adjusted EBITDA plus certain other items as defined in our Credit Facility. Other adjustments include (i) entertainment revenue deferrals, (ii) the cost of new projects, including store pre-opening costs, (iii) business optimization expenses and other restructuring costs, and (iv) other costs and adjustments as permitted by the debt agreements. We believe the presentation of Credit Adjusted EBITDA is appropriate as it provides additional information to investors about the calculation of, and compliance with, certain financial covenants in the Credit Facility. The following table sets forth a reconciliation of Net income to Credit Adjusted EBITDA for the periods shown:</w:t>
      </w:r>
    </w:p>
    <w:tbl>
      <w:tblPr>
        <w:tblW w:w="7289" w:type="dxa"/>
        <w:jc w:val="center"/>
        <w:tblInd w:w="0" w:type="dxa"/>
        <w:tblLayout w:type="fixed"/>
        <w:tblCellMar>
          <w:top w:w="28" w:type="dxa"/>
          <w:left w:w="28" w:type="dxa"/>
          <w:bottom w:w="28" w:type="dxa"/>
          <w:right w:w="28" w:type="dxa"/>
        </w:tblCellMar>
      </w:tblPr>
      <w:tblGrid>
        <w:gridCol w:w="1310"/>
        <w:gridCol w:w="1155"/>
        <w:gridCol w:w="1164"/>
        <w:gridCol w:w="792"/>
        <w:gridCol w:w="2246"/>
        <w:gridCol w:w="622"/>
      </w:tblGrid>
      <w:tr>
        <w:trPr/>
        <w:tc>
          <w:tcPr>
            <w:tcW w:w="13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Trailing Four Quarters Ended February 4, 2024</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back:</w:t>
            </w:r>
          </w:p>
        </w:tc>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refinancing</w:t>
            </w:r>
          </w:p>
        </w:tc>
        <w:tc>
          <w:tcPr>
            <w:tcW w:w="3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3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3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back:</w:t>
            </w:r>
          </w:p>
        </w:tc>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Share-based compensation </w:t>
            </w:r>
            <w:r>
              <w:rPr>
                <w:rFonts w:ascii="Times New Roman;sans-serif" w:hAnsi="Times New Roman;sans-serif"/>
                <w:b w:val="false"/>
                <w:color w:val="000000"/>
                <w:sz w:val="12"/>
              </w:rPr>
              <w:t>(1)</w:t>
            </w:r>
          </w:p>
        </w:tc>
        <w:tc>
          <w:tcPr>
            <w:tcW w:w="3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Transaction and integration costs </w:t>
            </w:r>
            <w:r>
              <w:rPr>
                <w:rFonts w:ascii="Times New Roman;sans-serif" w:hAnsi="Times New Roman;sans-serif"/>
                <w:b w:val="false"/>
                <w:color w:val="000000"/>
                <w:sz w:val="12"/>
              </w:rPr>
              <w:t>(2)</w:t>
            </w:r>
          </w:p>
        </w:tc>
        <w:tc>
          <w:tcPr>
            <w:tcW w:w="3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System implementation costs </w:t>
            </w:r>
            <w:r>
              <w:rPr>
                <w:rFonts w:ascii="Times New Roman;sans-serif" w:hAnsi="Times New Roman;sans-serif"/>
                <w:b w:val="false"/>
                <w:color w:val="000000"/>
                <w:sz w:val="12"/>
              </w:rPr>
              <w:t>(3)</w:t>
            </w:r>
          </w:p>
        </w:tc>
        <w:tc>
          <w:tcPr>
            <w:tcW w:w="3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Pre-opening costs </w:t>
            </w:r>
            <w:r>
              <w:rPr>
                <w:rFonts w:ascii="Times New Roman;sans-serif" w:hAnsi="Times New Roman;sans-serif"/>
                <w:b w:val="false"/>
                <w:color w:val="000000"/>
                <w:sz w:val="12"/>
              </w:rPr>
              <w:t>(4)</w:t>
            </w:r>
          </w:p>
        </w:tc>
        <w:tc>
          <w:tcPr>
            <w:tcW w:w="3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Entertainment revenue deferrals </w:t>
            </w:r>
            <w:r>
              <w:rPr>
                <w:rFonts w:ascii="Times New Roman;sans-serif" w:hAnsi="Times New Roman;sans-serif"/>
                <w:b w:val="false"/>
                <w:color w:val="000000"/>
                <w:sz w:val="12"/>
              </w:rPr>
              <w:t>(5)</w:t>
            </w:r>
          </w:p>
        </w:tc>
        <w:tc>
          <w:tcPr>
            <w:tcW w:w="3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Other items, net </w:t>
            </w:r>
            <w:r>
              <w:rPr>
                <w:rFonts w:ascii="Times New Roman;sans-serif" w:hAnsi="Times New Roman;sans-serif"/>
                <w:b w:val="false"/>
                <w:color w:val="000000"/>
                <w:sz w:val="12"/>
              </w:rPr>
              <w:t>(6)</w:t>
            </w:r>
          </w:p>
        </w:tc>
        <w:tc>
          <w:tcPr>
            <w:tcW w:w="3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Adjusted EBITDA, a non-GAAP measure</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577.1 </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Non-cash share-based compensation expense, net of forfeitures, recorded in general and administrative expenses on the consolidated comprehensive income statement.</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Transaction and integration costs related to the acquisition and integration of Main Event recorded in general and administrative expenses on the consolidated comprehensive income statement.</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System implementation costs represent expenses incurred related to the development and launch of new enterprise resource planning, human capital management and inventory software for our stores and store support teams. These charges are primarily recorded in general and administrative expenses on the consolidated comprehensive income statement.</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Represents costs incurred, primarily consisting of occupancy and payroll related expenses, associated with the opening of new stores. These costs are considered a "cost of new projects" as defined in our Credit Facility.</w:t>
      </w:r>
    </w:p>
    <w:p>
      <w:pPr>
        <w:pStyle w:val="TextBody"/>
        <w:bidi w:val="0"/>
        <w:spacing w:lineRule="auto" w:line="276" w:before="0" w:after="0"/>
        <w:ind w:left="0" w:right="0" w:hanging="27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Represents non-cash adjustments to our deferred entertainment revenue liabilities. These costs are considered an "other non-cash charge" as defined in our Credit Facility.</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(6)</w:t>
      </w:r>
      <w:r>
        <w:rPr>
          <w:rFonts w:ascii="Times New Roman;sans-serif" w:hAnsi="Times New Roman;sans-serif"/>
          <w:b w:val="false"/>
          <w:color w:val="000000"/>
          <w:sz w:val="18"/>
        </w:rPr>
        <w:t>Includes one-time, third-party consulting fees that are not part of our ongoing operations, impairment expenses, and (gain) loss on property and equipment transactions.</w:t>
      </w:r>
    </w:p>
    <w:p>
      <w:pPr>
        <w:pStyle w:val="TextBody"/>
        <w:bidi w:val="0"/>
        <w:spacing w:before="0" w:after="0"/>
        <w:ind w:left="0" w:right="0" w:firstLine="9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calculation of Net Total Leverage Ratio, as defined in our Credit Facility, for the period shown: </w:t>
      </w:r>
    </w:p>
    <w:tbl>
      <w:tblPr>
        <w:tblW w:w="7424" w:type="dxa"/>
        <w:jc w:val="center"/>
        <w:tblInd w:w="0" w:type="dxa"/>
        <w:tblLayout w:type="fixed"/>
        <w:tblCellMar>
          <w:top w:w="28" w:type="dxa"/>
          <w:left w:w="28" w:type="dxa"/>
          <w:bottom w:w="28" w:type="dxa"/>
          <w:right w:w="28" w:type="dxa"/>
        </w:tblCellMar>
      </w:tblPr>
      <w:tblGrid>
        <w:gridCol w:w="902"/>
        <w:gridCol w:w="791"/>
        <w:gridCol w:w="797"/>
        <w:gridCol w:w="857"/>
        <w:gridCol w:w="3023"/>
        <w:gridCol w:w="1054"/>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Trailing Four Quarters Ended February 4, 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Adjusted EBITDA (a)</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577.1 </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Total debt</w:t>
            </w:r>
            <w:r>
              <w:rPr>
                <w:color w:val="000000"/>
              </w:rPr>
              <w:t xml:space="preserve"> </w:t>
            </w:r>
            <w:r>
              <w:rPr>
                <w:rFonts w:ascii="Times New Roman;sans-serif" w:hAnsi="Times New Roman;sans-serif"/>
                <w:b w:val="false"/>
                <w:color w:val="000000"/>
                <w:sz w:val="12"/>
              </w:rPr>
              <w:t>(1)</w:t>
            </w:r>
          </w:p>
        </w:tc>
        <w:tc>
          <w:tcPr>
            <w:tcW w:w="8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1,293.0 </w:t>
            </w:r>
          </w:p>
        </w:tc>
        <w:tc>
          <w:tcPr>
            <w:tcW w:w="10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Cash and cash equivalents</w:t>
            </w:r>
          </w:p>
        </w:tc>
        <w:tc>
          <w:tcPr>
            <w:tcW w:w="3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10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Outstanding letters of credit</w:t>
            </w:r>
          </w:p>
        </w:tc>
        <w:tc>
          <w:tcPr>
            <w:tcW w:w="3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debt (b)</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1,265.4 </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Total Leverage Ratio (b / a)</w:t>
            </w:r>
          </w:p>
        </w:tc>
        <w:tc>
          <w:tcPr>
            <w:tcW w:w="3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Amount represents the face amount of debt outstanding, net of unamortized debt issuance costs and debt discount.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Dividends and Share Repurchases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dividends declared in fiscal 2023 or fiscal 2022.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2023, our Board approved a share repurchase program with an authorization limit of $100.0 million. On April 19, 2023, our Board approved an increase to the authorization limit of $200.0 million for a total of $300.0 million authorized under the program. On September 4, 2023 our Board approved an increase to the authorization limit of $100.0 million for a total of $400.0 million authorized under the program. During fiscal 2023, the Company repurchased 8.49 million shares at an average of $35.35 per share. The remaining dollar value of shares that may be repurchased under the program is $100.0 million as of February 4, 2024.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decisions to pay cash dividends or repurchase shares continue to be at the discretion of the Board and will be dependent on our operating performance, financial condition, capital expenditure requirements and other factors that the Board considers relevant.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Cash Flow Summary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ended the year with $527.6 million of liquidity, which included $37.3 million in cash and cash equivalents and $490.3 million available under its $500.0 million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available borrowings under our revolving credit facility and expected payments from landlords should be sufficient not only for our operating requirements but also to enable us, in the aggregate, to finance our capital allocation strategy, including capital expenditures, through at least the next twelve months.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Operating Activities </w:t>
      </w:r>
      <w:r>
        <w:rPr>
          <w:color w:val="000000"/>
        </w:rPr>
        <w:t xml:space="preserve">— </w:t>
      </w:r>
      <w:r>
        <w:rPr>
          <w:rFonts w:ascii="Times New Roman;sans-serif" w:hAnsi="Times New Roman;sans-serif"/>
          <w:b w:val="false"/>
          <w:color w:val="000000"/>
          <w:sz w:val="20"/>
        </w:rPr>
        <w:t xml:space="preserve">Cash flow from operations typically provides us with a significant source of liquidity. Our operating cash flows result primarily from cash received from our customers, offset by cash payments we make for products and services, team member compensation, operations, occupancy, and other operating costs. Cash from operating activities is also subject to changes in working capital. Working capital at any specific point in time is subject to many variables, including seasonality, the timing of cash receipts and payments, and vendor payment terms.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from operating activities decreased to $364.2 million in fiscal 2023 compared to $444.4 million in fiscal 2022 primarily due to cash income tax refunds received in fiscal 2022 and changes in working capital due to timing of accruals and payments of expenses.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Investing Activities </w:t>
      </w:r>
      <w:r>
        <w:rPr>
          <w:color w:val="000000"/>
        </w:rPr>
        <w:t xml:space="preserve">— </w:t>
      </w:r>
      <w:r>
        <w:rPr>
          <w:rFonts w:ascii="Times New Roman;sans-serif" w:hAnsi="Times New Roman;sans-serif"/>
          <w:b w:val="false"/>
          <w:color w:val="000000"/>
          <w:sz w:val="20"/>
        </w:rPr>
        <w:t xml:space="preserve">Cash flow from investing activities primarily reflects capital expenditures. The Company spent $330.2 million in fiscal 2023 compared to $234.2 million in fiscal 2022 for new store construction and operating improvement initiatives, game refreshment and maintenance capital. In addition to these capital expenditures, the Company completed the Main Event Acquisition in fiscal 2022 for $818.7 million. See further discussion of the Main Event Acquisition at Note 2 to the Consolidated Financial Statements.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Financing Activities </w:t>
      </w:r>
      <w:r>
        <w:rPr>
          <w:color w:val="000000"/>
        </w:rPr>
        <w:t xml:space="preserve">— </w:t>
      </w:r>
      <w:r>
        <w:rPr>
          <w:rFonts w:ascii="Times New Roman;sans-serif" w:hAnsi="Times New Roman;sans-serif"/>
          <w:b w:val="false"/>
          <w:color w:val="000000"/>
          <w:sz w:val="20"/>
        </w:rPr>
        <w:t xml:space="preserve">Cash flow used in financing activities in fiscal 2023 was $179.4 million primarily attributable to share repurchases of $300.0 million and debt issuance and discount costs incurred, partially offset by proceeds from debt refinancing and borrowings, net of debt repayments, and proceeds from a sale-leaseback transaction. Cash flow from financing activities in fiscal 2022 was $762.9 million primarily attributable to proceeds from debt refinancing and borrowings, net of debt repayments, partially offset by share repurchases, and debt issuance costs incurred.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and Other Commitments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obligations as of February 4,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Long-term debt obligations, including scheduled interest payments (Refer to Note 7 of the Notes to the Consolidated Financial Statements)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Future minimum lease obligations under non-cancelable leases (Refer to Note 9 of the Notes to the Consolidated Financial Statements)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Software as a service subscription commitments of approximately $8.0 million to be paid in annual installments of approximately $2.0 million through fiscal 2028.</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Approximately $9.0 million of minimum food purchase commitments through the end of fiscal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discussion and analysis of our financial condition and results of operations is based upon our consolidated financial statements. The preparation of financial statements in conformity with GAAP requires us to make estimates and judgments that affect the reported amounts of assets, liabilities, revenue and expenses, and disclosures of contingent assets and liabilities.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significant accounting policies are described in Note 1 of Notes to Consolidated Financial Statements. Critical accounting policies are those that we believe are most important to portraying our financial condition and results of operations and require the greatest amount of judgment by management. Judgment or uncertainties regarding the application of these policies may result in materially different amounts being reported under different conditions or using different assumptions. We consider the following policies to be the most critical in understanding the judgment that is involved in preparing the consolidated financial statements.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Accounting for entertainment operations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Entertainment revenues are primarily recognized upon utilization of game play credits on gaming cards purchased and used by customers to activate video and redemption games. Redemption games allow customers to earn tickets, which may be redeemed for prizes. We have deferred a portion of entertainment revenues for the estimated unfulfilled performance obligations based on an estimated rate of future use by customers of unused game play credits and the material right provided to customers to redeem tickets in the future for prizes. We estimate the amount of deferred revenue based upon credits and tickets remaining on gaming cards, historic game play credit and ticket utilization patterns and estimates of the standalone selling prices of game play credits and the customer material right. The standalone selling price of the customer material right is estimated using an equivalent chip cost plus margin approach. For purposes of recognizing revenue, the total amount collected from each customer is then allocated between the two performance obligations based on the relative standalone selling price of each obligation.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Accounting for acquisitions. </w:t>
      </w:r>
      <w:r>
        <w:rPr>
          <w:rFonts w:ascii="Times New Roman;sans-serif" w:hAnsi="Times New Roman;sans-serif"/>
          <w:b w:val="false"/>
          <w:color w:val="000000"/>
          <w:sz w:val="20"/>
        </w:rPr>
        <w:t>The Company accounts for acquisitions under the acquisition method of accounting, which requires that the acquired assets and liabilities, including contingencies, be recorded at fair value determined on the acquisition date and changes thereafter reflected in income. For significant acquisitions, the Company obtains independent third-party valuation studies for certain of the assets acquired and liabilities assumed to assist the Company in determining fair value. The estimation of the fair values of the assets acquired and liabilities assumed involves a number of estimates and assumptions that could differ materially from the actual amounts realized. The Company provides assumptions, including both quantitative and qualitative information, about the specified asset or liability to the third-party valuation firms so they can assist in determining the fair value of assets and liabilities acquired. The Company then records acquired assets and liabilities at their estimated fair value based on the information provided. The third-party valuation firms are supervised by Company personnel who are knowledgeable about valuations and fair value. The Company evaluates the appropriateness of the assumptions and valuation methodologies utilized by the third-party valuation firms.</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Accounting for impairment of goodwill and tradenames. </w:t>
      </w:r>
      <w:r>
        <w:rPr>
          <w:rFonts w:ascii="Times New Roman;sans-serif" w:hAnsi="Times New Roman;sans-serif"/>
          <w:b w:val="false"/>
          <w:color w:val="000000"/>
          <w:sz w:val="20"/>
        </w:rPr>
        <w:t>We assess the recoverability of goodwill and indefinite-lived tradename assets related to our reporting units on an annual basis or more often if circumstances or events indicate impairment may exist. We may elect to perform a qualitative assessment to determine whether it is more likely than not that a reporting unit is impaired. In considering the qualitative approach, we evaluate factors including, but not limited to, macro-economic conditions, market and industry conditions, commodity cost fluctuations, competitive environment, share price performance, results of prior impairment tests, operational stability and the overall financial performance of the reporting units.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 qualitative assessment is not performed or if we determine that it is not more likely than not that the fair value of the reporting unit exceeds the carrying value, the fair value of the reporting unit is calculated. We determine fair value based on a combination of market-based values and discounted projected future operating cash flows of the reporting units using a risk adjusted discount rate that is commensurate with the risk inherent in our current business model. We make assumptions regarding future revenues and cash flows, expected growth rates, terminal values and other factors which could significantly impact the fair value calculations. The carrying value of the reporting unit is compared to its estimated fair value, with any excess of carrying value over fair value deemed to be an indicator of impairment. In the event that these assumptions change in the future, we may be required to record impairment charges related to goodwill.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our Dave &amp; Buster's and Main Event brands to be both our operating segments and reporting units. The carrying value of goodwill as of February 4, 2024 was $742.5 million, of which $272.6 million related to the Dave &amp; Buster's operating segment and $469.9 million related to the goodwill added as a result of the Main Event Acquisition. Additionally, the carrying value of tradenames as of February 4, 2024 was $178.2 million, of which $79.0 million related to the Dave &amp; Buster's operating segment and $99.2 million related to the tradename acquired as a result of the Main Event Acquisition. We performed our annual impairment test in the fourth quarter of fiscal 2023 by utilizing the qualitative approach and determined that there were no events or circumstances to indicate that it was more likely than not that the fair value of our reporting units, or the Dave &amp; Buster's and Main Event tradenames, was less than their carrying values.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ind w:left="0" w:right="0" w:firstLine="540"/>
        <w:jc w:val="both"/>
        <w:rPr/>
      </w:pPr>
      <w:r>
        <w:rPr>
          <w:rFonts w:ascii="Times New Roman;sans-serif" w:hAnsi="Times New Roman;sans-serif"/>
          <w:b/>
          <w:i/>
          <w:color w:val="000000"/>
          <w:sz w:val="20"/>
        </w:rPr>
        <w:t>Accounting for impairment of long-lived assets.</w:t>
      </w:r>
      <w:r>
        <w:rPr>
          <w:color w:val="000000"/>
        </w:rPr>
        <w:t xml:space="preserve"> </w:t>
      </w:r>
      <w:r>
        <w:rPr>
          <w:rFonts w:ascii="Times New Roman;sans-serif" w:hAnsi="Times New Roman;sans-serif"/>
          <w:b w:val="false"/>
          <w:color w:val="000000"/>
          <w:sz w:val="20"/>
        </w:rPr>
        <w:t xml:space="preserve">We assess the potential impairment of our long-lived assets related to each store, including property and equipment and right-of-use assets, on an annual basis or whenever events or changes in circumstances indicate that the carrying values of these assets may not be recoverable.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The more significant inputs used in determining our estimate of the projected undiscounted cash flows include future revenue growth and projected margins as well as the estimate of the remaining useful life of the assets. If the carrying amount is not recoverable, we record an impairment charge, if any, for the excess of the carrying amount over the fair value, which is estimated based on discounted projected future operating cash flows of the store over the remaining service life using a risk adjusted discount rate that is commensurate with the inherent risk.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 to the Consolidated Financial Statements for discussion of new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Disclosures about Market Risk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SOFR as the alternative base rate for outstanding borrowings on the Credit Facility, which is based on variable rates. As of February 4, 2024, there was no balance outstanding on our revolving credit facility and $897.8 million was outstanding under the term loan facility. The impact on our annual results of operations of a hypothetical one-point interest rate change on the outstanding balance of credit facility as of February 4, 2024 would be approximately $9.0 million.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consolidated financial statements required to be filed herein are set forth in Part IV, Item 15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maintain disclosure controls and procedures (as defined in Rule 13a-15(e) and 15d-15(e) under the Exchange Act) that are designed to ensure that information required to be disclosed in our Exchange Act reports is recorded, processed, summarized and reported within the time periods specified in the SEC’s rules and forms, and that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120" w:after="283"/>
        <w:jc w:val="both"/>
        <w:rPr/>
      </w:pPr>
      <w:r>
        <w:rPr>
          <w:rFonts w:ascii="Times New Roman;sans-serif" w:hAnsi="Times New Roman;sans-serif"/>
          <w:b w:val="false"/>
          <w:color w:val="000000"/>
          <w:sz w:val="20"/>
          <w:shd w:fill="FFFFFF" w:val="clear"/>
        </w:rPr>
        <w:t>information is accumulated and communicated to management, including the CEO and Chief Financial Officer (</w:t>
      </w:r>
      <w:r>
        <w:rPr>
          <w:color w:val="000000"/>
        </w:rPr>
        <w:t>“</w:t>
      </w:r>
      <w:r>
        <w:rPr>
          <w:rFonts w:ascii="Times New Roman;sans-serif" w:hAnsi="Times New Roman;sans-serif"/>
          <w:b w:val="false"/>
          <w:color w:val="000000"/>
          <w:sz w:val="20"/>
        </w:rPr>
        <w:t>CFO”</w:t>
      </w:r>
      <w:r>
        <w:rPr>
          <w:rFonts w:ascii="Times New Roman;sans-serif" w:hAnsi="Times New Roman;sans-serif"/>
          <w:b w:val="false"/>
          <w:color w:val="000000"/>
          <w:sz w:val="20"/>
          <w:shd w:fill="FFFFFF" w:val="clear"/>
        </w:rPr>
        <w:t>), as appropriate, to allow timely decisions regarding required disclosure.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supervision and with the participation of our management, including the CEO and CFO, we have evaluated the effectiveness of our disclosure controls and procedures pursuant to Rules 13a-15 and 15d-15 promulgated under the Securities and Exchange Act of 1934, as amended, as of the end of the period covered by this report. Based on that evaluation, the CEO and CFO have concluded that these disclosure controls and procedures are effective.</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Management’s Report on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including our CEO and CFO, is responsible for establishing and maintaining adequate internal control over financial reporting as defined in Rule 13a-15(f) under the Exchange Act. Our system of internal control over financial reporting was designed to provide reasonable assurance regarding the preparation and fair presentation of published financial statements in accordance with GAAP. All internal control systems, no matter how well designed, have inherent limitations. Therefore, even those systems determined to be effective can provide only reasonable assurance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Our management conducted an evaluation of the effectiveness of our internal control over financial reporting as of February 4, 2024, based on the framework in </w:t>
      </w:r>
      <w:r>
        <w:rPr>
          <w:rFonts w:ascii="Times New Roman;sans-serif" w:hAnsi="Times New Roman;sans-serif"/>
          <w:b w:val="false"/>
          <w:i/>
          <w:color w:val="000000"/>
          <w:sz w:val="20"/>
          <w:shd w:fill="FFFFFF" w:val="clear"/>
        </w:rPr>
        <w:t>Internal Control — Integrated Framework (2013)</w:t>
      </w:r>
      <w:r>
        <w:rPr>
          <w:rFonts w:ascii="Times New Roman;sans-serif" w:hAnsi="Times New Roman;sans-serif"/>
          <w:b w:val="false"/>
          <w:color w:val="000000"/>
          <w:sz w:val="20"/>
          <w:shd w:fill="FFFFFF" w:val="clear"/>
        </w:rPr>
        <w:t>, issued by the Committee of Sponsoring Organizations of the Treadway Commission. This evaluation included documenting, evaluating, and testing the design and operating effectiveness of our internal control over financial reporting. Based on this evaluation, management concluded that our internal control over financial reporting was effective as of February 4, 2024.</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independent registered public accounting firm, KPMG LLP, audited the effectiveness of our internal control over financial reporting as of February 4, 2024, as stated in their report which is included herein.</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Main Event Acquisition (discussed further in Note 2 to our consolidated financial statements) had a material impact on internal control over financial reporting in fiscal 2023. The Company included the internal controls for Main Event in our evaluation of internal control over financial reporting as of </w:t>
      </w:r>
      <w:r>
        <w:rPr>
          <w:rFonts w:ascii="Times New Roman;sans-serif" w:hAnsi="Times New Roman;sans-serif"/>
          <w:b w:val="false"/>
          <w:color w:val="000000"/>
          <w:sz w:val="20"/>
          <w:shd w:fill="FFFFFF" w:val="clear"/>
        </w:rPr>
        <w:t>February 4, 2024</w:t>
      </w:r>
      <w:r>
        <w:rPr>
          <w:rFonts w:ascii="Times New Roman;sans-serif" w:hAnsi="Times New Roman;sans-serif"/>
          <w:b w:val="false"/>
          <w:color w:val="000000"/>
          <w:sz w:val="20"/>
        </w:rPr>
        <w:t xml:space="preserve">. Additionally, the Company implemented new human resources and payroll information systems (“HRIS”) during the year ended </w:t>
      </w:r>
      <w:r>
        <w:rPr>
          <w:rFonts w:ascii="Times New Roman;sans-serif" w:hAnsi="Times New Roman;sans-serif"/>
          <w:b w:val="false"/>
          <w:color w:val="000000"/>
          <w:sz w:val="20"/>
          <w:shd w:fill="FFFFFF" w:val="clear"/>
        </w:rPr>
        <w:t>February 4, 2024</w:t>
      </w:r>
      <w:r>
        <w:rPr>
          <w:rFonts w:ascii="Times New Roman;sans-serif" w:hAnsi="Times New Roman;sans-serif"/>
          <w:b w:val="false"/>
          <w:color w:val="000000"/>
          <w:sz w:val="20"/>
        </w:rPr>
        <w:t xml:space="preserve">, which had a material impact on internal control over financial reporting. The Company included the new HRIS in its evaluation of internal control over financial reporting as of </w:t>
      </w:r>
      <w:r>
        <w:rPr>
          <w:rFonts w:ascii="Times New Roman;sans-serif" w:hAnsi="Times New Roman;sans-serif"/>
          <w:b w:val="false"/>
          <w:color w:val="000000"/>
          <w:sz w:val="20"/>
          <w:shd w:fill="FFFFFF" w:val="clear"/>
        </w:rPr>
        <w:t xml:space="preserve">February 4, 2024. There have been no other changes in our internal control over financial reporting that occurred during fiscal 2023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10.    Directors, Executive Officers and Corporate Governance </w:t>
      </w:r>
    </w:p>
    <w:p>
      <w:pPr>
        <w:pStyle w:val="TextBody"/>
        <w:bidi w:val="0"/>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10 is incorporated herein by reference to the sections entitled “Proposal No. 1—Election of Directors”, “Directors and Corporate Governance”, “Executive Officers” and “Executive Compensation” in the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11.    Executive Compensation</w:t>
      </w:r>
      <w:r>
        <w:rPr>
          <w:color w:val="000000"/>
        </w:rPr>
        <w:t xml:space="preserve"> </w:t>
      </w:r>
    </w:p>
    <w:p>
      <w:pPr>
        <w:pStyle w:val="TextBody"/>
        <w:bidi w:val="0"/>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11 is incorporated herein by reference to the sections entitled “Proposal No. 1—Election of Directors”, “Directors and Corporate Governance” and “Executive Compensation” in the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12 is incorporated herein by reference to the sections entitled “Executive Compensation” and “Security Ownership of Certain Beneficial Owners and Management” in the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Transactions, and Director Independence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13 is incorporated herein by reference to the sections entitled “Directors and Corporate Governance” and “Transactions with Related Persons” in the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14 is incorporated herein by reference to the section entitled “Proposal No. 2 – Ratification of Appointment of Independent Registered Public Accounting Firm” in the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and Financial Statement Schedules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See Pages F-1 to F-</w:t>
      </w:r>
      <w:hyperlink w:anchor="ie093871c31734e59b737dd2f2034985a_199">
        <w:r>
          <w:rPr>
            <w:rStyle w:val="InternetLink"/>
            <w:rFonts w:ascii="Times New Roman;sans-serif" w:hAnsi="Times New Roman;sans-serif"/>
            <w:b w:val="false"/>
            <w:strike w:val="false"/>
            <w:dstrike w:val="false"/>
            <w:color w:val="000000"/>
            <w:sz w:val="20"/>
            <w:u w:val="none"/>
            <w:effect w:val="none"/>
          </w:rPr>
          <w:t>26</w:t>
        </w:r>
      </w:hyperlink>
      <w:r>
        <w:rPr>
          <w:rFonts w:ascii="Times New Roman;sans-serif" w:hAnsi="Times New Roman;sans-serif"/>
          <w:b w:val="false"/>
          <w:color w:val="000000"/>
          <w:sz w:val="20"/>
        </w:rPr>
        <w:t xml:space="preserve"> of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(2)Financial Statement Schedules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INDEX OF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4"/>
        <w:gridCol w:w="2644"/>
        <w:gridCol w:w="377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ans-serif" w:hAnsi="Times New Roman;sans-serif"/>
                  <w:b w:val="false"/>
                  <w:color w:val="000080"/>
                  <w:sz w:val="20"/>
                  <w:u w:val="single"/>
                </w:rPr>
                <w:t>Fourth Amended and Restated Certificate of Incorporation of the Registrant (incorporated by reference to</w:t>
              </w:r>
            </w:hyperlink>
            <w:hyperlink r:id="rId4">
              <w:r>
                <w:rPr>
                  <w:rStyle w:val="InternetLink"/>
                  <w:rFonts w:ascii="Times New Roman;sans-serif" w:hAnsi="Times New Roman;sans-serif"/>
                  <w:b w:val="false"/>
                  <w:color w:val="000080"/>
                  <w:sz w:val="20"/>
                  <w:u w:val="single"/>
                </w:rPr>
                <w:t xml:space="preserve"> </w:t>
              </w:r>
            </w:hyperlink>
            <w:hyperlink r:id="rId5">
              <w:r>
                <w:rPr>
                  <w:rStyle w:val="InternetLink"/>
                  <w:rFonts w:ascii="Times New Roman;sans-serif" w:hAnsi="Times New Roman;sans-serif"/>
                  <w:b w:val="false"/>
                  <w:color w:val="000080"/>
                  <w:sz w:val="20"/>
                  <w:u w:val="single"/>
                </w:rPr>
                <w:t>Exhibit 3.1 to the Current Report filed on Form 8-K by Dave &amp; Buster’s Entertainment, Inc. on June 12, 2017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ans-serif" w:hAnsi="Times New Roman;sans-serif"/>
                  <w:b w:val="false"/>
                  <w:color w:val="0000EE"/>
                  <w:sz w:val="20"/>
                  <w:u w:val="single"/>
                </w:rPr>
                <w:t>Third Amended and Restated Bylaws of the Registrant (incorporated by reference to Exhibit 3.2 to the Current Report filed on Form 8-K by Dave &amp; Buster’s Entertainment, Inc. on June 12, 2017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EE"/>
                  <w:sz w:val="20"/>
                  <w:u w:val="single"/>
                </w:rPr>
                <w:t>Form of Stock Certificate (incorporated by reference to Exhibit 4.1 to the Amendment 1 to the Form S-1 Registration Statement filed by Dave &amp; Buster’s Entertainment, Inc. on September 24, 2014 (No. 333-198641))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EE"/>
                  <w:sz w:val="20"/>
                  <w:u w:val="single"/>
                </w:rPr>
                <w:t>Amended and Restated Description of the Registrant’s Securities Registered Pursuant to Section 12 of the Securities Exchange Act of 1934 (incorporated by reference to Exhibit 4.3 to the Quarterly Report on Form 10-Q filed on June 10, 2021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ans-serif" w:hAnsi="Times New Roman;sans-serif"/>
                  <w:b w:val="false"/>
                  <w:color w:val="0000EE"/>
                  <w:sz w:val="20"/>
                  <w:u w:val="single"/>
                </w:rPr>
                <w:t>Indenture dated as of October 27, 2020, by and among Dave &amp; Buster’s, Inc., the guarantors party thereto and U.S. Bank, National Association, as trustee and collateral agent (incorporated by reference to Exhibit 4.1 of the Registrant’s Current Report on Form 8-K filed on October 27, 2020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EE"/>
                  <w:sz w:val="20"/>
                  <w:u w:val="single"/>
                </w:rPr>
                <w:t>Form of Note (incorporated by reference to Appendix A of Exhibit 4.1 of the Registrant’s Current Report on Form 8-K filed on October 27, 2020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ans-serif" w:hAnsi="Times New Roman;sans-serif"/>
                  <w:b w:val="false"/>
                  <w:color w:val="0000EE"/>
                  <w:sz w:val="20"/>
                  <w:u w:val="single"/>
                </w:rPr>
                <w:t>Form of Employment Agreement by and among Dave &amp; Buster’s Management Corporation, Dave &amp; Buster’s Entertainment, Inc., and the various executive officers of Dave &amp; Buster’s Entertainment, Inc. (incorporated by reference to Exhibit 10.1 to the Form S-1 Registration Statement filed by Dave &amp; Buster’s Entertainment, Inc. on September 18, 2015 (No. 333-207031))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ans-serif" w:hAnsi="Times New Roman;sans-serif"/>
                <w:color w:val="0000EE"/>
              </w:rPr>
              <w:instrText xml:space="preserve"> HYPERLINK "http://www.sec.gov/Archives/edgar/data/1525769/000119312520141613/d831760ddef14a.htm" \l "toc831760_50"</w:instrText>
            </w:r>
            <w:r>
              <w:rPr>
                <w:rStyle w:val="InternetLink"/>
                <w:sz w:val="20"/>
                <w:u w:val="single"/>
                <w:b w:val="false"/>
                <w:rFonts w:ascii="Times New Roman;sans-serif" w:hAnsi="Times New Roman;sans-serif"/>
                <w:color w:val="0000EE"/>
              </w:rPr>
              <w:fldChar w:fldCharType="separate"/>
            </w:r>
            <w:r>
              <w:rPr>
                <w:rStyle w:val="InternetLink"/>
                <w:rFonts w:ascii="Times New Roman;sans-serif" w:hAnsi="Times New Roman;sans-serif"/>
                <w:b w:val="false"/>
                <w:color w:val="0000EE"/>
                <w:sz w:val="20"/>
                <w:u w:val="single"/>
              </w:rPr>
              <w:t>Dave &amp; Buster’s Entertainment, Inc. Amended and Restated 2014 Omnibus Incentive Plan (incorporated by reference to Appendix A to the Proxy Statement filed by Dave &amp; Buster’s Entertainment, Inc. on May 13, 2020 (No. 001-35664))</w:t>
            </w:r>
            <w:r>
              <w:rPr>
                <w:rStyle w:val="InternetLink"/>
                <w:sz w:val="20"/>
                <w:u w:val="single"/>
                <w:b w:val="false"/>
                <w:rFonts w:ascii="Times New Roman;sans-serif" w:hAnsi="Times New Roman;sans-serif"/>
                <w:color w:val="0000EE"/>
              </w:rPr>
              <w:fldChar w:fldCharType="end"/>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ans-serif" w:hAnsi="Times New Roman;sans-serif"/>
                  <w:b w:val="false"/>
                  <w:color w:val="0000EE"/>
                  <w:sz w:val="20"/>
                  <w:u w:val="single"/>
                </w:rPr>
                <w:t>Form of Nonqualified Stock Option Award Agreement, by and between Dave &amp; Buster’s Entertainment, Inc. and various Directors of the Company (incorporated by reference to Exhibit 10.7 to the Form S-1 Registration Statement filed by Dave &amp; Buster’s Entertainment, Inc. on September 18, 2015 (No. 333-207031))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ans-serif" w:hAnsi="Times New Roman;sans-serif"/>
                  <w:b w:val="false"/>
                  <w:color w:val="0000EE"/>
                  <w:sz w:val="20"/>
                  <w:u w:val="single"/>
                </w:rPr>
                <w:t>Form of Nonqualified Stock Option Award Agreement, by and between Dave &amp; Buster’s Entertainment, Inc. and various employees of the Company (incorporated by reference to Exhibit 10.8 to the Form S-1 Registration Statement filed by Dave &amp; Buster’s Entertainment, Inc. on September 18, 2015 (No. 333-207031))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ans-serif" w:hAnsi="Times New Roman;sans-serif"/>
                  <w:b w:val="false"/>
                  <w:color w:val="0000EE"/>
                  <w:sz w:val="20"/>
                  <w:u w:val="single"/>
                </w:rPr>
                <w:t>Form of Restricted Stock Award Agreement, by and between Dave &amp; Buster’s Entertainment, Inc. and various Directors of the Company (incorporated by reference to Exhibit 10.9 to the Form S-1 Registration Statement filed by Dave &amp; Buster’s Entertainment, Inc. on September 18, 2015 (No. 333-207031))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ans-serif" w:hAnsi="Times New Roman;sans-serif"/>
                  <w:b w:val="false"/>
                  <w:color w:val="0000EE"/>
                  <w:sz w:val="20"/>
                  <w:u w:val="single"/>
                </w:rPr>
                <w:t>Form of Restricted Stock Unit and Cash Award Agreement, by and between Dave &amp; Buster’s Entertainment, Inc. and various employees of the Company (incorporated by reference to Exhibit 10.10 to the Form S-1 Registration Statement filed by Dave &amp; Buster’s Entertainment, Inc. on September 18, 2015 (No. 333-207031))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ans-serif" w:hAnsi="Times New Roman;sans-serif"/>
                  <w:b w:val="false"/>
                  <w:color w:val="0000EE"/>
                  <w:sz w:val="20"/>
                  <w:u w:val="single"/>
                </w:rPr>
                <w:t>Dave &amp; Buster’s Select Executive Retirement Plan as amended and restated by Dave &amp; Buster’s Management Corporation, Inc., effective as of January 1, 2017, (incorporated by reference to Exhibit 10.1 to the quarterly report on Form 10-Q filed by Dave &amp; Buster’s Entertainment, Inc. on December 10, 2020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6"/>
        <w:gridCol w:w="2646"/>
        <w:gridCol w:w="377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ans-serif" w:hAnsi="Times New Roman;sans-serif"/>
                  <w:b w:val="false"/>
                  <w:color w:val="0000EE"/>
                  <w:sz w:val="20"/>
                  <w:u w:val="single"/>
                </w:rPr>
                <w:t>Form of Indemnification Agreement for directors, executive officers and key employees (incorporated by reference to Exhibit 10.12 to the Amendment 1 to the Form S-1 Registration Statement filed by Dave &amp; Buster’s Entertainment, Inc. on September 24, 2014 (No. 333-198641))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ans-serif" w:hAnsi="Times New Roman;sans-serif"/>
                  <w:b w:val="false"/>
                  <w:color w:val="0000EE"/>
                  <w:sz w:val="20"/>
                  <w:u w:val="single"/>
                </w:rPr>
                <w:t>Form of Nonqualified Stock Option Award Agreement, by and between Dave &amp; Buster’s Entertainment, Inc. and various employees of the Company (incorporated by reference to Exhibit 10.1 to the quarterly report on Form 10-Q filed by Dave &amp; Buster’s Entertainment, Inc. on June 11, 2019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ans-serif" w:hAnsi="Times New Roman;sans-serif"/>
                  <w:b w:val="false"/>
                  <w:color w:val="0000EE"/>
                  <w:sz w:val="20"/>
                  <w:u w:val="single"/>
                </w:rPr>
                <w:t>Form of Restricted Stock Unit Award Agreement, by and between Dave &amp; Buster’s Entertainment, Inc. and various Directors of the Company (incorporated by reference to Exhibit 10.2 to the quarterly report on Form 10-Q filed by Dave &amp; Buster’s Entertainment, Inc. on June 11, 2019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ans-serif" w:hAnsi="Times New Roman;sans-serif"/>
                  <w:b w:val="false"/>
                  <w:color w:val="0000EE"/>
                  <w:sz w:val="20"/>
                  <w:u w:val="single"/>
                </w:rPr>
                <w:t>Form of Restricted Stock Unit and Cash Award Agreement, by and between Dave &amp; Buster’s Entertainment, Inc. and various employees of the Company (incorporated by reference to Exhibit 10.3 to the quarterly report on Form 10-Q filed by Dave &amp; Buster’s Entertainment, Inc. on June 11, 2019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ans-serif" w:hAnsi="Times New Roman;sans-serif"/>
                  <w:b w:val="false"/>
                  <w:color w:val="0000EE"/>
                  <w:sz w:val="20"/>
                  <w:u w:val="single"/>
                </w:rPr>
                <w:t>Form of Restricted Stock Unit Agreement, by and between Dave &amp; Buster’s Entertainment, Inc. and various employees of the Company (incorporated by reference to Exhibit 10.4 to the quarterly report on Form 10-Q filed by Dave &amp; Buster’s Entertainment, Inc. on June 11, 2019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ans-serif" w:hAnsi="Times New Roman;sans-serif"/>
                  <w:b w:val="false"/>
                  <w:color w:val="0000EE"/>
                  <w:sz w:val="20"/>
                  <w:u w:val="single"/>
                </w:rPr>
                <w:t>Form of Market Stock Unit Award Agreement by and between Dave &amp; Buster’s Entertainment, Inc. and various employees of the Company (incorporated by reference to Exhibit 10.1 of the Registrant’s Current Report on Form 8-K filed on May 4, 2020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ans-serif" w:hAnsi="Times New Roman;sans-serif"/>
                  <w:b w:val="false"/>
                  <w:color w:val="0000EE"/>
                  <w:sz w:val="20"/>
                  <w:u w:val="single"/>
                </w:rPr>
                <w:t>Form of Restricted Stock Unit Agreement, by and between Dave &amp; Buster’s Entertainment, Inc. and various employees of the Company (incorporated by reference to Exhibit 10.2 of the Registrant’s Current Report on Form 8-K filed on May 4, 2020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ans-serif" w:hAnsi="Times New Roman;sans-serif"/>
                  <w:b w:val="false"/>
                  <w:color w:val="0000EE"/>
                  <w:sz w:val="20"/>
                  <w:u w:val="single"/>
                </w:rPr>
                <w:t>Transition and Separation Agreement and Release by and between Brian A. Jenkins and Dave &amp; Buster’s Entertainment, Inc. and Dave &amp; Buster’s Management Corporation (incorporated by reference to Exhibit 10.1 to the Quarterly Report on Form 10-Q filed on December 7, 2021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ans-serif" w:hAnsi="Times New Roman;sans-serif"/>
                  <w:b w:val="false"/>
                  <w:color w:val="0000EE"/>
                  <w:sz w:val="20"/>
                  <w:u w:val="single"/>
                </w:rPr>
                <w:t>Form of Restricted Stock Unit Agreement by and between Kevin Sheehan and Dave &amp; Buster’s Entertainment, Inc. (incorporated by reference to Exhibit 10.3 to the Quarterly Report on Form 10-Q filed on December 7, 2021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ans-serif" w:hAnsi="Times New Roman;sans-serif"/>
                  <w:b w:val="false"/>
                  <w:color w:val="0000EE"/>
                  <w:sz w:val="20"/>
                  <w:u w:val="single"/>
                </w:rPr>
                <w:t>Form of Restricted Stock Unit Agreement by and between Kevin Sheehan and Dave &amp; Buster’s Entertainment, Inc. (incorporated by reference to Exhibit 10.4 to the Quarterly Report on Form 10-Q filed on December 7, 2021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ans-serif" w:hAnsi="Times New Roman;sans-serif"/>
                  <w:b w:val="false"/>
                  <w:color w:val="0000FF"/>
                  <w:sz w:val="20"/>
                  <w:u w:val="single"/>
                </w:rPr>
                <w:t>Senior Secured Credit Agreement, dated June 29, 2022, by and among the Dave &amp; Buster’s, Inc., as borrower, Dave &amp; Buster’s Holdings, Inc., as parent guarantor, the other guarantors from time to time party thereto, the lenders party thereto and Deutsche Bank AG New York Branch, as administrative agent and collateral agent and Deutsche Bank Securities, Inc., JPMorgan Chase Bank, N.A., BMO Capital Markets Corp., Wells Fargo Securities, LLC, Truist Securities, Inc., Capital One, N.A. and Fifth Third Bank, National Association, as joint lead arrangers joint bookrunners (incorporated by reference to Exhibit 10.1 of the Registrant’s Current Report on Form 8-K filed on June 29,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ans-serif" w:hAnsi="Times New Roman;sans-serif"/>
                  <w:b w:val="false"/>
                  <w:color w:val="0000EE"/>
                  <w:sz w:val="20"/>
                  <w:u w:val="single"/>
                </w:rPr>
                <w:t>Employment Agreement by and among Dave &amp; Buster’s Management Corporation, Dave &amp; Buster’s Entertainment, Inc., and Michael Quartieri effective January 1, 2022 (incorporated by reference to Exhibit 10.25 to the Annual Report on Form 10-K filed on March 29,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ans-serif" w:hAnsi="Times New Roman;sans-serif"/>
                  <w:b w:val="false"/>
                  <w:color w:val="0000FF"/>
                  <w:sz w:val="20"/>
                  <w:u w:val="single"/>
                </w:rPr>
                <w:t>Form of Restricted Stock Unit Agreement – Performance Based, by and between Dave &amp; Buster’s Entertainment, Inc. and various employees of the Company (incorporated by reference to Exhibit 10.1 of the Registrant’s Current Report on Form 8-K/A filed on April 19,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07"/>
        <w:gridCol w:w="2618"/>
        <w:gridCol w:w="374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ans-serif" w:hAnsi="Times New Roman;sans-serif"/>
                  <w:b w:val="false"/>
                  <w:color w:val="0000FF"/>
                  <w:sz w:val="20"/>
                  <w:u w:val="single"/>
                </w:rPr>
                <w:t>Restricted Stock Unit Agreement dated April 18, 2022 by and between Dave &amp; Buster’s Entertainment, Inc. and Kevin M. Sheehan (incorporated by reference to Exhibit 10.2 of the Registrant’s Current Report on Form 8-K filed on April 21,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ans-serif" w:hAnsi="Times New Roman;sans-serif"/>
                  <w:b w:val="false"/>
                  <w:color w:val="0000FF"/>
                  <w:sz w:val="20"/>
                  <w:u w:val="single"/>
                </w:rPr>
                <w:t>Form of Employment Agreement (May 2022 version) by and among Dave &amp; Buster’s Management Corporation, Dave &amp; Buster’s Entertainment, Inc. and the various executive officers of Dave &amp; Buster’s Entertainment, Inc. (incorporated by reference to Exhibit 10.1 to the Quarterly Report on Form 10-Q filed on June 7,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ans-serif" w:hAnsi="Times New Roman;sans-serif"/>
                  <w:b w:val="false"/>
                  <w:color w:val="0000FF"/>
                  <w:sz w:val="20"/>
                  <w:u w:val="single"/>
                </w:rPr>
                <w:t>Amended and Restated Cooperation Agreement, dated as of July 11, 2022, among Dave &amp; Buster’s Entertainment, Inc., Hill Path Capital LP and James Chambers (incorporated by reference to Exhibit 10.1 of the Registrant’s Current Report on Form 8-K filed on July 11,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ans-serif" w:hAnsi="Times New Roman;sans-serif"/>
                  <w:b w:val="false"/>
                  <w:color w:val="0000FF"/>
                  <w:sz w:val="20"/>
                  <w:u w:val="single"/>
                </w:rPr>
                <w:t>Form of Nonqualified Stock Option Award Agreement by and between Christopher Morris and Dave &amp; Buster’s Entertainment, Inc. (incorporated by reference to Exhibit 10.1 to the Quarterly Report on Form 10-Q filed on September 7,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ans-serif" w:hAnsi="Times New Roman;sans-serif"/>
                  <w:b w:val="false"/>
                  <w:color w:val="0000FF"/>
                  <w:sz w:val="20"/>
                  <w:u w:val="single"/>
                </w:rPr>
                <w:t>Form of Nonqualified Stock Option Award Agreement by and between Christopher Morris and Dave &amp; Buster’s Entertainment, Inc. (incorporated by reference to Exhibit 10.2 to the Quarterly Report on Form 10-Q filed on September 7,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ans-serif" w:hAnsi="Times New Roman;sans-serif"/>
                  <w:b w:val="false"/>
                  <w:color w:val="0000FF"/>
                  <w:sz w:val="20"/>
                  <w:u w:val="single"/>
                </w:rPr>
                <w:t>Form of Restricted Stock Unit Award Agreement by and between Christopher Morris and Dave &amp; Buster’s Entertainment, Inc. (incorporated by reference to Exhibit 10.3 to the Quarterly Report on Form 10-Q filed on September 7,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ans-serif" w:hAnsi="Times New Roman;sans-serif"/>
                  <w:b w:val="false"/>
                  <w:color w:val="0000FF"/>
                  <w:sz w:val="20"/>
                  <w:u w:val="single"/>
                </w:rPr>
                <w:t>Form of Restricted Stock Unit Award Agreement by and between Christopher Morris and Dave &amp; Buster’s Entertainment, Inc. (incorporated by reference to Exhibit 10.4 to the Quarterly Report on Form 10-Q filed on September 7,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ans-serif" w:hAnsi="Times New Roman;sans-serif"/>
                  <w:b w:val="false"/>
                  <w:color w:val="0000FF"/>
                  <w:sz w:val="20"/>
                  <w:u w:val="single"/>
                </w:rPr>
                <w:t>Form of Restricted Stock Unit Award Agreement by and between Christopher Morris and Dave &amp; Buster’s Entertainment, Inc. (incorporated by reference to Exhibit 10.5 to the Quarterly Report on Form 10-Q filed on September 7,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ans-serif" w:hAnsi="Times New Roman;sans-serif"/>
                  <w:b w:val="false"/>
                  <w:color w:val="0000FF"/>
                  <w:sz w:val="20"/>
                  <w:u w:val="single"/>
                </w:rPr>
                <w:t>Form of Nonqualified Stock Option Award Agreement, by and between Dave &amp; Buster’s Entertainment, Inc., and various employees of the Company (incorporated by reference to Exhibit 10.1 of the Registrant’s Current Report on Form 8-K filed on October 11, 2022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ans-serif" w:hAnsi="Times New Roman;sans-serif"/>
                  <w:b w:val="false"/>
                  <w:color w:val="0000FF"/>
                  <w:sz w:val="20"/>
                  <w:u w:val="single"/>
                </w:rPr>
                <w:t>First Amendment to Credit Agreement, dated as of June 30, 2023, by and among Dave &amp; Buster’s, Inc., Dave &amp; Buster’s Holdings, Inc., the subsidiary guarantors party thereto, the lenders party thereto, and Deutsche Bank AG New York Branch. (incorporated by reference to Exhibit 10.1 of the Registrant’s Current Report on Form 8-K filed on July 5, 2023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Times New Roman;sans-serif" w:hAnsi="Times New Roman;sans-serif"/>
                  <w:b w:val="false"/>
                  <w:color w:val="0000FF"/>
                  <w:sz w:val="20"/>
                  <w:u w:val="single"/>
                </w:rPr>
                <w:t>Second Amendment to Credit Agreement, dated as of January 19, 2024, by and among Dave &amp; Buster’s, Inc., Dave &amp; Buster’s Holdings, Inc., the subsidiary guarantors party thereto, the lenders party thereto, and Deutsche Bank AG New York Branch (incorporated by reference to Exhibit 10.1 of the Registrant’s Current Report on Form 8-K filed on January 19, 2024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ans-serif" w:hAnsi="Times New Roman;sans-serif"/>
                  <w:b w:val="false"/>
                  <w:color w:val="0000FF"/>
                  <w:sz w:val="20"/>
                  <w:u w:val="single"/>
                </w:rPr>
                <w:t>Third Amendment to Credit Agreement and Joinder Agreement, dated as of January 31, 2024, by and among Dave &amp; Buster’s, Inc., Dave &amp; Buster’s Holdings, Inc., the additional borrowers party thereto, and Deutsche Bank AG New York Branch.(incorporated by reference to Exhibit 10.1 of the Registrant’s Current Report on Form 8-K filed on January 31, 2024 (No. 001-35664))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9.htm">
              <w:r>
                <w:rPr>
                  <w:rStyle w:val="InternetLink"/>
                  <w:rFonts w:ascii="Times New Roman;sans-serif" w:hAnsi="Times New Roman;sans-serif"/>
                  <w:b w:val="false"/>
                  <w:color w:val="0000FF"/>
                  <w:sz w:val="20"/>
                  <w:u w:val="single"/>
                </w:rPr>
                <w:t>Insider Trading Policies and Procedures</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211.htm">
              <w:r>
                <w:rPr>
                  <w:rStyle w:val="InternetLink"/>
                  <w:rFonts w:ascii="Times New Roman;sans-serif" w:hAnsi="Times New Roman;sans-serif"/>
                  <w:b w:val="false"/>
                  <w:color w:val="0000EE"/>
                  <w:sz w:val="20"/>
                  <w:u w:val="single"/>
                </w:rPr>
                <w:t>Subsidiaries of the Registrant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231.htm">
              <w:r>
                <w:rPr>
                  <w:rStyle w:val="InternetLink"/>
                  <w:rFonts w:ascii="Times New Roman;sans-serif" w:hAnsi="Times New Roman;sans-serif"/>
                  <w:b w:val="false"/>
                  <w:color w:val="0000EE"/>
                  <w:sz w:val="20"/>
                  <w:u w:val="single"/>
                </w:rPr>
                <w:t>Consent of KPMG LLP, Independent Registered Public Accounting Firm</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e093871c31734e59b737dd2f2034985a_136">
              <w:r>
                <w:rPr>
                  <w:rStyle w:val="InternetLink"/>
                  <w:rFonts w:ascii="Times New Roman;sans-serif" w:hAnsi="Times New Roman;sans-serif"/>
                  <w:b w:val="false"/>
                  <w:color w:val="0000FF"/>
                  <w:sz w:val="20"/>
                  <w:u w:val="single"/>
                </w:rPr>
                <w:t>Power of Attorney (included on signature page)</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tbl>
      <w:tblPr>
        <w:tblW w:w="10205" w:type="dxa"/>
        <w:jc w:val="left"/>
        <w:tblInd w:w="0" w:type="dxa"/>
        <w:tblLayout w:type="fixed"/>
        <w:tblCellMar>
          <w:top w:w="28" w:type="dxa"/>
          <w:left w:w="28" w:type="dxa"/>
          <w:bottom w:w="28" w:type="dxa"/>
          <w:right w:w="28" w:type="dxa"/>
        </w:tblCellMar>
      </w:tblPr>
      <w:tblGrid>
        <w:gridCol w:w="305"/>
        <w:gridCol w:w="268"/>
        <w:gridCol w:w="269"/>
        <w:gridCol w:w="109"/>
        <w:gridCol w:w="109"/>
        <w:gridCol w:w="109"/>
        <w:gridCol w:w="2711"/>
        <w:gridCol w:w="2604"/>
        <w:gridCol w:w="3721"/>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11.htm">
              <w:r>
                <w:rPr>
                  <w:rStyle w:val="InternetLink"/>
                  <w:rFonts w:ascii="Times New Roman;sans-serif" w:hAnsi="Times New Roman;sans-serif"/>
                  <w:b w:val="false"/>
                  <w:color w:val="0000EE"/>
                  <w:sz w:val="20"/>
                  <w:u w:val="single"/>
                </w:rPr>
                <w:t>Certification of Christopher Morris, Chief Executive Officer of the Registrant, pursuant to 17 CFR 240.13a-14(a) or 17 CFR 240.15d-14(a).</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12.htm">
              <w:r>
                <w:rPr>
                  <w:rStyle w:val="InternetLink"/>
                  <w:rFonts w:ascii="Times New Roman;sans-serif" w:hAnsi="Times New Roman;sans-serif"/>
                  <w:b w:val="false"/>
                  <w:color w:val="0000EE"/>
                  <w:sz w:val="20"/>
                  <w:u w:val="single"/>
                </w:rPr>
                <w:t>Certification of Michael A. Quartieri, Chief Financial Officer of the Registrant, pursuant to 17 CFR 240.13a-14(a) or 17 CFR 240.15d-14(a).</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21.htm">
              <w:r>
                <w:rPr>
                  <w:rStyle w:val="InternetLink"/>
                  <w:rFonts w:ascii="Times New Roman;sans-serif" w:hAnsi="Times New Roman;sans-serif"/>
                  <w:b w:val="false"/>
                  <w:color w:val="0000EE"/>
                  <w:sz w:val="20"/>
                  <w:u w:val="single"/>
                </w:rPr>
                <w:t>Certification of Christopher Morris, Chief Executive Officer of the Registrant, pursuant to 18 U.S.C. Section 1350, as adopted pursuant to Section 906 of the Sarbanes-Oxley Act of 2002.</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22.htm">
              <w:r>
                <w:rPr>
                  <w:rStyle w:val="InternetLink"/>
                  <w:rFonts w:ascii="Times New Roman;sans-serif" w:hAnsi="Times New Roman;sans-serif"/>
                  <w:b w:val="false"/>
                  <w:color w:val="0000EE"/>
                  <w:sz w:val="20"/>
                  <w:u w:val="single"/>
                </w:rPr>
                <w:t>Certification of Michael A. Quartieri, Chief Financial Officer of the Registrant, pursuant to 18 U.S.C. Section 1350, as adopted pursuant to Section 906 of the Sarbanes-Oxley Act of 2002.</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97.htm">
              <w:r>
                <w:rPr>
                  <w:rStyle w:val="InternetLink"/>
                  <w:rFonts w:ascii="Times New Roman;sans-serif" w:hAnsi="Times New Roman;sans-serif"/>
                  <w:b w:val="false"/>
                  <w:color w:val="0E32E1"/>
                  <w:sz w:val="20"/>
                  <w:u w:val="single"/>
                </w:rPr>
                <w:t>Policy on Recoupment of Incentive Compensation</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Inline Instance Document—the instance document does not appear in the Interactive Data File because its XBRL tags are embedded within the Inline XBRL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*Filed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5696" w:type="dxa"/>
        <w:jc w:val="left"/>
        <w:tblInd w:w="0" w:type="dxa"/>
        <w:tblLayout w:type="fixed"/>
        <w:tblCellMar>
          <w:top w:w="28" w:type="dxa"/>
          <w:left w:w="28" w:type="dxa"/>
          <w:bottom w:w="28" w:type="dxa"/>
          <w:right w:w="28" w:type="dxa"/>
        </w:tblCellMar>
      </w:tblPr>
      <w:tblGrid>
        <w:gridCol w:w="607"/>
        <w:gridCol w:w="535"/>
        <w:gridCol w:w="538"/>
        <w:gridCol w:w="625"/>
        <w:gridCol w:w="625"/>
        <w:gridCol w:w="625"/>
        <w:gridCol w:w="625"/>
        <w:gridCol w:w="625"/>
        <w:gridCol w:w="891"/>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1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p>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Corporation</w:t>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 2024</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br/>
              <w:t>Chief Financial Officer</w:t>
            </w:r>
          </w:p>
        </w:tc>
      </w:tr>
    </w:tbl>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KNOW ALL MEN BY THESE PRESENTS, that each of the undersigned constitutes and appoints each of Kevin M. Sheehan and Bryan McCrory, or either of them, each acting alone, his/her true and lawful attorney-in-fact and agent, with full power of substitution and re-substitution, for such person and in his/her name, place and stead, in any and all capacities, to sign any and all amendments to this Report,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he/she might or could do in person, hereby ratifying and confirming that any such attorney-in-fact and agent, or his/her substitute or substitutes, may lawfully do or cause to be done by virtue hereof.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we have signed in our indicated capacities on April 2, 2024.</w:t>
      </w:r>
    </w:p>
    <w:tbl>
      <w:tblPr>
        <w:tblW w:w="6521" w:type="dxa"/>
        <w:jc w:val="left"/>
        <w:tblInd w:w="0" w:type="dxa"/>
        <w:tblLayout w:type="fixed"/>
        <w:tblCellMar>
          <w:top w:w="28" w:type="dxa"/>
          <w:left w:w="28" w:type="dxa"/>
          <w:bottom w:w="28" w:type="dxa"/>
          <w:right w:w="28" w:type="dxa"/>
        </w:tblCellMar>
      </w:tblPr>
      <w:tblGrid>
        <w:gridCol w:w="151"/>
        <w:gridCol w:w="134"/>
        <w:gridCol w:w="135"/>
        <w:gridCol w:w="669"/>
        <w:gridCol w:w="669"/>
        <w:gridCol w:w="672"/>
        <w:gridCol w:w="109"/>
        <w:gridCol w:w="109"/>
        <w:gridCol w:w="109"/>
        <w:gridCol w:w="1099"/>
        <w:gridCol w:w="1099"/>
        <w:gridCol w:w="156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Morris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Morris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M. Sheehan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M. Sheehan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Chambers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Chambers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Hamish A. Dodds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Hamish A. Dodds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Griffith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Griffith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Gail Mandel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Gail Mandel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Atish Shah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Atish Shah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Storms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Storms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209" w:type="dxa"/>
        <w:jc w:val="left"/>
        <w:tblInd w:w="0" w:type="dxa"/>
        <w:tblLayout w:type="fixed"/>
        <w:tblCellMar>
          <w:top w:w="28" w:type="dxa"/>
          <w:left w:w="28" w:type="dxa"/>
          <w:bottom w:w="28" w:type="dxa"/>
          <w:right w:w="28" w:type="dxa"/>
        </w:tblCellMar>
      </w:tblPr>
      <w:tblGrid>
        <w:gridCol w:w="3185"/>
        <w:gridCol w:w="2793"/>
        <w:gridCol w:w="2811"/>
        <w:gridCol w:w="123"/>
        <w:gridCol w:w="123"/>
        <w:gridCol w:w="174"/>
      </w:tblGrid>
      <w:tr>
        <w:trPr/>
        <w:tc>
          <w:tcPr>
            <w:tcW w:w="3185"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Reports of Independent Registered Public Accounting Firm (KPMG LLP, Dallas, TX, Auditor Firm ID: 185)</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42">
              <w:r>
                <w:rPr>
                  <w:rStyle w:val="InternetLink"/>
                  <w:rFonts w:ascii="Times New Roman;sans-serif" w:hAnsi="Times New Roman;sans-serif"/>
                  <w:b w:val="false"/>
                  <w:strike w:val="false"/>
                  <w:dstrike w:val="false"/>
                  <w:color w:val="000080"/>
                  <w:sz w:val="20"/>
                  <w:u w:val="single"/>
                  <w:effect w:val="none"/>
                </w:rPr>
                <w:t>F-</w:t>
              </w:r>
            </w:hyperlink>
            <w:hyperlink w:anchor="ie093871c31734e59b737dd2f2034985a_142">
              <w:r>
                <w:rPr>
                  <w:rStyle w:val="InternetLink"/>
                  <w:rFonts w:ascii="Times New Roman;sans-serif" w:hAnsi="Times New Roman;sans-serif"/>
                  <w:b w:val="false"/>
                  <w:strike w:val="false"/>
                  <w:dstrike w:val="false"/>
                  <w:color w:val="000080"/>
                  <w:sz w:val="20"/>
                  <w:u w:val="single"/>
                  <w:effect w:val="none"/>
                </w:rPr>
                <w:t>2</w:t>
              </w:r>
            </w:hyperlink>
          </w:p>
        </w:tc>
      </w:tr>
      <w:tr>
        <w:trPr/>
        <w:tc>
          <w:tcPr>
            <w:tcW w:w="878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45">
              <w:r>
                <w:rPr>
                  <w:rStyle w:val="InternetLink"/>
                  <w:rFonts w:ascii="Times New Roman;sans-serif" w:hAnsi="Times New Roman;sans-serif"/>
                  <w:b w:val="false"/>
                  <w:color w:val="0000FF"/>
                  <w:sz w:val="20"/>
                  <w:u w:val="single"/>
                </w:rPr>
                <w:t>Consolidated Balance Sheets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45">
              <w:r>
                <w:rPr>
                  <w:rStyle w:val="InternetLink"/>
                  <w:rFonts w:ascii="Times New Roman;sans-serif" w:hAnsi="Times New Roman;sans-serif"/>
                  <w:b w:val="false"/>
                  <w:strike w:val="false"/>
                  <w:dstrike w:val="false"/>
                  <w:color w:val="000080"/>
                  <w:sz w:val="20"/>
                  <w:u w:val="single"/>
                  <w:effect w:val="none"/>
                </w:rPr>
                <w:t>F-</w:t>
              </w:r>
            </w:hyperlink>
            <w:hyperlink w:anchor="ie093871c31734e59b737dd2f2034985a_145">
              <w:r>
                <w:rPr>
                  <w:rStyle w:val="InternetLink"/>
                  <w:rFonts w:ascii="Times New Roman;sans-serif" w:hAnsi="Times New Roman;sans-serif"/>
                  <w:b w:val="false"/>
                  <w:strike w:val="false"/>
                  <w:dstrike w:val="false"/>
                  <w:color w:val="000080"/>
                  <w:sz w:val="20"/>
                  <w:u w:val="single"/>
                  <w:effect w:val="none"/>
                </w:rPr>
                <w:t>5</w:t>
              </w:r>
            </w:hyperlink>
          </w:p>
        </w:tc>
      </w:tr>
      <w:tr>
        <w:trPr/>
        <w:tc>
          <w:tcPr>
            <w:tcW w:w="878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48">
              <w:r>
                <w:rPr>
                  <w:rStyle w:val="InternetLink"/>
                  <w:rFonts w:ascii="Times New Roman;sans-serif" w:hAnsi="Times New Roman;sans-serif"/>
                  <w:b w:val="false"/>
                  <w:color w:val="0000FF"/>
                  <w:sz w:val="20"/>
                  <w:u w:val="single"/>
                </w:rPr>
                <w:t>Consolidated Statements of Comprehensive Income</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48">
              <w:r>
                <w:rPr>
                  <w:rStyle w:val="InternetLink"/>
                  <w:rFonts w:ascii="Times New Roman;sans-serif" w:hAnsi="Times New Roman;sans-serif"/>
                  <w:b w:val="false"/>
                  <w:strike w:val="false"/>
                  <w:dstrike w:val="false"/>
                  <w:color w:val="000080"/>
                  <w:sz w:val="20"/>
                  <w:u w:val="single"/>
                  <w:effect w:val="none"/>
                </w:rPr>
                <w:t>F-</w:t>
              </w:r>
            </w:hyperlink>
            <w:hyperlink w:anchor="ie093871c31734e59b737dd2f2034985a_148">
              <w:r>
                <w:rPr>
                  <w:rStyle w:val="InternetLink"/>
                  <w:rFonts w:ascii="Times New Roman;sans-serif" w:hAnsi="Times New Roman;sans-serif"/>
                  <w:b w:val="false"/>
                  <w:strike w:val="false"/>
                  <w:dstrike w:val="false"/>
                  <w:color w:val="000080"/>
                  <w:sz w:val="20"/>
                  <w:u w:val="single"/>
                  <w:effect w:val="none"/>
                </w:rPr>
                <w:t>6</w:t>
              </w:r>
            </w:hyperlink>
          </w:p>
        </w:tc>
      </w:tr>
      <w:tr>
        <w:trPr/>
        <w:tc>
          <w:tcPr>
            <w:tcW w:w="878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51">
              <w:r>
                <w:rPr>
                  <w:rStyle w:val="InternetLink"/>
                  <w:rFonts w:ascii="Times New Roman;sans-serif" w:hAnsi="Times New Roman;sans-serif"/>
                  <w:b w:val="false"/>
                  <w:color w:val="0000FF"/>
                  <w:sz w:val="20"/>
                  <w:u w:val="single"/>
                </w:rPr>
                <w:t>Consolidated Statements of Stockholders’ Equity</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51">
              <w:r>
                <w:rPr>
                  <w:rStyle w:val="InternetLink"/>
                  <w:rFonts w:ascii="Times New Roman;sans-serif" w:hAnsi="Times New Roman;sans-serif"/>
                  <w:b w:val="false"/>
                  <w:strike w:val="false"/>
                  <w:dstrike w:val="false"/>
                  <w:color w:val="000080"/>
                  <w:sz w:val="20"/>
                  <w:u w:val="single"/>
                  <w:effect w:val="none"/>
                </w:rPr>
                <w:t>F-</w:t>
              </w:r>
            </w:hyperlink>
            <w:hyperlink w:anchor="ie093871c31734e59b737dd2f2034985a_151">
              <w:r>
                <w:rPr>
                  <w:rStyle w:val="InternetLink"/>
                  <w:rFonts w:ascii="Times New Roman;sans-serif" w:hAnsi="Times New Roman;sans-serif"/>
                  <w:b w:val="false"/>
                  <w:strike w:val="false"/>
                  <w:dstrike w:val="false"/>
                  <w:color w:val="000080"/>
                  <w:sz w:val="20"/>
                  <w:u w:val="single"/>
                  <w:effect w:val="none"/>
                </w:rPr>
                <w:t>7</w:t>
              </w:r>
            </w:hyperlink>
          </w:p>
        </w:tc>
      </w:tr>
      <w:tr>
        <w:trPr/>
        <w:tc>
          <w:tcPr>
            <w:tcW w:w="878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54">
              <w:r>
                <w:rPr>
                  <w:rStyle w:val="InternetLink"/>
                  <w:rFonts w:ascii="Times New Roman;sans-serif" w:hAnsi="Times New Roman;sans-serif"/>
                  <w:b w:val="false"/>
                  <w:color w:val="0000FF"/>
                  <w:sz w:val="20"/>
                  <w:u w:val="single"/>
                </w:rPr>
                <w:t>Consolidated Statements of Cash Flows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54">
              <w:r>
                <w:rPr>
                  <w:rStyle w:val="InternetLink"/>
                  <w:rFonts w:ascii="Times New Roman;sans-serif" w:hAnsi="Times New Roman;sans-serif"/>
                  <w:b w:val="false"/>
                  <w:strike w:val="false"/>
                  <w:dstrike w:val="false"/>
                  <w:color w:val="000080"/>
                  <w:sz w:val="20"/>
                  <w:u w:val="single"/>
                  <w:effect w:val="none"/>
                </w:rPr>
                <w:t>F-</w:t>
              </w:r>
            </w:hyperlink>
            <w:hyperlink w:anchor="ie093871c31734e59b737dd2f2034985a_154">
              <w:r>
                <w:rPr>
                  <w:rStyle w:val="InternetLink"/>
                  <w:rFonts w:ascii="Times New Roman;sans-serif" w:hAnsi="Times New Roman;sans-serif"/>
                  <w:b w:val="false"/>
                  <w:strike w:val="false"/>
                  <w:dstrike w:val="false"/>
                  <w:color w:val="000080"/>
                  <w:sz w:val="20"/>
                  <w:u w:val="single"/>
                  <w:effect w:val="none"/>
                </w:rPr>
                <w:t>8</w:t>
              </w:r>
            </w:hyperlink>
          </w:p>
        </w:tc>
      </w:tr>
      <w:tr>
        <w:trPr/>
        <w:tc>
          <w:tcPr>
            <w:tcW w:w="878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e093871c31734e59b737dd2f2034985a_157">
              <w:r>
                <w:rPr>
                  <w:rStyle w:val="InternetLink"/>
                  <w:rFonts w:ascii="Times New Roman;sans-serif" w:hAnsi="Times New Roman;sans-serif"/>
                  <w:b w:val="false"/>
                  <w:color w:val="0000FF"/>
                  <w:sz w:val="20"/>
                  <w:u w:val="single"/>
                </w:rPr>
                <w:t>Notes to Consolidated Financial 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093871c31734e59b737dd2f2034985a_157">
              <w:r>
                <w:rPr>
                  <w:rStyle w:val="InternetLink"/>
                  <w:rFonts w:ascii="Times New Roman;sans-serif" w:hAnsi="Times New Roman;sans-serif"/>
                  <w:b w:val="false"/>
                  <w:strike w:val="false"/>
                  <w:dstrike w:val="false"/>
                  <w:color w:val="000080"/>
                  <w:sz w:val="20"/>
                  <w:u w:val="single"/>
                  <w:effect w:val="none"/>
                </w:rPr>
                <w:t>F-</w:t>
              </w:r>
            </w:hyperlink>
            <w:hyperlink w:anchor="ie093871c31734e59b737dd2f2034985a_157">
              <w:r>
                <w:rPr>
                  <w:rStyle w:val="InternetLink"/>
                  <w:rFonts w:ascii="Times New Roman;sans-serif" w:hAnsi="Times New Roman;sans-serif"/>
                  <w:b w:val="false"/>
                  <w:strike w:val="false"/>
                  <w:dstrike w:val="false"/>
                  <w:color w:val="000080"/>
                  <w:sz w:val="20"/>
                  <w:u w:val="single"/>
                  <w:effect w:val="non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Dave &amp; Buster’s Entertainment, Inc.: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Opinion on Internal Control Over Financial Reporting </w:t>
      </w:r>
    </w:p>
    <w:p>
      <w:pPr>
        <w:pStyle w:val="TextBody"/>
        <w:bidi w:val="0"/>
        <w:spacing w:lineRule="auto" w:line="288" w:before="120" w:after="283"/>
        <w:jc w:val="left"/>
        <w:rPr/>
      </w:pPr>
      <w:r>
        <w:rPr>
          <w:rFonts w:ascii="Times New Roman;sans-serif" w:hAnsi="Times New Roman;sans-serif"/>
          <w:b w:val="false"/>
          <w:color w:val="000000"/>
          <w:sz w:val="20"/>
        </w:rPr>
        <w:t xml:space="preserve">We have audited Dave &amp; Buster’s Entertainment, Inc. and subsidiaries’ (the Company) internal control over financial reporting as of February 4,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In our opinion, the Company maintained, in all material respects, effective internal control over financial reporting as of February 4,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February 4, 2024 and January 29, 2023, the related consolidated statements of comprehensive income, stockholders’ equity, and cash flows for each of the fiscal years in the three-year period ended February 4, 2024, and the related notes (collectively, the consolidated financial statements), and our report dated April 2, 2024 expressed an unqualified opinion on those consolidated financial statements.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Report on Internal Control over Financial Reporting</w:t>
      </w:r>
      <w:r>
        <w:rPr>
          <w:rFonts w:ascii="Times New Roman;sans-serif" w:hAnsi="Times New Roman;sans-serif"/>
          <w:b w:val="false"/>
          <w:color w:val="000000"/>
          <w:sz w:val="20"/>
        </w:rPr>
        <w:t xml:space="preserve">.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Definition and Limitations of Internal Control Over Financial Reporting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KPMG LLP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Dallas, Texas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April 2,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Dave &amp; Buster’s Entertainment, Inc.: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Opinion on the Consolidated Financial Statements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Dave &amp; Buster’s Entertainment, Inc. and subsidiaries (the Company) as of February 4, 2024 and January 29, 2023, the related consolidated statements of comprehensive income, stockholders’ equity, and cash flows for each of the fiscal years in the three-year period ended February 4, 2024, and the related notes (collectively, the consolidated financial statements). In our opinion, the consolidated financial statements present fairly, in all material respects, the financial position of the Company as of February 4, 2024 and January 29, 2023, and the results of its operations and its cash flows for each of the fiscal years in the three-year period ended February 4, 2024, in conformity with U.S. generally accepted accounting principles. </w:t>
      </w:r>
    </w:p>
    <w:p>
      <w:pPr>
        <w:pStyle w:val="TextBody"/>
        <w:bidi w:val="0"/>
        <w:spacing w:lineRule="auto" w:line="288" w:before="240" w:after="283"/>
        <w:jc w:val="left"/>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February 4,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and our report dated April 2, 2024 expressed an unqualified opinion on the effectiveness of the Company’s internal control over financial reporting.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for Opinion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Deferred amusement revenue for unused game play credits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Notes 1 and 6 to the consolidated financial statements, the Company defers a portion of amusement revenues for the estimated unfulfilled performance obligations related to unused game play credits which they believe their customers will utilize in the future. The Company recorded deferred amusement revenue of $121.2 million as of February 4, 2024, which is included in accrued liabilities on the consolidated balance sheet and disclosed as deferred amusement revenue. This balance includes deferred revenue related to unused game play credits. The deferral is based on an estimated rate of future use by customers. The Company applies judgment to determine the estimated rate of future use by customers using information about game play credits outstanding and historical customer utilization patterns.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the estimated rate of future use assumption used to determine deferred amusement revenue for unused game play credits as a critical audit matter. Subjective auditor judgment was required to evaluate the effect of historical customer usage patterns on the estimated rate of future use assumption.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the primary procedures we performed to address this critical audit matter. We evaluated the design and tested the operating effectiveness of certain internal controls over the Company’s deferred amusement revenue process, including controls related to the development of the estimated rate of future use assumption. We evaluated historical periods’ game play credit activity for indication of significant changes in customer behavior and to determine whether changes in the historical activity were consistent with changes in the Company’s business that impact the estimated rate of future usage assumption. We compared trends of customers’ historical use patterns to the Company’s estimated rate of future use assumption. We assessed the outstanding game play credit data utilized by the Company to derive the estimated rate of future use assumption by comparing it to relevant underlying documentation.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Deferred amusement revenue for unredeemed tickets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Notes 1 and 6 to the consolidated financial statements, the Company defers a portion of amusement revenue for the material right provided to customers to redeem tickets in the future for prizes. The Company recorded deferred amusement revenue of $121.2 million as of February 4, 2024, which is included in accrued liabilities on the consolidated balance sheet and disclosed as deferred amusement revenue. This balance includes deferred revenue related to the material right to redeem tickets in the future. The deferral is based on an estimated redemption rate of outstanding tickets that will be redeemed in subsequent periods. The Company applies judgment to determine the redemption rate assumption using information about tickets outstanding and historical customer utilization patterns.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the estimated redemption rate assumption used to determine deferred amusement revenue for unredeemed tickets as a critical audit matter. Subjective auditor judgment was required to evaluate the effect of historical customer usage patterns on the estimated rate of future use assumption.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the primary procedures we performed to address this critical audit matter. We evaluated the design and tested the operating effectiveness of certain internal controls over the Company’s deferred amusement revenue process, including controls related to the development of the redemption rate assumption. We evaluated historical periods’ ticket redemption activity for indication of significant changes in customer behavior and to determine whether changes in the historical activity were consistent with changes in the Company’s business that impact the estimated redemption rate assumption. We compared trends of customers’ historical redemption patterns to the Company’s estimated redemption rate assumption. We assessed the outstanding ticket data utilized by the Company to derive the redemption rate assumption by comparing it to relevant underlying documentation.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millions, except per share amounts) </w:t>
      </w:r>
    </w:p>
    <w:tbl>
      <w:tblPr>
        <w:tblW w:w="10205" w:type="dxa"/>
        <w:jc w:val="left"/>
        <w:tblInd w:w="0" w:type="dxa"/>
        <w:tblLayout w:type="fixed"/>
        <w:tblCellMar>
          <w:top w:w="28" w:type="dxa"/>
          <w:left w:w="28" w:type="dxa"/>
          <w:bottom w:w="28" w:type="dxa"/>
          <w:right w:w="28" w:type="dxa"/>
        </w:tblCellMar>
      </w:tblPr>
      <w:tblGrid>
        <w:gridCol w:w="3057"/>
        <w:gridCol w:w="2212"/>
        <w:gridCol w:w="2181"/>
        <w:gridCol w:w="230"/>
        <w:gridCol w:w="838"/>
        <w:gridCol w:w="119"/>
        <w:gridCol w:w="109"/>
        <w:gridCol w:w="109"/>
        <w:gridCol w:w="109"/>
        <w:gridCol w:w="230"/>
        <w:gridCol w:w="838"/>
        <w:gridCol w:w="173"/>
      </w:tblGrid>
      <w:tr>
        <w:trPr/>
        <w:tc>
          <w:tcPr>
            <w:tcW w:w="305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7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left"/>
              <w:rPr>
                <w:color w:val="000000"/>
              </w:rPr>
            </w:pPr>
            <w:r>
              <w:rPr>
                <w:color w:val="000000"/>
              </w:rPr>
              <w:t> </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$1,222.6 and $1,043.7 accumulated depreciation as of February 4, 2024 and January 29, 2023, respectively)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8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left"/>
              <w:rPr>
                <w:color w:val="000000"/>
              </w:rPr>
            </w:pPr>
            <w:r>
              <w:rPr>
                <w:color w:val="000000"/>
              </w:rPr>
              <w:t> </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installments of long-term debt</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authorized: 400.00 shares; issued: 62.86 shares at February 4, 2024 and 62.42 shares at January 29, 2023; outstanding: 40.27 shares at February 4, 2024 and 48.41 shares at January 29, 2023</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50,000.00 authorized; none issued</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22.59 and 14.01 shares as of February 4, 2024 and January 29, 2023, respectively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bl>
      <w:tblPr>
        <w:tblW w:w="9487" w:type="dxa"/>
        <w:jc w:val="center"/>
        <w:tblInd w:w="0" w:type="dxa"/>
        <w:tblLayout w:type="fixed"/>
        <w:tblCellMar>
          <w:top w:w="28" w:type="dxa"/>
          <w:left w:w="28" w:type="dxa"/>
          <w:bottom w:w="28" w:type="dxa"/>
          <w:right w:w="28" w:type="dxa"/>
        </w:tblCellMar>
      </w:tblPr>
      <w:tblGrid>
        <w:gridCol w:w="1670"/>
        <w:gridCol w:w="1471"/>
        <w:gridCol w:w="1478"/>
        <w:gridCol w:w="268"/>
        <w:gridCol w:w="974"/>
        <w:gridCol w:w="138"/>
        <w:gridCol w:w="109"/>
        <w:gridCol w:w="109"/>
        <w:gridCol w:w="109"/>
        <w:gridCol w:w="271"/>
        <w:gridCol w:w="984"/>
        <w:gridCol w:w="140"/>
        <w:gridCol w:w="109"/>
        <w:gridCol w:w="109"/>
        <w:gridCol w:w="109"/>
        <w:gridCol w:w="309"/>
        <w:gridCol w:w="904"/>
        <w:gridCol w:w="226"/>
      </w:tblGrid>
      <w:tr>
        <w:trPr/>
        <w:tc>
          <w:tcPr>
            <w:tcW w:w="167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revenues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revenues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entertainment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food and beverage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products</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payroll and benefits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store operating expenses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costs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refinancing</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loss</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 net of tax</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gain</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left"/>
              <w:rPr>
                <w:color w:val="000000"/>
              </w:rPr>
            </w:pPr>
            <w:r>
              <w:rPr>
                <w:color w:val="000000"/>
              </w:rPr>
              <w:t> </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per share calculations:</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left"/>
              <w:rPr>
                <w:color w:val="000000"/>
              </w:rPr>
            </w:pPr>
            <w:r>
              <w:rPr>
                <w:color w:val="000000"/>
              </w:rPr>
              <w:t> </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48.14</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w:t>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millions) </w:t>
      </w:r>
    </w:p>
    <w:tbl>
      <w:tblPr>
        <w:tblW w:w="10468" w:type="dxa"/>
        <w:jc w:val="left"/>
        <w:tblInd w:w="0" w:type="dxa"/>
        <w:tblLayout w:type="fixed"/>
        <w:tblCellMar>
          <w:top w:w="28" w:type="dxa"/>
          <w:left w:w="28" w:type="dxa"/>
          <w:bottom w:w="28" w:type="dxa"/>
          <w:right w:w="28" w:type="dxa"/>
        </w:tblCellMar>
      </w:tblPr>
      <w:tblGrid>
        <w:gridCol w:w="724"/>
        <w:gridCol w:w="268"/>
        <w:gridCol w:w="269"/>
        <w:gridCol w:w="195"/>
        <w:gridCol w:w="195"/>
        <w:gridCol w:w="196"/>
        <w:gridCol w:w="109"/>
        <w:gridCol w:w="109"/>
        <w:gridCol w:w="109"/>
        <w:gridCol w:w="211"/>
        <w:gridCol w:w="406"/>
        <w:gridCol w:w="109"/>
        <w:gridCol w:w="109"/>
        <w:gridCol w:w="109"/>
        <w:gridCol w:w="109"/>
        <w:gridCol w:w="211"/>
        <w:gridCol w:w="616"/>
        <w:gridCol w:w="109"/>
        <w:gridCol w:w="109"/>
        <w:gridCol w:w="109"/>
        <w:gridCol w:w="109"/>
        <w:gridCol w:w="195"/>
        <w:gridCol w:w="195"/>
        <w:gridCol w:w="196"/>
        <w:gridCol w:w="109"/>
        <w:gridCol w:w="109"/>
        <w:gridCol w:w="109"/>
        <w:gridCol w:w="211"/>
        <w:gridCol w:w="631"/>
        <w:gridCol w:w="109"/>
        <w:gridCol w:w="109"/>
        <w:gridCol w:w="109"/>
        <w:gridCol w:w="109"/>
        <w:gridCol w:w="346"/>
        <w:gridCol w:w="690"/>
        <w:gridCol w:w="180"/>
        <w:gridCol w:w="109"/>
        <w:gridCol w:w="109"/>
        <w:gridCol w:w="109"/>
        <w:gridCol w:w="211"/>
        <w:gridCol w:w="616"/>
        <w:gridCol w:w="109"/>
        <w:gridCol w:w="109"/>
        <w:gridCol w:w="109"/>
        <w:gridCol w:w="109"/>
        <w:gridCol w:w="211"/>
        <w:gridCol w:w="616"/>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br/>
              <w:t>At 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Amt.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31, 2021</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 net of tax</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30, 2022</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loss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 net of tax</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29, 2023</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February 4, 2024</w:t>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76" w:before="0" w:after="34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before="0" w:after="340"/>
        <w:jc w:val="left"/>
        <w:rPr/>
      </w:pPr>
      <w:r>
        <w:rPr/>
      </w:r>
    </w:p>
    <w:p>
      <w:pPr>
        <w:pStyle w:val="TextBody"/>
        <w:bidi w:val="0"/>
        <w:spacing w:before="0" w:after="34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983"/>
        <w:gridCol w:w="1731"/>
        <w:gridCol w:w="1738"/>
        <w:gridCol w:w="305"/>
        <w:gridCol w:w="866"/>
        <w:gridCol w:w="169"/>
        <w:gridCol w:w="109"/>
        <w:gridCol w:w="109"/>
        <w:gridCol w:w="109"/>
        <w:gridCol w:w="308"/>
        <w:gridCol w:w="876"/>
        <w:gridCol w:w="171"/>
        <w:gridCol w:w="109"/>
        <w:gridCol w:w="109"/>
        <w:gridCol w:w="109"/>
        <w:gridCol w:w="302"/>
        <w:gridCol w:w="860"/>
        <w:gridCol w:w="242"/>
      </w:tblGrid>
      <w:tr>
        <w:trPr/>
        <w:tc>
          <w:tcPr>
            <w:tcW w:w="198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5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refinancing</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assets and liabilities acquired:</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deferred charges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a business, net of cash acquired</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property and equipment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borrowings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 and prepayment premiums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sale-leaseback transaction</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 under share repurchase program</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 to satisfy employee withholding tax obligations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 of stock options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60"/>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and cash equivalents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cash and cash equivalents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Ending cash and cash equivalents</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for capital expenditures in accounts payable</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(received) for income taxes, net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net</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 Description of the Business and Summary of Significant Accounting Policies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Description of the business </w:t>
      </w:r>
      <w:r>
        <w:rPr>
          <w:color w:val="000000"/>
        </w:rPr>
        <w:t xml:space="preserve">— </w:t>
      </w:r>
      <w:r>
        <w:rPr>
          <w:rFonts w:ascii="Times New Roman;sans-serif" w:hAnsi="Times New Roman;sans-serif"/>
          <w:b w:val="false"/>
          <w:color w:val="000000"/>
          <w:sz w:val="20"/>
        </w:rPr>
        <w:t xml:space="preserve">Dave &amp; Buster’s Entertainment, Inc. (“D&amp;B Entertainment” or the “Company”) is a Delaware corporation formed in June 2010. References to the “Company”, “we”, “us”, and “our” refers to D&amp;B Entertainment, any predecessor companies, and its wholly-owned subsidiaries, Dave &amp; Buster’s Holdings, Inc. (“D&amp;B Holdings”), a holding company which owns 100% of the outstanding common stock of Dave &amp; Buster’s, Inc. (“D&amp;B Inc”), the operating company. The Company, headquartered in Coppell, Texas, is a leading operator of high-volume entertainment and dining venues (“stores”) in North America for adults and families.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its business as two operating segments based on its major brands, Dave &amp; Buster's and Main Event. The Company has one reportable segment as both brands provide similar products and services to a similar customer base, are managed together by a single management team and share similar economic characteristics.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June 29, 2022, the Company completed its acquisition of 100% of the equity interests in Main Event, in connect with an Agreement and Plan of Merger dated April 6, 2022. Refer to Note 2,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for further discussion of the Main Event Acquisition.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we opened sixteen additional stores. During fiscal 2022, we acquired stores as a result of the Main Event Acquisition and opened eight new stores. As of February 4, 2024, we owned and operated 220 stores located in 43 states, Puerto Rico and one Canadian province.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Principles of consolidation </w:t>
      </w:r>
      <w:r>
        <w:rPr>
          <w:color w:val="000000"/>
        </w:rPr>
        <w:t xml:space="preserve">— </w:t>
      </w:r>
      <w:r>
        <w:rPr>
          <w:rFonts w:ascii="Times New Roman;sans-serif" w:hAnsi="Times New Roman;sans-serif"/>
          <w:b w:val="false"/>
          <w:color w:val="000000"/>
          <w:sz w:val="20"/>
        </w:rPr>
        <w:t xml:space="preserve">The accompanying consolidated financial statements include the accounts of D&amp;B Entertainment and its wholly owned subsidiaries and have been prepared in accordance with generally accepted accounting principles in the United States (“GAAP”). The results of acquired subsidiaries are included in the consolidated financial statements from their dates of acquisition. All intercompany accounts and transactions have been eliminated in consolidation.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Fiscal year </w:t>
      </w:r>
      <w:r>
        <w:rPr>
          <w:color w:val="000000"/>
        </w:rPr>
        <w:t xml:space="preserve">— </w:t>
      </w:r>
      <w:r>
        <w:rPr>
          <w:rFonts w:ascii="Times New Roman;sans-serif" w:hAnsi="Times New Roman;sans-serif"/>
          <w:b w:val="false"/>
          <w:color w:val="000000"/>
          <w:sz w:val="20"/>
        </w:rPr>
        <w:t xml:space="preserve">The Company’s fiscal year consists of 52 or 53 weeks ending on the Sunday after the Saturday closest to January 31. Fiscal year 2023, which ended on February 4, 2024, contained 53 weeks. Fiscal years 2022 and 2021, which ended on January 29, 2023 and January 30, 2022, respectively, each contained 52 weeks. Each quarterly period has 13 weeks, except in a 53-week year, when the fourth quarter has 14 weeks.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Use of estimates</w:t>
      </w:r>
      <w:r>
        <w:rPr>
          <w:color w:val="000000"/>
        </w:rPr>
        <w:t xml:space="preserve"> — </w:t>
      </w:r>
      <w:r>
        <w:rPr>
          <w:rFonts w:ascii="Times New Roman;sans-serif" w:hAnsi="Times New Roman;sans-serif"/>
          <w:b w:val="false"/>
          <w:color w:val="000000"/>
          <w:sz w:val="20"/>
        </w:rPr>
        <w:t xml:space="preserve">The preparation of the consolidated financial statements in conformity with GAAP requires management to make estimates and assumptions that affect the reported amounts of assets, liabilities, revenues, expenses and related disclosure of contingent assets and liabilities at the date of the consolidated financial statements and for the period then ended. Actual results could differ from those estimates.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Cash and cash equivalents</w:t>
      </w:r>
      <w:r>
        <w:rPr>
          <w:color w:val="000000"/>
        </w:rPr>
        <w:t xml:space="preserve"> — </w:t>
      </w:r>
      <w:r>
        <w:rPr>
          <w:rFonts w:ascii="Times New Roman;sans-serif" w:hAnsi="Times New Roman;sans-serif"/>
          <w:b w:val="false"/>
          <w:color w:val="000000"/>
          <w:sz w:val="20"/>
        </w:rPr>
        <w:t xml:space="preserve">We consider transaction settlements in process from credit card companies and all highly-liquid investments with 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 book overdrafts, which are presented in Accounts Payable on the consolidated balance sheet. There were no such overdrafts as of February 4, 2024 or January 29, 2023. Changes in the book overdraft position are presented within “Net cash provided by operating activities” within the Consolidated Statements of Cash Flows. At the end of fiscal 2023 and fiscal 2022, the Company had no restricted cash.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are maintained with multiple financial institutions. Generally, these deposits may be redeemed upon demand and are maintained with financial institutions with reputable credit and therefore bear minimal credit risk. The Company maintains cash and cash equivalent balances that exceed federally insured limits with a number of financial institutions.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Inventories </w:t>
      </w:r>
      <w:r>
        <w:rPr>
          <w:color w:val="000000"/>
        </w:rPr>
        <w:t xml:space="preserve">— </w:t>
      </w:r>
      <w:r>
        <w:rPr>
          <w:rFonts w:ascii="Times New Roman;sans-serif" w:hAnsi="Times New Roman;sans-serif"/>
          <w:b w:val="false"/>
          <w:color w:val="000000"/>
          <w:sz w:val="20"/>
        </w:rPr>
        <w:t>Inventories consist of food, beverages, amusement merchandise and other supplies and are stated at the lower of cost (first-in, first-out method) or net realizable value. We record inventory reserves for obsolete and slow-moving inventory. See Note 3 for a summary of inventory balances.</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Cloud-based computing arrangements </w:t>
      </w:r>
      <w:r>
        <w:rPr>
          <w:color w:val="000000"/>
        </w:rPr>
        <w:t xml:space="preserve">— </w:t>
      </w:r>
      <w:r>
        <w:rPr>
          <w:rFonts w:ascii="Times New Roman;sans-serif" w:hAnsi="Times New Roman;sans-serif"/>
          <w:b w:val="false"/>
          <w:color w:val="000000"/>
          <w:sz w:val="20"/>
        </w:rPr>
        <w:t>The Company defers application development stage costs for cloud-based computing arrangements and amortizes those costs over the related license subscription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Long-lived assets</w:t>
      </w:r>
      <w:r>
        <w:rPr>
          <w:color w:val="000000"/>
        </w:rPr>
        <w:t xml:space="preserve"> — </w:t>
      </w:r>
      <w:r>
        <w:rPr>
          <w:rFonts w:ascii="Times New Roman;sans-serif" w:hAnsi="Times New Roman;sans-serif"/>
          <w:b w:val="false"/>
          <w:color w:val="000000"/>
          <w:sz w:val="20"/>
        </w:rPr>
        <w:t xml:space="preserve">Property and equipment are carried at cost less accumulated depreciation. Depreciation is computed on the straight-line method. Estimated depreciable lives for the categories of property and equipment follows: </w:t>
      </w:r>
    </w:p>
    <w:tbl>
      <w:tblPr>
        <w:tblW w:w="5549" w:type="dxa"/>
        <w:jc w:val="center"/>
        <w:tblInd w:w="0" w:type="dxa"/>
        <w:tblLayout w:type="fixed"/>
        <w:tblCellMar>
          <w:top w:w="28" w:type="dxa"/>
          <w:left w:w="28" w:type="dxa"/>
          <w:bottom w:w="28" w:type="dxa"/>
          <w:right w:w="28" w:type="dxa"/>
        </w:tblCellMar>
      </w:tblPr>
      <w:tblGrid>
        <w:gridCol w:w="1216"/>
        <w:gridCol w:w="1069"/>
        <w:gridCol w:w="1074"/>
        <w:gridCol w:w="640"/>
        <w:gridCol w:w="640"/>
        <w:gridCol w:w="910"/>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Depreciable Lives</w:t>
              <w:br/>
              <w:t>(In Years)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Building and building improvements </w:t>
            </w:r>
            <w:r>
              <w:rPr>
                <w:rFonts w:ascii="Times New Roman;sans-serif" w:hAnsi="Times New Roman;sans-serif"/>
                <w:b w:val="false"/>
                <w:color w:val="000000"/>
                <w:sz w:val="13"/>
              </w:rPr>
              <w:t>(1)</w:t>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5-40</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Leasehold improvements </w:t>
            </w:r>
            <w:r>
              <w:rPr>
                <w:rFonts w:ascii="Times New Roman;sans-serif" w:hAnsi="Times New Roman;sans-serif"/>
                <w:b w:val="false"/>
                <w:color w:val="000000"/>
                <w:sz w:val="13"/>
              </w:rPr>
              <w:t>(1)</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5-20</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Games</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3-20</w:t>
            </w:r>
          </w:p>
        </w:tc>
      </w:tr>
    </w:tbl>
    <w:p>
      <w:pPr>
        <w:pStyle w:val="TextBody"/>
        <w:bidi w:val="0"/>
        <w:spacing w:lineRule="auto" w:line="288" w:before="0" w:after="0"/>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Buildings and building improvements and leasehold improvements related to leased properties are depreciated over the lesser of the lease term, inclusive of reasonably certain renewal periods, or the useful life of the asset.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that extend the life, increase capacity of or improve the safety or the efficiency of the property and equipment are capitalized, whereas costs incurred to maintain the appearance and functionality of such assets are charged to repair and maintenance expense. Application development stage costs for internally developed software projects are capitalized and amortized as part of furniture, fixtures, and equipment. Interest cost on funds used during the acquisition period of significant capital assets are capitalized as part of the asset and depreciated. Gains and losses related to store property and equipment disposals are recorded in “Other store operating expenses” in the Consolidated Statements of Comprehensive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potential impairment of our long-lived assets related to each store to be held and used in business, including property and equipment and right-of-use (“ROU”) assets, on an annual basis or whenever events or changes in circumstances indicate that the carrying values of these assets may not be recoverable.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The more significant inputs used in determining our estimate of the projected undiscounted cash flows included future revenue growth and projected margins as well as the estimate of the remaining useful life of the assets. If the carrying amount is not recoverable, we record an impairment charge equal to the excess of the carrying amount over the fair value, which is estimated based on discounted projected future operating cash flows of the store over the remaining service life using a risk adjusted discount rate that is commensurate with the inherent risk.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Goodwill and tradenames </w:t>
      </w:r>
      <w:r>
        <w:rPr>
          <w:color w:val="000000"/>
        </w:rPr>
        <w:t xml:space="preserve">— </w:t>
      </w:r>
      <w:r>
        <w:rPr>
          <w:rFonts w:ascii="Times New Roman;sans-serif" w:hAnsi="Times New Roman;sans-serif"/>
          <w:b w:val="false"/>
          <w:color w:val="000000"/>
          <w:sz w:val="20"/>
        </w:rPr>
        <w:t xml:space="preserve">Goodwill and tradenames have indefinite useful lives, are not subject to amortization, and are evaluated for impairment annually or more frequently if an event occurs or circumstances change that would indicate that impairment may exist. We consider our Dave &amp; Buster's and Main Event brands to be both our operating segments and reporting units. Goodwill and tradenames are evaluated at the level of these two operating segments.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goodwill as of February 4, 2024 was $742.5, of which $272.6 related to the Dave &amp; Buster's operating segment and $469.9 related to the goodwill added as a result of the Main Event Acquisition. Additionally, the carrying value of tradenames as of February 4, 2024 was $178.2, of which $79.0 related to the Dave &amp; Buster's operating segment and $99.2 related to the tradename acquired as a result of the Main Event Acquisition.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evaluating goodwill and tradenames for impairment, the Company first performs a qualitative assessment to determine whether it is more likely than not that its reporting unit or tradenames are impaired. For fiscal years 2023, 2022 and 2021, there was no impairment to our goodwill or tradenames.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Fair value of financial instruments</w:t>
      </w:r>
      <w:r>
        <w:rPr>
          <w:color w:val="000000"/>
        </w:rPr>
        <w:t xml:space="preserve"> — </w:t>
      </w: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accounts and notes receivable, accounts payable and other current liabilities approximate fair value because of their short-term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debt is determined based on traded price data as of the measurement date, which we classify as a Level Two input within the fair value hierarchy. The fair value of the Company's debt was as follows as of the periods indicated:</w:t>
      </w:r>
    </w:p>
    <w:tbl>
      <w:tblPr>
        <w:tblW w:w="5275" w:type="dxa"/>
        <w:jc w:val="center"/>
        <w:tblInd w:w="0" w:type="dxa"/>
        <w:tblLayout w:type="fixed"/>
        <w:tblCellMar>
          <w:top w:w="28" w:type="dxa"/>
          <w:left w:w="28" w:type="dxa"/>
          <w:bottom w:w="28" w:type="dxa"/>
          <w:right w:w="28" w:type="dxa"/>
        </w:tblCellMar>
      </w:tblPr>
      <w:tblGrid>
        <w:gridCol w:w="771"/>
        <w:gridCol w:w="677"/>
        <w:gridCol w:w="681"/>
        <w:gridCol w:w="268"/>
        <w:gridCol w:w="974"/>
        <w:gridCol w:w="138"/>
        <w:gridCol w:w="109"/>
        <w:gridCol w:w="109"/>
        <w:gridCol w:w="109"/>
        <w:gridCol w:w="268"/>
        <w:gridCol w:w="975"/>
        <w:gridCol w:w="196"/>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i/>
          <w:color w:val="000000"/>
          <w:sz w:val="20"/>
        </w:rPr>
        <w:t xml:space="preserve">Revenues </w:t>
      </w:r>
      <w:r>
        <w:rPr>
          <w:color w:val="000000"/>
        </w:rPr>
        <w:t xml:space="preserve">— </w:t>
      </w:r>
      <w:r>
        <w:rPr>
          <w:rFonts w:ascii="Times New Roman;sans-serif" w:hAnsi="Times New Roman;sans-serif"/>
          <w:b w:val="false"/>
          <w:color w:val="000000"/>
          <w:sz w:val="20"/>
        </w:rPr>
        <w:t>Our entertainment revenues primarily consist of attractions including redemption and simulation games, bowling, laser tag, billiards and gravity ropes. Our food and beverage revenues consist of full meals, appetizers and both alcoholic and non-alcoholic beverages. The following table presents revenues included in these categories for the periods presented:</w:t>
      </w:r>
    </w:p>
    <w:tbl>
      <w:tblPr>
        <w:tblW w:w="7793" w:type="dxa"/>
        <w:jc w:val="center"/>
        <w:tblInd w:w="0" w:type="dxa"/>
        <w:tblLayout w:type="fixed"/>
        <w:tblCellMar>
          <w:top w:w="28" w:type="dxa"/>
          <w:left w:w="28" w:type="dxa"/>
          <w:bottom w:w="28" w:type="dxa"/>
          <w:right w:w="28" w:type="dxa"/>
        </w:tblCellMar>
      </w:tblPr>
      <w:tblGrid>
        <w:gridCol w:w="1059"/>
        <w:gridCol w:w="931"/>
        <w:gridCol w:w="935"/>
        <w:gridCol w:w="268"/>
        <w:gridCol w:w="974"/>
        <w:gridCol w:w="138"/>
        <w:gridCol w:w="109"/>
        <w:gridCol w:w="109"/>
        <w:gridCol w:w="109"/>
        <w:gridCol w:w="271"/>
        <w:gridCol w:w="984"/>
        <w:gridCol w:w="140"/>
        <w:gridCol w:w="109"/>
        <w:gridCol w:w="109"/>
        <w:gridCol w:w="109"/>
        <w:gridCol w:w="309"/>
        <w:gridCol w:w="904"/>
        <w:gridCol w:w="22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revenues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non-alcoholic beverages</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Alcoholic beverages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revenues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7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Primarily consists of revenue earned from party rentals and gift card breakage (see </w:t>
      </w:r>
      <w:r>
        <w:rPr>
          <w:rFonts w:ascii="Times New Roman;sans-serif" w:hAnsi="Times New Roman;sans-serif"/>
          <w:b w:val="false"/>
          <w:i/>
          <w:color w:val="000000"/>
          <w:sz w:val="18"/>
        </w:rPr>
        <w:t>Revenue recognition</w:t>
      </w:r>
      <w:r>
        <w:rPr>
          <w:color w:val="000000"/>
        </w:rPr>
        <w:t xml:space="preserve"> </w:t>
      </w:r>
      <w:r>
        <w:rPr>
          <w:rFonts w:ascii="Times New Roman;sans-serif" w:hAnsi="Times New Roman;sans-serif"/>
          <w:b w:val="false"/>
          <w:color w:val="000000"/>
          <w:sz w:val="18"/>
        </w:rPr>
        <w:t>below).</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 xml:space="preserve">Revenue recognition </w:t>
      </w:r>
      <w:r>
        <w:rPr>
          <w:color w:val="000000"/>
        </w:rPr>
        <w:t xml:space="preserve">— </w:t>
      </w:r>
      <w:r>
        <w:rPr>
          <w:rFonts w:ascii="Times New Roman;sans-serif" w:hAnsi="Times New Roman;sans-serif"/>
          <w:b w:val="false"/>
          <w:color w:val="000000"/>
          <w:sz w:val="20"/>
        </w:rPr>
        <w:t>Entertainment revenues are primarily recognized upon utilization of game play credits on gaming cards purchased and used by customers to activate video and redemption games. Redemption games allow customers to earn tickets, which may be redeemed for prizes. We have deferred a portion of entertainment revenues for the estimated unfulfilled performance obligations based on an estimated rate of future use by customers of unused game play credits and the material right provided to customers to redeem tickets in the future for prizes. We estimate the amount of deferred revenue based upon credits and tickets remaining on gaming cards, historic game play credit and ticket utilization patterns and estimates of the standalone selling prices of game play credits and the customer material right. The standalone selling price of the customer material right is estimated using an equivalent chip cost plus margin approach. For purposes of recognizing revenue, the total amount collected from each customer is then allocated between the two performance obligations based on the relative standalone selling price of each obligation.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deferred entertainment revenue is included in “Accrued liabilities” in our Consolidated Balance Sheets. During fiscal 2023, we recognized revenue of approximately $69.8 related to the amount in deferred entertainment revenue as of the end of fiscal 2022. During fiscal 2022, we recognized revenue of approximately $42.8 related to the amount in deferred entertainment revenue as of the end of fiscal 2021.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gift cards, which do not have expiration dates, and we do not deduct non-usage fees from outstanding gift card balances. The Company recognizes revenue from gift cards upon redemption by the customer. For unredeemed gift cards that the Company expects to be entitled to breakage and for which there is not a legal obligation to remit the unredeemed gift card balances to the relevant jurisdictions, the Company recognizes expected breakage as revenue in proportion to the pattern of redemption by the customers. The determination of the gift card breakage is based on the Company’s specific historical redemption patterns. Recognized gift card breakage revenue is included in “Entertainment revenues” in the Consolidated Statements of Comprehensive Income. The contract liability related to our gift cards is included in “Accrued liabilities” in our Consolidated Balance Sheets. During fiscal 2023, we recognized revenue of approximately $10.2 related to the amount in deferred gift card revenue as of the end of fiscal 2022. During fiscal 2022, we recognized revenue of approximately $6.3 related to the amount in deferred gift card revenue as of the end of fiscal 2021.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revenues are recognized when payment is tendered at the point of sale as the performance obligation has been satisfied. Beginning in fiscal 2021, we began to offer our customers delivery services,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fulfilled by third-party service providers. We recognize revenues at the gross amount, and delivery fees are included in “Other store operating expenses” in the Consolidated Statements of Comprehensive Income.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reported net of sales-related taxes collected from customers to be remitted to governmental taxing authorities. Sales tax collected is included in “Accrued liabilities” until the taxes are remitted to the appropriate taxing authorities. Historically, certain of our promotional programs include multiple performance obligations that are discounted from the standalone selling prices. We allocate the entire discount to the remaining performance obligation.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2021, the Company launched an enhanced loyalty program, wherein eligible customers who enroll in the program generally earn rewards based on the level of chips played. Earned rewards generally expire one to two months after they are issued. We defer revenue associated with the estimated selling prices of rewards earned, net of rewards we do not expect to be redeemed.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Advertising costs</w:t>
      </w:r>
      <w:r>
        <w:rPr>
          <w:color w:val="000000"/>
        </w:rPr>
        <w:t xml:space="preserve"> — </w:t>
      </w:r>
      <w:r>
        <w:rPr>
          <w:rFonts w:ascii="Times New Roman;sans-serif" w:hAnsi="Times New Roman;sans-serif"/>
          <w:b w:val="false"/>
          <w:color w:val="000000"/>
          <w:sz w:val="20"/>
        </w:rPr>
        <w:t xml:space="preserve">Advertising production costs are expensed in the period when the advertising first takes place. Other advertising costs are expensed as incurred. Advertising costs expensed were $67.8, $57.6, and $32.2, in fiscal 2023, 2022 and 2021, respectively. Advertising costs are included in “Other store operating expenses” in the Consolidated Statements of Comprehensive Income.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Leases</w:t>
      </w:r>
      <w:r>
        <w:rPr>
          <w:color w:val="000000"/>
        </w:rPr>
        <w:t xml:space="preserve"> — </w:t>
      </w:r>
      <w:r>
        <w:rPr>
          <w:rFonts w:ascii="Times New Roman;sans-serif" w:hAnsi="Times New Roman;sans-serif"/>
          <w:b w:val="false"/>
          <w:color w:val="000000"/>
          <w:sz w:val="20"/>
        </w:rPr>
        <w:t>Our operating leases consist of facility leases at our stores and our store support center and certain equipment leases that have a term in excess of one year. At contract inception, we determine whether a contract is, or contains, a lease by determining whether it conveys the right to control the use of the identified asset for a period of time. We recognize a lease liability representing the present value of lease payments not yet paid and a corresponding ROU asset as of the lease commencement date. Operating lease ROU assets are initially and subsequently measured throughout the lease term at the carrying amount of the lease liability adjusted for lease incentives, initial direct costs, prepayments or accrued lease payments and impairment of ROU assets, if any. We assess lease classification at commencement and reassess lease classification subsequent to commencement upon a change to the expected lease term or modification of the contract. Generally, the Company’s lease contracts do not provide a readily determinable implicit rate, and therefore, the Company uses an estimated incremental borrowing rate as of the commencement date in determining the present value of lease payments. The Company uses judgment in determining its incremental borrowing rate, which includes selecting a yield curve based on a hypothetical credit rating.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leases typically have initial terms ranging from ten to twenty years and most include options to extend the leases for one or more 5-year periods. Generally, the lease term includes the non-cancelable period of the lease inclusive of reasonably certain renewal periods up to a term of twenty years. The Company’s lease agreements generally contain rent holidays and/or escalating rent clauses. Lease cost is recognized on a straight-line basis over the lease term. The Company is generally obligated for the cost of property taxes, insurance, and maintenance of the leased assets, which are often variable lease payments. Our leases typically provide for a fixed base rent plus contingent rent to be determined as a percentage of sales greater than certain specified target amounts. Contingent rental payments, when considered probable, are recognized as variable lease expenses. The Company accounts for the lease components and non-lease components, primarily fixed maintenance, for all leases, as a single lease component for new and modified leases. Our lease agreements do not contain any material residual value guarantees or material restrictive covenants.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Tenant incentives used to fund leasehold improvements are recognized when earned and reduce our ROU asset related to the lease. Tenant incentives are amortized through the ROU asset as reductions of expense over the lease term. The balance of leasehold improvement incentive receivables is reflected as a reduction of the current portion of operating lease liabilities. We consider the concentration of credit risk for tenant improvement allowance receivables from landlords to be minimal due to the payment histories and general financial condition of our landlords.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are included within the “Operating lease right of use assets”, “Accrued liabilities” and “Operating lease liabilities” in the Consolidated Balance Sheets. Operating lease payments are classified as cash flows from operating activities with ROU asset amortization and the change in the lease liability combined within “Other liabilities” in the reconciliation of net income to cash flows provided by operating activities in the Consolidated Statements of Cash Flows.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Self-insurance programs</w:t>
      </w:r>
      <w:r>
        <w:rPr>
          <w:color w:val="000000"/>
        </w:rPr>
        <w:t xml:space="preserve"> — </w:t>
      </w:r>
      <w:r>
        <w:rPr>
          <w:rFonts w:ascii="Times New Roman;sans-serif" w:hAnsi="Times New Roman;sans-serif"/>
          <w:b w:val="false"/>
          <w:color w:val="000000"/>
          <w:sz w:val="20"/>
        </w:rPr>
        <w:t>The Company utilizes a self-insurance plan for health, general liability and workers’ compensation coverage. To limit our exposure to losses, we maintain stop-loss coverage on our health coverage and excess liability policies on our general liability and workers' compensation coverage through third-party insurers. Losses are accrued based on the Company’s historical claims experience and case losses, assisted by independent third-party actuaries. The estimated cost to settle reported claims and incurred but unreported claims is included in “Accrued liabilities” and “Other liabilities”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Pre-opening costs</w:t>
      </w:r>
      <w:r>
        <w:rPr>
          <w:color w:val="000000"/>
        </w:rPr>
        <w:t xml:space="preserve"> — </w:t>
      </w:r>
      <w:r>
        <w:rPr>
          <w:rFonts w:ascii="Times New Roman;sans-serif" w:hAnsi="Times New Roman;sans-serif"/>
          <w:b w:val="false"/>
          <w:color w:val="000000"/>
          <w:sz w:val="20"/>
        </w:rPr>
        <w:t>Pre-opening costs include costs associated with the opening and organizing of new stores, including the cost of pre-opening rent, training, relocation, recruiting and travel costs for team members engaged in such pre-opening activities. All pre-opening costs are expensed as incurred.</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Income taxes</w:t>
      </w:r>
      <w:r>
        <w:rPr>
          <w:color w:val="000000"/>
        </w:rPr>
        <w:t xml:space="preserve"> — </w:t>
      </w:r>
      <w:r>
        <w:rPr>
          <w:rFonts w:ascii="Times New Roman;sans-serif" w:hAnsi="Times New Roman;sans-serif"/>
          <w:b w:val="false"/>
          <w:color w:val="000000"/>
          <w:sz w:val="20"/>
        </w:rPr>
        <w:t>Deferred tax assets and liabilities are recognized based upon anticipated future tax consequences attributable to differences between the financial statement carrying value of assets and liabilities and their respective tax basis. Deferred tax assets and liabilities are measured using current enacted tax rates expected to apply to taxable income in the years in which we expect the temporary differences to reverse. The effect of a change in tax rates on deferred taxes is recognized in income in the period that includes the enactment date. We routinely evaluate the likelihood of realizing the benefit of our deferred tax assets and may record a valuation allowance if, based on all available evidence, we determine that it is more likely than not that some portion of the tax benefit will not be realized.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tax liabilities involves judgment and evaluation of uncertainties in the interpretation of federal and state tax regulations. We evaluate our exposures associated with our various tax filing positions and recognize a tax benefit from an uncertain tax position only if it is more likely than not that the position will be sustained on examination by the taxing authorities based on the technical merits of the position. For uncertain tax positions that do not meet this threshold, we have established accruals for taxes that may become payable in future years as a result of audits by tax authorities. Tax accruals are adjusted as events occur that affect the potential liability for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certain issue.</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Foreign currency</w:t>
      </w:r>
      <w:r>
        <w:rPr>
          <w:color w:val="000000"/>
        </w:rPr>
        <w:t xml:space="preserve"> — </w:t>
      </w:r>
      <w:r>
        <w:rPr>
          <w:rFonts w:ascii="Times New Roman;sans-serif" w:hAnsi="Times New Roman;sans-serif"/>
          <w:b w:val="false"/>
          <w:color w:val="000000"/>
          <w:sz w:val="20"/>
        </w:rPr>
        <w:t>Foreign currency translation adjustments represent the unrealized impact of translating the financial statements of our Canadian stores from their respective functional currency (Canadian dollars) to U.S. dollars and are reported as a component of comprehensive income and recorded in “Accumulated other comprehensive loss” on our Consolidated Balance Sheets. Gains and losses from foreign currency transactions are recognized in “Other store operating expenses” in the Consolidated Statements of Comprehensive Income.</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Earnings per share</w:t>
      </w:r>
      <w:r>
        <w:rPr>
          <w:color w:val="000000"/>
        </w:rPr>
        <w:t xml:space="preserve"> — </w:t>
      </w:r>
      <w:r>
        <w:rPr>
          <w:rFonts w:ascii="Times New Roman;sans-serif" w:hAnsi="Times New Roman;sans-serif"/>
          <w:b w:val="false"/>
          <w:color w:val="000000"/>
          <w:sz w:val="20"/>
        </w:rPr>
        <w:t>Basic net income per share is computed by dividing net income available to common shareholders by the basic weighted average number of common shares outstanding for the reporting period. Diluted net income per share reflects the potential dilution that could occur if securities or other contracts to issue common stock were exercised or converted into common stock. For the calculation of diluted net income per share, the basic weighted average shares outstanding is increased by the dilutive effect of stock options and restricted share awards. Stock options and restricted share awards with an anti-dilutive effect are not included in the diluted net income per share calculation.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 are reconciled to diluted weighted average shares outstanding as follows:</w:t>
      </w:r>
    </w:p>
    <w:tbl>
      <w:tblPr>
        <w:tblW w:w="9066" w:type="dxa"/>
        <w:jc w:val="left"/>
        <w:tblInd w:w="0" w:type="dxa"/>
        <w:tblLayout w:type="fixed"/>
        <w:tblCellMar>
          <w:top w:w="28" w:type="dxa"/>
          <w:left w:w="28" w:type="dxa"/>
          <w:bottom w:w="28" w:type="dxa"/>
          <w:right w:w="28" w:type="dxa"/>
        </w:tblCellMar>
      </w:tblPr>
      <w:tblGrid>
        <w:gridCol w:w="1521"/>
        <w:gridCol w:w="1337"/>
        <w:gridCol w:w="1341"/>
        <w:gridCol w:w="459"/>
        <w:gridCol w:w="459"/>
        <w:gridCol w:w="461"/>
        <w:gridCol w:w="109"/>
        <w:gridCol w:w="109"/>
        <w:gridCol w:w="109"/>
        <w:gridCol w:w="464"/>
        <w:gridCol w:w="464"/>
        <w:gridCol w:w="466"/>
        <w:gridCol w:w="109"/>
        <w:gridCol w:w="109"/>
        <w:gridCol w:w="109"/>
        <w:gridCol w:w="421"/>
        <w:gridCol w:w="421"/>
        <w:gridCol w:w="598"/>
      </w:tblGrid>
      <w:tr>
        <w:trPr/>
        <w:tc>
          <w:tcPr>
            <w:tcW w:w="152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dilutive impact of awards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awards excluded as antidilutive</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Acquisitions — </w:t>
      </w:r>
      <w:r>
        <w:rPr>
          <w:rFonts w:ascii="Times New Roman;sans-serif" w:hAnsi="Times New Roman;sans-serif"/>
          <w:b w:val="false"/>
          <w:color w:val="000000"/>
          <w:sz w:val="20"/>
        </w:rPr>
        <w:t>The Company accounts for acquisitions under the acquisition method of accounting, which requires the acquired assets and liabilities, including contingencies, be recorded at fair value determined on the acquisition date and changes thereafter reflected in income. For significant acquisitions, the Company obtains independent third-party valuation studies for certain of the assets acquired and liabilities assumed to assist the Company in determining fair value. The estimation of the fair values of the assets acquired and liabilities assumed involves a number of estimates and assumptions that could differ materially from the actual amounts realized. The Company provides assumptions, including both quantitative and qualitative information, about the specified asset or liability to the third-party valuation firms so they can assist in determining the fair value of assets and liabilities acquired. The Company then records acquired assets and liabilities at their estimated fair value based on the information provided. The third-party valuation firms are supervised by Company personnel who are knowledgeable about valuations and fair value. The Company evaluates the appropriateness of the assumptions and valuation methodologies utilized by the third-party valuation firms.</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Recent accounting pronouncements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 November 2023, the Financial Accounting Standards Board (“FASB”) issued Accounting Standards Update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shd w:fill="FFFFFF" w:val="clear"/>
        </w:rPr>
        <w:t xml:space="preserve">, which requires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public entities, including those with a single reportable segment, to provide all the disclosures required by this standard and all existing segment disclosures required by </w:t>
      </w:r>
      <w:r>
        <w:rPr>
          <w:rFonts w:ascii="Times New Roman;sans-serif" w:hAnsi="Times New Roman;sans-serif"/>
          <w:b w:val="false"/>
          <w:i/>
          <w:color w:val="000000"/>
          <w:sz w:val="20"/>
          <w:shd w:fill="FFFFFF" w:val="clear"/>
        </w:rPr>
        <w:t>Segment Reporting (Topic 280)</w:t>
      </w:r>
      <w:r>
        <w:rPr>
          <w:color w:val="000000"/>
          <w:shd w:fill="FFFFFF" w:val="clear"/>
        </w:rPr>
        <w:t xml:space="preserve"> </w:t>
      </w:r>
      <w:r>
        <w:rPr>
          <w:rFonts w:ascii="Times New Roman;sans-serif" w:hAnsi="Times New Roman;sans-serif"/>
          <w:b w:val="false"/>
          <w:color w:val="000000"/>
          <w:sz w:val="20"/>
          <w:shd w:fill="FFFFFF" w:val="clear"/>
        </w:rPr>
        <w:t>on an interim and annual basis, including new requirements to disclose significant segment expenses that are regularly provided to the Chief Operating Decision Maker (“CODM”) and included within the reported measure(s) of a segment's profit or loss, the amount and composition of any other segment items, the title and position of the CODM, and how the CODM uses the reported measure(s) of a segment's profit or loss to assess performance and decide how to allocate resources. The guidance is effective for annual periods beginning after December 15, 2023, and interim periods beginning after December 15, 2024, applied retrospectively. Early adoption is permitted.</w:t>
      </w:r>
      <w:r>
        <w:rPr>
          <w:color w:val="000000"/>
        </w:rPr>
        <w:t xml:space="preserve"> </w:t>
      </w:r>
      <w:r>
        <w:rPr>
          <w:rFonts w:ascii="Times New Roman;sans-serif" w:hAnsi="Times New Roman;sans-serif"/>
          <w:b w:val="false"/>
          <w:color w:val="000000"/>
          <w:sz w:val="20"/>
          <w:shd w:fill="FFFFFF" w:val="clear"/>
        </w:rPr>
        <w:t>The Company expects ASU 2023-07 to require additional disclosures in the notes to our consolidated financial statements and does not plan early adoption.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shd w:fill="FFFFFF" w:val="clear"/>
        </w:rPr>
        <w:t>, which requires, among other things, the following for public business entities: (i) enhanced disclosures of specific categories of reconciling items included in the rate reconciliation, as well as additional information for any of these items meeting certain qualitative and quantitative thresholds; (ii) disclosure of the nature, effect and underlying causes of each individual reconciling item disclosed in the rate reconciliation and the judgment used in categorizing them if not otherwise evident; and (iii)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The provisions of ASU 2023-09 are effective for annual periods beginning after December 15, 2024. Early adoption is permitted. The Company expects ASU 2023-09 to require additional disclosures in the notes to our consolidated financial statements and does not plan early adoption</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 xml:space="preserve">Note 2: Business Combination </w:t>
      </w:r>
      <w:r>
        <w:rPr>
          <w:color w:val="000000"/>
        </w:rPr>
        <w:t xml:space="preserve">— </w:t>
      </w:r>
      <w:r>
        <w:rPr>
          <w:rFonts w:ascii="Times New Roman;sans-serif" w:hAnsi="Times New Roman;sans-serif"/>
          <w:b/>
          <w:color w:val="000000"/>
          <w:sz w:val="20"/>
        </w:rPr>
        <w:t>Acquisition of Main Event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29, 2022, the Company acquired Main Event for net cash and contingent consideration. Main Event is also focused on entertainment, food and drinks, largely for the demographic target of families with young children. The acquisition puts the Company in a strategic position for accelerated, profitable growth in both brands as well as creates cost synergies with our Dave &amp; Buster’s brand. We finalized our accounting for the Main Event Acquisition in the second quarter of fiscal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purchase price and net assets acquired in the Main Event Acquisition are as follows:</w:t>
      </w:r>
    </w:p>
    <w:tbl>
      <w:tblPr>
        <w:tblW w:w="4670" w:type="dxa"/>
        <w:jc w:val="center"/>
        <w:tblInd w:w="0" w:type="dxa"/>
        <w:tblLayout w:type="fixed"/>
        <w:tblCellMar>
          <w:top w:w="28" w:type="dxa"/>
          <w:left w:w="28" w:type="dxa"/>
          <w:bottom w:w="28" w:type="dxa"/>
          <w:right w:w="28" w:type="dxa"/>
        </w:tblCellMar>
      </w:tblPr>
      <w:tblGrid>
        <w:gridCol w:w="1336"/>
        <w:gridCol w:w="1175"/>
        <w:gridCol w:w="1178"/>
        <w:gridCol w:w="211"/>
        <w:gridCol w:w="61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cash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Contingent consideration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consideration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deferred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Less Liabilities: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 excluding 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The Company has an obligation to pay, in cash, an aggregate amount equal to any “Transaction Tax Benefits,” with respect to any taxable year of the Company after the Closing Date ending on or before December 31, 2028, including the current taxable year. This amount was based on the present value of the maximum amount provided in the Merger Agreement. As of February 4, 2024, the remaining unpaid balance of the contingent consideration of $0.6 was included in accrued liabilities on the consolidated balance sheet.</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Unaudited Pro Forma Information</w:t>
      </w:r>
      <w:r>
        <w:rPr>
          <w:color w:val="000000"/>
        </w:rPr>
        <w:t xml:space="preserve"> – </w:t>
      </w:r>
      <w:r>
        <w:rPr>
          <w:rFonts w:ascii="Times New Roman;sans-serif" w:hAnsi="Times New Roman;sans-serif"/>
          <w:b w:val="false"/>
          <w:color w:val="000000"/>
          <w:sz w:val="20"/>
        </w:rPr>
        <w:t>To reflect the Acquisition as if it had occurred on January 31, 2022, the unaudited pro forma results include adjustments to reflect, among other things, the interest expense from debt financings obtained to partially fund the cash consideration transferred. Pro forma adjustments were tax effected at the Company’s historical statutory rates in effect for the respective periods. The unaudited pro forma amounts are not necessarily indicative of the combined results of operations that would have been realized had the acquisitions and related financings occurred on the aforementioned dates, nor are they meant to be indicative of any anticipated combined results of operations that the Company will experience after the transaction. In addition, the amounts do not include any adjustments for actions that may be taken following the completion of the transaction, such as expected cost savings, operating synergies, or revenue enhancements that may be realized subsequent to the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information provides the effect of the Main Event Acquisition as if the acquisition had occurred at the beginning of fiscal 2022:</w:t>
      </w:r>
    </w:p>
    <w:tbl>
      <w:tblPr>
        <w:tblW w:w="3443" w:type="dxa"/>
        <w:jc w:val="center"/>
        <w:tblInd w:w="0" w:type="dxa"/>
        <w:tblLayout w:type="fixed"/>
        <w:tblCellMar>
          <w:top w:w="28" w:type="dxa"/>
          <w:left w:w="28" w:type="dxa"/>
          <w:bottom w:w="28" w:type="dxa"/>
          <w:right w:w="28" w:type="dxa"/>
        </w:tblCellMar>
      </w:tblPr>
      <w:tblGrid>
        <w:gridCol w:w="477"/>
        <w:gridCol w:w="420"/>
        <w:gridCol w:w="422"/>
        <w:gridCol w:w="277"/>
        <w:gridCol w:w="1005"/>
        <w:gridCol w:w="143"/>
        <w:gridCol w:w="109"/>
        <w:gridCol w:w="109"/>
        <w:gridCol w:w="109"/>
        <w:gridCol w:w="109"/>
        <w:gridCol w:w="109"/>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January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historical consolidated financial information of the Company and Main Event has been adjusted in the pro forma information to give effect to pro forma events that are directly attributable to the acquisition and related financing arrangements and are factually supportable.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Inventories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for the years presented:</w:t>
      </w:r>
    </w:p>
    <w:tbl>
      <w:tblPr>
        <w:tblW w:w="6972" w:type="dxa"/>
        <w:jc w:val="left"/>
        <w:tblInd w:w="0" w:type="dxa"/>
        <w:tblLayout w:type="fixed"/>
        <w:tblCellMar>
          <w:top w:w="28" w:type="dxa"/>
          <w:left w:w="28" w:type="dxa"/>
          <w:bottom w:w="28" w:type="dxa"/>
          <w:right w:w="28" w:type="dxa"/>
        </w:tblCellMar>
      </w:tblPr>
      <w:tblGrid>
        <w:gridCol w:w="1385"/>
        <w:gridCol w:w="1216"/>
        <w:gridCol w:w="1224"/>
        <w:gridCol w:w="350"/>
        <w:gridCol w:w="849"/>
        <w:gridCol w:w="181"/>
        <w:gridCol w:w="109"/>
        <w:gridCol w:w="109"/>
        <w:gridCol w:w="109"/>
        <w:gridCol w:w="347"/>
        <w:gridCol w:w="840"/>
        <w:gridCol w:w="253"/>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store—food and beverage</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store—entertainment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Corporate—entertainment, supplies and other</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Entertainment inventory includes electronics, plush toys and small novelty and other items used as redemption prizes for certain games, as well as supplies needed for entertainment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Property and Equipment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 of the following: </w:t>
      </w:r>
    </w:p>
    <w:tbl>
      <w:tblPr>
        <w:tblW w:w="6371" w:type="dxa"/>
        <w:jc w:val="left"/>
        <w:tblInd w:w="0" w:type="dxa"/>
        <w:tblLayout w:type="fixed"/>
        <w:tblCellMar>
          <w:top w:w="28" w:type="dxa"/>
          <w:left w:w="28" w:type="dxa"/>
          <w:bottom w:w="28" w:type="dxa"/>
          <w:right w:w="28" w:type="dxa"/>
        </w:tblCellMar>
      </w:tblPr>
      <w:tblGrid>
        <w:gridCol w:w="1168"/>
        <w:gridCol w:w="1023"/>
        <w:gridCol w:w="1034"/>
        <w:gridCol w:w="268"/>
        <w:gridCol w:w="974"/>
        <w:gridCol w:w="138"/>
        <w:gridCol w:w="109"/>
        <w:gridCol w:w="109"/>
        <w:gridCol w:w="109"/>
        <w:gridCol w:w="268"/>
        <w:gridCol w:w="975"/>
        <w:gridCol w:w="196"/>
      </w:tblGrid>
      <w:tr>
        <w:trPr/>
        <w:tc>
          <w:tcPr>
            <w:tcW w:w="116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totaled $207.7, $168.9, and $138.3 for fiscal 2023, fiscal 2022, and fiscal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Goodwill and Tradename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and tradename assets during fiscal 2023 and fiscal 2021 are as follows:</w:t>
      </w:r>
    </w:p>
    <w:tbl>
      <w:tblPr>
        <w:tblW w:w="5679" w:type="dxa"/>
        <w:jc w:val="left"/>
        <w:tblInd w:w="0" w:type="dxa"/>
        <w:tblLayout w:type="fixed"/>
        <w:tblCellMar>
          <w:top w:w="28" w:type="dxa"/>
          <w:left w:w="28" w:type="dxa"/>
          <w:bottom w:w="28" w:type="dxa"/>
          <w:right w:w="28" w:type="dxa"/>
        </w:tblCellMar>
      </w:tblPr>
      <w:tblGrid>
        <w:gridCol w:w="1244"/>
        <w:gridCol w:w="1093"/>
        <w:gridCol w:w="1098"/>
        <w:gridCol w:w="211"/>
        <w:gridCol w:w="616"/>
        <w:gridCol w:w="109"/>
        <w:gridCol w:w="109"/>
        <w:gridCol w:w="109"/>
        <w:gridCol w:w="109"/>
        <w:gridCol w:w="211"/>
        <w:gridCol w:w="61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Tradename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30,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Acquisition of Main Event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29,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Adjustment to Main Event goodwill </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4,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2"/>
        </w:rPr>
        <w:t xml:space="preserve">(1) </w:t>
      </w:r>
      <w:r>
        <w:rPr>
          <w:color w:val="000000"/>
        </w:rPr>
        <w:t>    </w:t>
      </w:r>
      <w:r>
        <w:rPr>
          <w:rFonts w:ascii="Times New Roman;sans-serif" w:hAnsi="Times New Roman;sans-serif"/>
          <w:b w:val="false"/>
          <w:color w:val="000000"/>
          <w:sz w:val="18"/>
        </w:rPr>
        <w:t>See Note 2 for discussion of the Main Event Acquisition.</w:t>
      </w:r>
    </w:p>
    <w:p>
      <w:pPr>
        <w:pStyle w:val="TextBody"/>
        <w:bidi w:val="0"/>
        <w:spacing w:lineRule="auto" w:line="288" w:before="0" w:after="0"/>
        <w:ind w:left="0" w:right="0" w:hanging="27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Adjustments to preliminary purchase price. The Company finalized its purchase accounting related to the Main Event Acquisition in the second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Accrued Liabilities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as of the fiscal years ended:</w:t>
      </w:r>
    </w:p>
    <w:tbl>
      <w:tblPr>
        <w:tblW w:w="7390" w:type="dxa"/>
        <w:jc w:val="left"/>
        <w:tblInd w:w="0" w:type="dxa"/>
        <w:tblLayout w:type="fixed"/>
        <w:tblCellMar>
          <w:top w:w="28" w:type="dxa"/>
          <w:left w:w="28" w:type="dxa"/>
          <w:bottom w:w="28" w:type="dxa"/>
          <w:right w:w="28" w:type="dxa"/>
        </w:tblCellMar>
      </w:tblPr>
      <w:tblGrid>
        <w:gridCol w:w="1536"/>
        <w:gridCol w:w="1353"/>
        <w:gridCol w:w="1356"/>
        <w:gridCol w:w="311"/>
        <w:gridCol w:w="908"/>
        <w:gridCol w:w="160"/>
        <w:gridCol w:w="109"/>
        <w:gridCol w:w="109"/>
        <w:gridCol w:w="109"/>
        <w:gridCol w:w="309"/>
        <w:gridCol w:w="904"/>
        <w:gridCol w:w="226"/>
      </w:tblGrid>
      <w:tr>
        <w:trPr/>
        <w:tc>
          <w:tcPr>
            <w:tcW w:w="153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entertainment revenue</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Current portion of operating lease liabilities, net </w:t>
            </w:r>
            <w:r>
              <w:rPr>
                <w:rFonts w:ascii="Times New Roman;sans-serif" w:hAnsi="Times New Roman;sans-serif"/>
                <w:b w:val="false"/>
                <w:color w:val="000000"/>
                <w:sz w:val="13"/>
              </w:rPr>
              <w:t>(1)</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gift card revenue</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use and other taxes</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self-insurance reserves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deferred occupancy costs</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Leasehold incentive receivables from landlords of $13.0 and $5.9 as of February 4, 2024 and January 29, 2023, respectively, are reflected as a reduction of the current portion of operating lease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Debt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consists of the following:</w:t>
      </w:r>
    </w:p>
    <w:tbl>
      <w:tblPr>
        <w:tblW w:w="6836" w:type="dxa"/>
        <w:jc w:val="left"/>
        <w:tblInd w:w="0" w:type="dxa"/>
        <w:tblLayout w:type="fixed"/>
        <w:tblCellMar>
          <w:top w:w="28" w:type="dxa"/>
          <w:left w:w="28" w:type="dxa"/>
          <w:bottom w:w="28" w:type="dxa"/>
          <w:right w:w="28" w:type="dxa"/>
        </w:tblCellMar>
      </w:tblPr>
      <w:tblGrid>
        <w:gridCol w:w="1335"/>
        <w:gridCol w:w="1174"/>
        <w:gridCol w:w="1181"/>
        <w:gridCol w:w="268"/>
        <w:gridCol w:w="974"/>
        <w:gridCol w:w="138"/>
        <w:gridCol w:w="109"/>
        <w:gridCol w:w="109"/>
        <w:gridCol w:w="109"/>
        <w:gridCol w:w="268"/>
        <w:gridCol w:w="975"/>
        <w:gridCol w:w="196"/>
      </w:tblGrid>
      <w:tr>
        <w:trPr/>
        <w:tc>
          <w:tcPr>
            <w:tcW w:w="13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facility—revolver</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facility—term loan</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outstanding</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installments of long-term debt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issue discounts and debt issuance costs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Senior Secured 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Main Event Acquisition on June 29, 2022, the Company entered into a senior secured credit agreement, which refinanced the $500.0 existing revolving facility, extended the maturity date to June 29, 2027, and added a new term loan facility in the aggregate principal amount of $850.0, with a maturity date of June 29, 2029 (“Credit Facility”). The proceeds of the term loan, net of an original issue discount of $42.5, were used to pay the consideration for the Main Event Acquisition. The revolving credit facility can expire before the stated maturity date if the aggregate outstanding principal amount of the Notes, as defined below, exceeds $100.0 ninety-one days prior to November 1, 2025. A portion of the revolving facility not to exceed $35.0 is available for the issuance of letters of credit. The Credit Facility is unconditionally guaranteed by D&amp;B Holdings, and certain of D&amp;B Inc’s existing and future wholly owned material domestic subsidiaries serve as guarantors and/or co-borrowers.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4, 2024, we had letters of credit outstanding of $9.7 and an unused commitment balance of $490.3 under the revolving facility. The Credit Facility may be increased through incremental facilities, by an amount equal to the greater of (i) $400.0 and (ii) 0.75 times trailing twelve-month Adjusted EBITDA, as defined, plus additional amounts subject to compliance with applicable leverage ratio and/or interest coverage ratio requirements.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original interest rates per annum applicable to SOFR term loans are based on a defined SOFR rate (with a floor of 0.50%) plus an additional credit spread adjustment of 0.10%, plus a margin of 5.00%. The original interest rates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annum applicable to SOFR revolving loans (the “Revolving Loans”) are based on the term loan SOFR rate, plus an additional credit spread adjustment of 0.10%, plus an initial margin of 4.75%. Unused commitments under the revolving facility incur initial commitment fees of 0.50%. After the Company’s third quarter of fiscal 2022, the margin for Revolving Loans became subject to a pricing grid based on net total leverage, ranging from 4.25% to 4.75%, and commitment fees became subject to a pricing grid based on net total leverage, ranging from 0.30% to 0.50%.</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First Amendment to the Credit Facility (the “First Amendment”)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D&amp;B Inc entered into the First Amendment with its banking syndicate, which amended the Credit Facility. The Amendment provided for a new tranche of term loans in an aggregate principal amount of $900.0 (the “2023 Term B Loans”) which consisted of $843.6 of 2023 refinancing Term B Loans which refinanced in full the term loans outstanding immediately prior to the First Amendment effective date and $56.4 of 2023 additional Term B Loans, which were used for general corporate and working capital purposes. The 2023 Term B Loans, which were issued with an original issue discount of 1%, reduced the interest rate margin applicable to term loans and Revolving Loans outstanding under the Credit Facility by 1.25% and otherwise have terms substantially the same as the terms of the existing Term B Loans under the June 29, 2022 Credit Facility. The 2023 Term B Loans could be prepaid at any time, without premium or penalty, but were subject to a prepayment premium of 1.00% (subject to certain exceptions) if certain refinancing of, or amendment to, reduce the all-in-yield of the 2023 Term B Loans was made at any time during the first six months after the Amendment effective date.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First Amendment, the 2023 Term B Loans bore interest at Term SOFR (plus an additional credit spread adjustment of 0.10%) or ABR (each, as defined in the amended Credit Facility) plus (i) in the case of Term SOFR loans, 3.75% per annum and (ii) in the case of ABR loans, 2.75% per annum. The Revolving Loans bore interest subject to a pricing grid based on net total leverage, at Term SOFR (plus an additional credit spread adjustment of 0.10%) plus a spread ranging from 3.00% to 3.50% per annum or ABR plus a spread ranging from 2.00% to 2.50% per annum. Unused commitments under the revolving facility incur initial commitment fees of 0.30% to 0.50%.</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Second Amendment to the Credit Facility (the “Second Amendment”)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19, 2024, D&amp;B Inc entered into the Second Amendment with its banking syndicate, which amended the Credit Facility. The Second Amendment provides for a new tranche of term loans in an aggregate principal amount of $897.8 (the “2024 Term B Loans”) which consist of $897.8 of 2024 refinancing Term B Loans which refinanced in full the 2023 Term B Loans outstanding immediately prior to the Second Amendment effective date. The 2024 Term B Loans reduced the interest rate margin applicable to term loans and Revolving Loans outstanding under the Credit Facility by 0.50%, removed the previously existing 0.10% credit spread adjustment, provided for an additional 0.25% step-down if a rating of B1/B+ or higher from Moody’s and S&amp;P is achieved (which will step back up if such rating is subsequently not maintained), and otherwise have terms substantially the same as the terms of the existing 2023 Term B Loans under the First Amendment. The 2024 Term B Loans could be prepaid at any time, without premium or penalty, but were subject to a prepayment premium of 1.00% (subject to certain exceptions) if certain refinancing of, or amendment to, reduce the all-in-yield of the 2024 Term B Loans is made at any time during the first six months after the Second Amendment effective date.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2024 Term B Loans bear interest at Term SOFR or ABR (each, as defined in the amended Credit Facility) plus (i) in the case of Term SOFR loans, 3.25% per annum and (ii) in the case of ABR loans, 2.25% per annum. The Revolving Loans bear interest subject to a pricing grid based on net total leverage, at Term SOFR plus a spread ranging from 2.50% to 3.00% per annum or ABR plus a spread ranging from 1.50% to 2.00% per annum. Unused commitments under the revolving facility incur initial commitment fees of 0.30% to 0.50%.</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7.625% Senior Secured Notes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2020, the Company issued $550.0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$110.0 outstanding principal amount of the Notes. The Company may elect to further redeem the Notes, in whole or in part, at certain specified redemption prices, plus accrued and unpaid interest, at the redemption date.</w:t>
      </w:r>
    </w:p>
    <w:p>
      <w:pPr>
        <w:pStyle w:val="TextBody"/>
        <w:bidi w:val="0"/>
        <w:spacing w:lineRule="auto" w:line="276"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Loss on debt refinancing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First Amendment, the Company had $46.9 of unamortized issuance discounts and costs. As certain lenders exited the syndicate and were replaced by new syndicate members and the term loan facility was increased in size as a result of the First Amendment and Second Amendment described above, a portion of the term loan facility was deemed extinguished and a portion was determined to be modified. As a result, $10.9 of unamortized costs were written off and $5.2 of new fees were expensed on the modified portion resulting in a total charge of $16.1 included in loss on debt refinancing on the consolidated statements of comprehensive income for fiscal 2023. The remaining unamortized issuance discounts and new issuance discount and costs immediately subsequent to the refinancings were deferred and are amortized into interest expense, net over the remaining term of the Credit Facility.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Future debt obligations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Below is our future debt principal payment obligations as of February 4, 2024 by fiscal year:</w:t>
      </w:r>
    </w:p>
    <w:tbl>
      <w:tblPr>
        <w:tblW w:w="3036" w:type="dxa"/>
        <w:jc w:val="center"/>
        <w:tblInd w:w="0" w:type="dxa"/>
        <w:tblLayout w:type="fixed"/>
        <w:tblCellMar>
          <w:top w:w="28" w:type="dxa"/>
          <w:left w:w="28" w:type="dxa"/>
          <w:bottom w:w="28" w:type="dxa"/>
          <w:right w:w="28" w:type="dxa"/>
        </w:tblCellMar>
      </w:tblPr>
      <w:tblGrid>
        <w:gridCol w:w="689"/>
        <w:gridCol w:w="604"/>
        <w:gridCol w:w="612"/>
        <w:gridCol w:w="211"/>
        <w:gridCol w:w="76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Interest expense and weighted average effective interest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recorded interest expense, net for the periods presented:</w:t>
      </w:r>
    </w:p>
    <w:tbl>
      <w:tblPr>
        <w:tblW w:w="8933" w:type="dxa"/>
        <w:jc w:val="left"/>
        <w:tblInd w:w="0" w:type="dxa"/>
        <w:tblLayout w:type="fixed"/>
        <w:tblCellMar>
          <w:top w:w="28" w:type="dxa"/>
          <w:left w:w="28" w:type="dxa"/>
          <w:bottom w:w="28" w:type="dxa"/>
          <w:right w:w="28" w:type="dxa"/>
        </w:tblCellMar>
      </w:tblPr>
      <w:tblGrid>
        <w:gridCol w:w="1473"/>
        <w:gridCol w:w="1291"/>
        <w:gridCol w:w="1301"/>
        <w:gridCol w:w="311"/>
        <w:gridCol w:w="908"/>
        <w:gridCol w:w="160"/>
        <w:gridCol w:w="109"/>
        <w:gridCol w:w="109"/>
        <w:gridCol w:w="109"/>
        <w:gridCol w:w="354"/>
        <w:gridCol w:w="858"/>
        <w:gridCol w:w="183"/>
        <w:gridCol w:w="109"/>
        <w:gridCol w:w="109"/>
        <w:gridCol w:w="109"/>
        <w:gridCol w:w="347"/>
        <w:gridCol w:w="840"/>
        <w:gridCol w:w="253"/>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debt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associated with swap agreements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issue discount and issuance cost</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expense on sale-leaseback </w:t>
            </w:r>
            <w:r>
              <w:rPr>
                <w:rFonts w:ascii="Times New Roman;sans-serif" w:hAnsi="Times New Roman;sans-serif"/>
                <w:b w:val="false"/>
                <w:color w:val="000000"/>
                <w:sz w:val="13"/>
              </w:rPr>
              <w:t>(1)</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See discussion of sale-leaseback transaction at Note 9 to the consolidated financial statements.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2023 and fiscal 2022, the Company’s weighted average effective interest rate on our total debt facilities (before capitalized interest amounts and excluding sale-leaseback interest) was 10.2% and 9.6%,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fiscal 2023 was 22.2%, compared to 21.0% for fiscal 2022. The previous year tax provision includes higher excess tax benefits associated with share-based compensation.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The Company has $0.8 of federal tax refunds remaining from the fiscal 2020 carryback claim filed during fiscal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income tax provision: </w:t>
      </w:r>
    </w:p>
    <w:tbl>
      <w:tblPr>
        <w:tblW w:w="7688" w:type="dxa"/>
        <w:jc w:val="left"/>
        <w:tblInd w:w="0" w:type="dxa"/>
        <w:tblLayout w:type="fixed"/>
        <w:tblCellMar>
          <w:top w:w="28" w:type="dxa"/>
          <w:left w:w="28" w:type="dxa"/>
          <w:bottom w:w="28" w:type="dxa"/>
          <w:right w:w="28" w:type="dxa"/>
        </w:tblCellMar>
      </w:tblPr>
      <w:tblGrid>
        <w:gridCol w:w="1020"/>
        <w:gridCol w:w="897"/>
        <w:gridCol w:w="902"/>
        <w:gridCol w:w="350"/>
        <w:gridCol w:w="849"/>
        <w:gridCol w:w="181"/>
        <w:gridCol w:w="109"/>
        <w:gridCol w:w="109"/>
        <w:gridCol w:w="109"/>
        <w:gridCol w:w="354"/>
        <w:gridCol w:w="858"/>
        <w:gridCol w:w="183"/>
        <w:gridCol w:w="109"/>
        <w:gridCol w:w="109"/>
        <w:gridCol w:w="109"/>
        <w:gridCol w:w="347"/>
        <w:gridCol w:w="840"/>
        <w:gridCol w:w="253"/>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provision:</w:t>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provision (benefit)</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the effective tax rate to the federal income tax rate: </w:t>
      </w:r>
    </w:p>
    <w:tbl>
      <w:tblPr>
        <w:tblW w:w="9068" w:type="dxa"/>
        <w:jc w:val="center"/>
        <w:tblInd w:w="0" w:type="dxa"/>
        <w:tblLayout w:type="fixed"/>
        <w:tblCellMar>
          <w:top w:w="28" w:type="dxa"/>
          <w:left w:w="28" w:type="dxa"/>
          <w:bottom w:w="28" w:type="dxa"/>
          <w:right w:w="28" w:type="dxa"/>
        </w:tblCellMar>
      </w:tblPr>
      <w:tblGrid>
        <w:gridCol w:w="1520"/>
        <w:gridCol w:w="1334"/>
        <w:gridCol w:w="1346"/>
        <w:gridCol w:w="307"/>
        <w:gridCol w:w="307"/>
        <w:gridCol w:w="766"/>
        <w:gridCol w:w="109"/>
        <w:gridCol w:w="109"/>
        <w:gridCol w:w="109"/>
        <w:gridCol w:w="309"/>
        <w:gridCol w:w="309"/>
        <w:gridCol w:w="776"/>
        <w:gridCol w:w="109"/>
        <w:gridCol w:w="109"/>
        <w:gridCol w:w="109"/>
        <w:gridCol w:w="293"/>
        <w:gridCol w:w="293"/>
        <w:gridCol w:w="854"/>
      </w:tblGrid>
      <w:tr>
        <w:trPr/>
        <w:tc>
          <w:tcPr>
            <w:tcW w:w="152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rate</w:t>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 net of federal benefit</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6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the deferred income tax liability, net consist of the following as of the periods indicated:</w:t>
      </w:r>
    </w:p>
    <w:tbl>
      <w:tblPr>
        <w:tblW w:w="7736" w:type="dxa"/>
        <w:jc w:val="left"/>
        <w:tblInd w:w="0" w:type="dxa"/>
        <w:tblLayout w:type="fixed"/>
        <w:tblCellMar>
          <w:top w:w="28" w:type="dxa"/>
          <w:left w:w="28" w:type="dxa"/>
          <w:bottom w:w="28" w:type="dxa"/>
          <w:right w:w="28" w:type="dxa"/>
        </w:tblCellMar>
      </w:tblPr>
      <w:tblGrid>
        <w:gridCol w:w="1632"/>
        <w:gridCol w:w="1431"/>
        <w:gridCol w:w="1437"/>
        <w:gridCol w:w="331"/>
        <w:gridCol w:w="968"/>
        <w:gridCol w:w="171"/>
        <w:gridCol w:w="109"/>
        <w:gridCol w:w="109"/>
        <w:gridCol w:w="109"/>
        <w:gridCol w:w="309"/>
        <w:gridCol w:w="904"/>
        <w:gridCol w:w="226"/>
      </w:tblGrid>
      <w:tr>
        <w:trPr/>
        <w:tc>
          <w:tcPr>
            <w:tcW w:w="163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04,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 and general liability insurance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carryovers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carryovers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business interest expense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Trademark/tradename</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related items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liability, net</w:t>
            </w:r>
          </w:p>
        </w:tc>
        <w:tc>
          <w:tcPr>
            <w:tcW w:w="3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4, 2024, we had $84.1 of state net operating loss carryforwards, which will begin to expire in fiscal 2024, and foreign tax credit carryovers of $1.6, which will begin to expire in 2028.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the decrease in the valuation allowance of $(2.3) primarily relates to the use of available net operating loss carryforwards and the release of previously established allowance for certain net operating loss carryforwards due to improved operating performance.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beginning and ending amount of unrecognized tax benefits follows: </w:t>
      </w:r>
    </w:p>
    <w:tbl>
      <w:tblPr>
        <w:tblW w:w="8391" w:type="dxa"/>
        <w:jc w:val="left"/>
        <w:tblInd w:w="0" w:type="dxa"/>
        <w:tblLayout w:type="fixed"/>
        <w:tblCellMar>
          <w:top w:w="28" w:type="dxa"/>
          <w:left w:w="28" w:type="dxa"/>
          <w:bottom w:w="28" w:type="dxa"/>
          <w:right w:w="28" w:type="dxa"/>
        </w:tblCellMar>
      </w:tblPr>
      <w:tblGrid>
        <w:gridCol w:w="1276"/>
        <w:gridCol w:w="1122"/>
        <w:gridCol w:w="1126"/>
        <w:gridCol w:w="400"/>
        <w:gridCol w:w="772"/>
        <w:gridCol w:w="208"/>
        <w:gridCol w:w="109"/>
        <w:gridCol w:w="109"/>
        <w:gridCol w:w="109"/>
        <w:gridCol w:w="405"/>
        <w:gridCol w:w="780"/>
        <w:gridCol w:w="209"/>
        <w:gridCol w:w="109"/>
        <w:gridCol w:w="109"/>
        <w:gridCol w:w="109"/>
        <w:gridCol w:w="394"/>
        <w:gridCol w:w="758"/>
        <w:gridCol w:w="287"/>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current year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February 4, 2024 balance of unrecognized tax benefits includes $2.4, that if recognized, would affect our effective tax rate. At February 4, 2024, and January 29, 2023, we had accrued interest and penalties of $0.6 and $0.5, respectively. The Company recorded accrued interest related to the unrecognized tax benefits and penalties as a component of the provision for income taxes recognized in the Consolidated Statements of Comprehensive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next twelve months, it is reasonably possible that our unrecognized tax benefits could change due to the resolution of certain tax matters, including payments on those tax matters or due to lapse of the statute of limitations. These resolutions and payments could reduce our unrecognized tax benefits by up to $0.6.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file consolidated income tax returns with all our domestic subsidiaries, which are periodically audited by various federal, state and foreign jurisdictions. We are generally no longer subject to federal, state, or foreign income tax examinations for years prior to 2014.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excess tax expense (benefits) of $(0.8), $(3.1), and $(6.9), in fiscal 2023, fiscal 2022 and fiscal 2021, respectively, to the provision for income taxes in the Consolidated Statements of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including variable lease costs primarily consisting of common area maintenance charges and property taxes, are as follows:</w:t>
      </w:r>
    </w:p>
    <w:tbl>
      <w:tblPr>
        <w:tblW w:w="6875" w:type="dxa"/>
        <w:jc w:val="left"/>
        <w:tblInd w:w="0" w:type="dxa"/>
        <w:tblLayout w:type="fixed"/>
        <w:tblCellMar>
          <w:top w:w="28" w:type="dxa"/>
          <w:left w:w="28" w:type="dxa"/>
          <w:bottom w:w="28" w:type="dxa"/>
          <w:right w:w="28" w:type="dxa"/>
        </w:tblCellMar>
      </w:tblPr>
      <w:tblGrid>
        <w:gridCol w:w="727"/>
        <w:gridCol w:w="639"/>
        <w:gridCol w:w="643"/>
        <w:gridCol w:w="311"/>
        <w:gridCol w:w="908"/>
        <w:gridCol w:w="160"/>
        <w:gridCol w:w="109"/>
        <w:gridCol w:w="109"/>
        <w:gridCol w:w="109"/>
        <w:gridCol w:w="314"/>
        <w:gridCol w:w="918"/>
        <w:gridCol w:w="162"/>
        <w:gridCol w:w="109"/>
        <w:gridCol w:w="109"/>
        <w:gridCol w:w="109"/>
        <w:gridCol w:w="309"/>
        <w:gridCol w:w="904"/>
        <w:gridCol w:w="226"/>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Short-term lease cost </w:t>
            </w:r>
            <w:r>
              <w:rPr>
                <w:rFonts w:ascii="Times New Roman;sans-serif" w:hAnsi="Times New Roman;sans-serif"/>
                <w:b w:val="false"/>
                <w:color w:val="000000"/>
                <w:sz w:val="13"/>
              </w:rPr>
              <w:t>(1)</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We have elected the short-term lease recognition exemption for all applicable classes of underlying assets. We have not recorded ROU assets and liabilities for leases with an initial term of 12 months or less that do not include a purchase option that we are reasonably certain to exercise.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variable lease cost and short-term lease cost related primarily to our facilities is included in “Other store operating expenses” for our operating stores, “Pre-opening costs” for our stores not yet operating, or “General and administrative expenses” for our store support center, in the Consolidated Statements of Comprehensive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disclosures of cash flow information related to leases were as follows: </w:t>
      </w:r>
    </w:p>
    <w:tbl>
      <w:tblPr>
        <w:tblW w:w="10205" w:type="dxa"/>
        <w:jc w:val="left"/>
        <w:tblInd w:w="0" w:type="dxa"/>
        <w:tblLayout w:type="fixed"/>
        <w:tblCellMar>
          <w:top w:w="28" w:type="dxa"/>
          <w:left w:w="28" w:type="dxa"/>
          <w:bottom w:w="28" w:type="dxa"/>
          <w:right w:w="28" w:type="dxa"/>
        </w:tblCellMar>
      </w:tblPr>
      <w:tblGrid>
        <w:gridCol w:w="1999"/>
        <w:gridCol w:w="1704"/>
        <w:gridCol w:w="1711"/>
        <w:gridCol w:w="260"/>
        <w:gridCol w:w="759"/>
        <w:gridCol w:w="333"/>
        <w:gridCol w:w="109"/>
        <w:gridCol w:w="109"/>
        <w:gridCol w:w="109"/>
        <w:gridCol w:w="262"/>
        <w:gridCol w:w="768"/>
        <w:gridCol w:w="337"/>
        <w:gridCol w:w="109"/>
        <w:gridCol w:w="109"/>
        <w:gridCol w:w="109"/>
        <w:gridCol w:w="261"/>
        <w:gridCol w:w="761"/>
        <w:gridCol w:w="396"/>
      </w:tblGrid>
      <w:tr>
        <w:trPr/>
        <w:tc>
          <w:tcPr>
            <w:tcW w:w="199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February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30, 2022</w:t>
            </w:r>
          </w:p>
        </w:tc>
      </w:tr>
      <w:tr>
        <w:trPr/>
        <w:tc>
          <w:tcPr>
            <w:tcW w:w="5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 liabilities</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ROU assets obtained in exchange for new operating lease liabilities </w:t>
            </w:r>
            <w:r>
              <w:rPr>
                <w:rFonts w:ascii="Times New Roman;sans-serif" w:hAnsi="Times New Roman;sans-serif"/>
                <w:b w:val="false"/>
                <w:color w:val="000000"/>
                <w:sz w:val="13"/>
              </w:rPr>
              <w:t>(1)</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3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term—operating leases</w:t>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14.2 years</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rate—operating leases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hanging="27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the leases acquired in the business combination discussed at Note 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Minimum future maturities of operating lease liabilities as of February 4, 2024 were as follows: </w:t>
      </w:r>
    </w:p>
    <w:tbl>
      <w:tblPr>
        <w:tblW w:w="4641" w:type="dxa"/>
        <w:jc w:val="left"/>
        <w:tblInd w:w="0" w:type="dxa"/>
        <w:tblLayout w:type="fixed"/>
        <w:tblCellMar>
          <w:top w:w="28" w:type="dxa"/>
          <w:left w:w="28" w:type="dxa"/>
          <w:bottom w:w="28" w:type="dxa"/>
          <w:right w:w="28" w:type="dxa"/>
        </w:tblCellMar>
      </w:tblPr>
      <w:tblGrid>
        <w:gridCol w:w="1269"/>
        <w:gridCol w:w="1113"/>
        <w:gridCol w:w="1128"/>
        <w:gridCol w:w="211"/>
        <w:gridCol w:w="76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operating lease liability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payments in the table above includes minimum lease payments for five future sites for which the leases have commenced. Operating lease payments exclude approximately $216.3 of minimum lease payments related to twelve facility leases that have been executed but have not yet commenced.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Sale-Leaseback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Company entered into a sale and master lease agreement (a "sale-leaseback") with an unrelated third-party. Under these agreements, the Company sold four of its store properties, including land, buildings and certain improvements, at a sale price of $85.8 and then leased the assets back through the sale-leaseback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certain criteria and in accordance with U.S. GAAP, the transaction was accounted for as a failed sale-leaseback. As a result, the store property assets remain on the consolidated balance sheet at their historical net book value and are depreciated over the remaining term of the master lease. A financing obligation liability was recognized in the amount of the net proceeds received in the amount of $84.2. The Company will not recognize rent expense related to the leased assets. Instead, monthly rent payments under the master lease agreement (initially, $6.4 per year) will be recorded as interest expense and a reduction of the outstanding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4, 2024 the long-term outstanding liability of $83.7 was recorded in Other long-term liabilities and the current outstanding liability of $0.3 was recorded in Accrued liabilities on the consolidated balance sheet related to the financing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10: Stockholders’ Equity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Share issuances and repurchases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2023, our Board approved a share repurchase program with an authorization limit of $100.0. On April 19, 2023, our Board approved an increase to the authorization limit of $200.0 for a total of $300.0 authorized under the program. On September 4, 2023 our Board approved an increase to the authorization limit of $100.0 for a total of $400.0 authorized under the program. During fiscal 2023, the Company repurchased 8.49 shares at an average of $35.35 per share. The remaining dollar value of shares that may be repurchased under the program is $100.0 as of February 4, 2024. Future decisions to repurchase shares continue to be at the discretion of the Board and will be dependent on our operating performance, financial condition, capital expenditure requirements and other factors that the Board considers relevant.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6, 2021, our Board approved a share repurchase program, under which the Company could repurchase shares on the private market, through privately negotiated transactions and through trading plans. During fiscal 2022, the Company purchased 0.76 shares of stock for $25.0 under its share repurchase program. The share repurchase authorization limit of $100.0 expired at the end of fiscal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treats shares withheld for tax purposes on behalf of our employees in connection with the vesting of restricted stock units as common stock repurchases because they reduce the number of shares that would have been issued upon vesting. These withheld shares of common stock were not considered common stock repurchases under the share repurchase plan. During the fiscal years ended 2023, 2022 and 2021, we withheld 0.09, 0.17, and 0.23 shares of common stock to satisfy $3.1, $8.5, and $9.5 of employees’ tax obligations,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dividends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declare or pay any dividends during fiscal years ended 2023, 2022 or 2021.</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Share-based compensation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equity incentive plan under which it may grant awards denominated in the Company’s common stock or units of the Company’s common stock, as well as cash variable compensation awards. The Company’s long-term incentive compensation provides awards to executive and management personnel as well as directors. We issue share-based awards under our 2014 Stock Incentive Plan. We may grant stock options or restricted stock units to executive and management personnel as well as members of our Board. Options granted to employees generally become exercisable ratably over a three-year period from the grant date. Performance-based restricted stock units and market stock units (“MSUs”) awarded to employees generally either vest ratably over three years or fully vest after three years, subject to the achievement of specified performance or market conditions, as applicable. Time-based restricted stock units have various service periods not exceeding five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terminate on the ten-year anniversary of the grants. Stock option awards generally provide continued vesting, in the event of termination, for employees that either a) reach age 60 or greater and have at least 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years of service or b) reach age 65. Unvested stock options and restricted stock units are generally forfeited by employees who terminate prior to vesting and are prorated for retired employees.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granted subject to a stock option award or time-based restricted stock unit award reduces the number of shares available under our stock incentive plans by one share. Each share granted subject to a performance restricted stock unit or market stock unit award reduces the number of shares available under our stock incentive plans by a range of one share if the target performance or market condition is achieved, up to a maximum of two shares for performance or market condition achieved above target and a minimum of no shares if performance or market condition achieved is below a minimum threshold target. The number of unissued common shares reserved for future grants under the 2014 Stock Incentive Plan is approximately 3.37 as of February 4, 2024. The Company satisfies stock option exercises and vesting of restricted stock units with newly issued shares.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of our stock option awards has been determined using the Black-Scholes option valuation model. The Black-Scholes option valuation model uses assumptions of expected volatility, the expected dividend yield of our stock, the expected term of the awards and the risk-free interest rate, as well as an estimated fair value of our common stock. Fair value valuation analyses were prepared by an independent third-party valuation firm, utilizing the market-determined share price.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options, as well as the significant assumptions used in determining the underlying fair value of those options, granted in fiscal 2023 were as follows:</w:t>
      </w:r>
    </w:p>
    <w:tbl>
      <w:tblPr>
        <w:tblW w:w="10205" w:type="dxa"/>
        <w:jc w:val="left"/>
        <w:tblInd w:w="0" w:type="dxa"/>
        <w:tblLayout w:type="fixed"/>
        <w:tblCellMar>
          <w:top w:w="28" w:type="dxa"/>
          <w:left w:w="28" w:type="dxa"/>
          <w:bottom w:w="28" w:type="dxa"/>
          <w:right w:w="28" w:type="dxa"/>
        </w:tblCellMar>
      </w:tblPr>
      <w:tblGrid>
        <w:gridCol w:w="824"/>
        <w:gridCol w:w="724"/>
        <w:gridCol w:w="728"/>
        <w:gridCol w:w="265"/>
        <w:gridCol w:w="265"/>
        <w:gridCol w:w="266"/>
        <w:gridCol w:w="109"/>
        <w:gridCol w:w="109"/>
        <w:gridCol w:w="109"/>
        <w:gridCol w:w="498"/>
        <w:gridCol w:w="498"/>
        <w:gridCol w:w="499"/>
        <w:gridCol w:w="109"/>
        <w:gridCol w:w="109"/>
        <w:gridCol w:w="109"/>
        <w:gridCol w:w="361"/>
        <w:gridCol w:w="361"/>
        <w:gridCol w:w="363"/>
        <w:gridCol w:w="109"/>
        <w:gridCol w:w="109"/>
        <w:gridCol w:w="109"/>
        <w:gridCol w:w="451"/>
        <w:gridCol w:w="1320"/>
        <w:gridCol w:w="233"/>
        <w:gridCol w:w="109"/>
        <w:gridCol w:w="109"/>
        <w:gridCol w:w="109"/>
        <w:gridCol w:w="372"/>
        <w:gridCol w:w="356"/>
        <w:gridCol w:w="513"/>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Expected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Grant 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 Granted</w:t>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pPr>
            <w:r>
              <w:rPr>
                <w:rFonts w:ascii="Times New Roman;sans-serif" w:hAnsi="Times New Roman;sans-serif"/>
                <w:b w:val="false"/>
                <w:color w:val="000000"/>
                <w:sz w:val="20"/>
              </w:rPr>
              <w:t>April 2023 time-based grant</w:t>
            </w:r>
            <w:r>
              <w:rPr>
                <w:color w:val="000000"/>
              </w:rPr>
              <w:t xml:space="preserve"> </w:t>
            </w:r>
            <w:r>
              <w:rPr>
                <w:rFonts w:ascii="Times New Roman;sans-serif" w:hAnsi="Times New Roman;sans-serif"/>
                <w:b w:val="false"/>
                <w:color w:val="000000"/>
                <w:sz w:val="13"/>
              </w:rPr>
              <w:t>(1)</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pPr>
            <w:r>
              <w:rPr>
                <w:rFonts w:ascii="Times New Roman;sans-serif" w:hAnsi="Times New Roman;sans-serif"/>
                <w:b w:val="false"/>
                <w:color w:val="000000"/>
                <w:sz w:val="20"/>
              </w:rPr>
              <w:t>Other 2023 time-based grants</w:t>
            </w:r>
            <w:r>
              <w:rPr>
                <w:color w:val="000000"/>
              </w:rPr>
              <w:t xml:space="preserve"> </w:t>
            </w:r>
            <w:r>
              <w:rPr>
                <w:rFonts w:ascii="Times New Roman;sans-serif" w:hAnsi="Times New Roman;sans-serif"/>
                <w:b w:val="false"/>
                <w:color w:val="000000"/>
                <w:sz w:val="13"/>
              </w:rPr>
              <w:t>(2)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granted</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Annual grant to certain executives.</w:t>
      </w:r>
    </w:p>
    <w:p>
      <w:pPr>
        <w:pStyle w:val="TextBody"/>
        <w:bidi w:val="0"/>
        <w:spacing w:lineRule="auto" w:line="288" w:before="0" w:after="0"/>
        <w:ind w:left="0" w:right="0" w:hanging="54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Grants to newly hired executive employees.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stock option award activity during fiscal 2023: </w:t>
      </w:r>
    </w:p>
    <w:tbl>
      <w:tblPr>
        <w:tblW w:w="4981" w:type="dxa"/>
        <w:jc w:val="center"/>
        <w:tblInd w:w="0" w:type="dxa"/>
        <w:tblLayout w:type="fixed"/>
        <w:tblCellMar>
          <w:top w:w="28" w:type="dxa"/>
          <w:left w:w="28" w:type="dxa"/>
          <w:bottom w:w="28" w:type="dxa"/>
          <w:right w:w="28" w:type="dxa"/>
        </w:tblCellMar>
      </w:tblPr>
      <w:tblGrid>
        <w:gridCol w:w="1000"/>
        <w:gridCol w:w="877"/>
        <w:gridCol w:w="882"/>
        <w:gridCol w:w="304"/>
        <w:gridCol w:w="304"/>
        <w:gridCol w:w="306"/>
        <w:gridCol w:w="109"/>
        <w:gridCol w:w="109"/>
        <w:gridCol w:w="109"/>
        <w:gridCol w:w="211"/>
        <w:gridCol w:w="61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 xml:space="preserve">of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29, 2023</w:t>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cancelled</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February 4, 2024</w:t>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February 4, 2024</w:t>
            </w:r>
          </w:p>
        </w:tc>
        <w:tc>
          <w:tcPr>
            <w:tcW w:w="6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fiscal 2023, fiscal 2022, and fiscal 2021 was $1.7, $5.1, and $10.4, respectively. The unrecognized expense related to our stock option plan totaled approximately $3.9 as of February 4, 2024 and will be expensed over a weighted average of 3.3 years. For options outstanding as of February 4, 2024, the weighted average remaining contractual life was 6.1 years and the aggregate intrinsic value was $10.5. For options exercisable as of February 4, 2024, the weighted average remaining contractual life was 4.3 years and the aggregate intrinsic value was $4.0.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restricted stock unit awards activity during fiscal 2023: </w:t>
      </w:r>
    </w:p>
    <w:tbl>
      <w:tblPr>
        <w:tblW w:w="4705" w:type="dxa"/>
        <w:jc w:val="center"/>
        <w:tblInd w:w="0" w:type="dxa"/>
        <w:tblLayout w:type="fixed"/>
        <w:tblCellMar>
          <w:top w:w="28" w:type="dxa"/>
          <w:left w:w="28" w:type="dxa"/>
          <w:bottom w:w="28" w:type="dxa"/>
          <w:right w:w="28" w:type="dxa"/>
        </w:tblCellMar>
      </w:tblPr>
      <w:tblGrid>
        <w:gridCol w:w="1000"/>
        <w:gridCol w:w="877"/>
        <w:gridCol w:w="882"/>
        <w:gridCol w:w="209"/>
        <w:gridCol w:w="209"/>
        <w:gridCol w:w="211"/>
        <w:gridCol w:w="109"/>
        <w:gridCol w:w="109"/>
        <w:gridCol w:w="109"/>
        <w:gridCol w:w="213"/>
        <w:gridCol w:w="622"/>
        <w:gridCol w:w="15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Avg</w:t>
              <w:br/>
              <w:t>Grant Date</w:t>
              <w:br/>
              <w:t>Fair Value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29, 2023</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February 4, 2024</w:t>
            </w:r>
          </w:p>
        </w:tc>
        <w:tc>
          <w:tcPr>
            <w:tcW w:w="6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values of restricted stock units granted during fiscal 2023, 2022 and 2021 were $35.94, $33.09, and $47.42, respectively. The total fair value of restricted stock units vested during fiscal 2023, 2022, and 2021 was $7.4, $20.6, and $29.3, respectively. The unrecognized expense related to our restricted stock units was $26.0 as of February 4, 2024, which will be expensed over a weighted average of 2.9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 related to stock options with only service conditions (time-based) is recognized on a straight-line basis over the requisite service period for each separately vesting portion of the award or to the date on which retirement eligibility is achieved, if shorter. Compensation expense for time-based restricted stock units is based on the market price of the shares underlying the awards on the grant date. Compensation expense for performance-based restricted stock units reflects the estimated probability that performance conditions at target or above will be met. Restricted stock units are expensed ratably over the service period. The effect of market conditions is considered in determining the grant date fair value of MSU awards, which is not subsequently revised based on actual performance.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stock option plans and time-based restricted stock units, which is included in general and administrative expenses on the consolidated statements of comprehensive income, was as follows for the fiscal years presented:</w:t>
      </w:r>
    </w:p>
    <w:tbl>
      <w:tblPr>
        <w:tblW w:w="5637" w:type="dxa"/>
        <w:jc w:val="center"/>
        <w:tblInd w:w="0" w:type="dxa"/>
        <w:tblLayout w:type="fixed"/>
        <w:tblCellMar>
          <w:top w:w="28" w:type="dxa"/>
          <w:left w:w="28" w:type="dxa"/>
          <w:bottom w:w="28" w:type="dxa"/>
          <w:right w:w="28" w:type="dxa"/>
        </w:tblCellMar>
      </w:tblPr>
      <w:tblGrid>
        <w:gridCol w:w="884"/>
        <w:gridCol w:w="777"/>
        <w:gridCol w:w="784"/>
        <w:gridCol w:w="211"/>
        <w:gridCol w:w="511"/>
        <w:gridCol w:w="109"/>
        <w:gridCol w:w="109"/>
        <w:gridCol w:w="109"/>
        <w:gridCol w:w="109"/>
        <w:gridCol w:w="211"/>
        <w:gridCol w:w="511"/>
        <w:gridCol w:w="109"/>
        <w:gridCol w:w="109"/>
        <w:gridCol w:w="109"/>
        <w:gridCol w:w="109"/>
        <w:gridCol w:w="211"/>
        <w:gridCol w:w="51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Commitments and Contingencies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terms of a settlement agreement with the Federal Trade Commission that requires us, on an ongoing basis, to establish, implement, and maintain a comprehensive information security program that is reasonably designed to protect the security, confidentiality, and integrity of personal information collected from or about consumers. The agreement does not require us to pay any fines or other monetary assessments and we do not believe that the terms of the agreement will have a material adverse effect on our business, operations, or financial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12: Subsequent Event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 2024, our Board approved an increase of $100.0 to our previously existing share repurchase program, under which the Company may repurchase shares on the open market, through privately negotiated transactions and through trading plans. See further discussion of the existing share repurchase program at Note 10. The total authorized under the program is now $500.0. The remaining dollar value of shares that may be repurchased under the program is now $200.0. The share repurchase program may be modified, suspended, or discontinued at any time. Future decisions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e093871c31734e59b737dd2f2034985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DAVE &amp; BUSTER’S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amounts)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repurchase shares continue to be at the discretion of the Board and will be dependent on our operating performance, financial condition, capital expenditure requirements and other factors that the Board considers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19 </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of Play – Insider Trading</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Effective Date:</w:t>
      </w:r>
      <w:r>
        <w:rPr>
          <w:color w:val="000000"/>
        </w:rPr>
        <w:t xml:space="preserve"> </w:t>
      </w:r>
      <w:r>
        <w:rPr>
          <w:rFonts w:ascii="Times New Roman;sans-serif" w:hAnsi="Times New Roman;sans-serif"/>
          <w:b w:val="false"/>
          <w:color w:val="000000"/>
          <w:sz w:val="20"/>
        </w:rPr>
        <w:t>August 1,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Scope: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applies to all team members, but has special application to Key Employees like our directors, officers, and key leaders and employees across the Company who have access to nonpublic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Purpose: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publicly traded company, we are subject to securities laws that impose significant penalties for buying or selling our common stock or other securities based on material information that has not become publicly available. For anyone who trades on material inside information or provides such information to others who then trade, these penalties include (i) a civil penalty of up to three times the profit gained or loss avoided; (ii) a criminal fine of up to $5 million; and (iii) a jail term of up to ten years. There’s also the possibility of civil lawsuits that could lead to a big judgment. These consequences not only affect the person violating securities laws, but also their colleagues, their family and our Company.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policy aims to protect you and our Company. Violators of this policy may be subject to immediate termination or other disciplinary action, as well as potential government action.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Policy: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Here are the rules: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 xml:space="preserve">You should never trade securities based on material non-public information. </w:t>
      </w:r>
      <w:r>
        <w:rPr>
          <w:rFonts w:ascii="Times New Roman;sans-serif" w:hAnsi="Times New Roman;sans-serif"/>
          <w:b w:val="false"/>
          <w:color w:val="000000"/>
          <w:sz w:val="20"/>
        </w:rPr>
        <w:t>Any person who has material non-public information relating to our Company may not buy or sell Company securities. Material information is any information that a reasonable investor would consider important in making an investment decision. Information is non-public until it has been formally announced by the Company through press releases or filings with the Securities and Exchange Commission (SEC) and has been adequately disseminated to the marketplace.</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2.</w:t>
      </w:r>
      <w:r>
        <w:rPr>
          <w:color w:val="000000"/>
        </w:rPr>
        <w:t>…</w:t>
      </w:r>
      <w:r>
        <w:rPr>
          <w:rFonts w:ascii="Times New Roman;sans-serif" w:hAnsi="Times New Roman;sans-serif"/>
          <w:b/>
          <w:color w:val="000000"/>
          <w:sz w:val="20"/>
        </w:rPr>
        <w:t>Neither should your family</w:t>
      </w:r>
      <w:r>
        <w:rPr>
          <w:rFonts w:ascii="Times New Roman;sans-serif" w:hAnsi="Times New Roman;sans-serif"/>
          <w:b w:val="false"/>
          <w:color w:val="000000"/>
          <w:sz w:val="20"/>
        </w:rPr>
        <w:t>. The same restrictions that apply to directors, officers and all of our other team members also apply to family members and others living in such person’s home. You are responsible for compliance with this policy by your family and personal household.</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3.</w:t>
      </w:r>
      <w:r>
        <w:rPr>
          <w:color w:val="000000"/>
        </w:rPr>
        <w:t>…</w:t>
      </w:r>
      <w:r>
        <w:rPr>
          <w:rFonts w:ascii="Times New Roman;sans-serif" w:hAnsi="Times New Roman;sans-serif"/>
          <w:b/>
          <w:color w:val="000000"/>
          <w:sz w:val="20"/>
        </w:rPr>
        <w:t xml:space="preserve">And neither should your friends or any other third parties. </w:t>
      </w:r>
      <w:r>
        <w:rPr>
          <w:rFonts w:ascii="Times New Roman;sans-serif" w:hAnsi="Times New Roman;sans-serif"/>
          <w:b w:val="false"/>
          <w:color w:val="000000"/>
          <w:sz w:val="20"/>
        </w:rPr>
        <w:t>Directors, officers and team members may not disclose non-public information to others. Anyone who "tips" material non-public information to others may be subject to the same penalties described above even if they did not derive any benefit from the other person's trades.</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4.</w:t>
      </w:r>
      <w:r>
        <w:rPr>
          <w:rFonts w:ascii="Times New Roman;sans-serif" w:hAnsi="Times New Roman;sans-serif"/>
          <w:b/>
          <w:color w:val="000000"/>
          <w:sz w:val="20"/>
        </w:rPr>
        <w:t>Loose lips sink ships.</w:t>
      </w:r>
      <w:r>
        <w:rPr>
          <w:color w:val="000000"/>
        </w:rPr>
        <w:t xml:space="preserve"> </w:t>
      </w:r>
      <w:r>
        <w:rPr>
          <w:rFonts w:ascii="Times New Roman;sans-serif" w:hAnsi="Times New Roman;sans-serif"/>
          <w:b w:val="false"/>
          <w:color w:val="000000"/>
          <w:sz w:val="20"/>
        </w:rPr>
        <w:t xml:space="preserve">Only our CEO, CFO, the leader of Finance with investor relations responsibilities, our General Counsel and our authorized investor relations firm are authorized to speak on behalf of the Company about our financial and operational results. To avoid potentially disclosing material non-public information, any inquiries on these topics from third parties such as reporters, stock analysts or others regarding the financial condition, business results, or current developments of the Company should be directed to our CFO. </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5.</w:t>
      </w:r>
      <w:r>
        <w:rPr>
          <w:rFonts w:ascii="Times New Roman;sans-serif" w:hAnsi="Times New Roman;sans-serif"/>
          <w:b/>
          <w:color w:val="000000"/>
          <w:sz w:val="20"/>
        </w:rPr>
        <w:t>Keep your secrets</w:t>
      </w:r>
      <w:r>
        <w:rPr>
          <w:rFonts w:ascii="Times New Roman;sans-serif" w:hAnsi="Times New Roman;sans-serif"/>
          <w:b w:val="false"/>
          <w:color w:val="000000"/>
          <w:sz w:val="20"/>
        </w:rPr>
        <w:t>. You may come into possession of material non-public information that concerns other companies. For example, such information may be disclosed to you in connection with tender offers, acquisitions, major financing transactions and material contract negotiations. Anyone receiving material non-public information about another company has the same duty not to disclose or use that information in connection with securities transactions as he or she has concerning material non-public information regarding our Company.</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6.</w:t>
      </w:r>
      <w:r>
        <w:rPr>
          <w:rFonts w:ascii="Times New Roman;sans-serif" w:hAnsi="Times New Roman;sans-serif"/>
          <w:b/>
          <w:color w:val="000000"/>
          <w:sz w:val="20"/>
        </w:rPr>
        <w:t>Thinking of trading our stock or other securities?</w:t>
      </w:r>
      <w:r>
        <w:rPr>
          <w:color w:val="000000"/>
        </w:rPr>
        <w:t xml:space="preserve"> </w:t>
      </w:r>
      <w:r>
        <w:rPr>
          <w:rFonts w:ascii="Times New Roman;sans-serif" w:hAnsi="Times New Roman;sans-serif"/>
          <w:b w:val="false"/>
          <w:color w:val="000000"/>
          <w:sz w:val="20"/>
        </w:rPr>
        <w:t>Then you may have special rules to follow:</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color w:val="000000"/>
          <w:sz w:val="20"/>
        </w:rPr>
        <w:t xml:space="preserve">Are you a Key Employee? </w:t>
      </w:r>
      <w:r>
        <w:rPr>
          <w:rFonts w:ascii="Times New Roman;sans-serif" w:hAnsi="Times New Roman;sans-serif"/>
          <w:b w:val="false"/>
          <w:color w:val="000000"/>
          <w:sz w:val="20"/>
        </w:rPr>
        <w:t>You are if you’re a director, officer, management director, ROD or ROM. Select leaders and other team members who handle certain confidential information have also been designated as Key Employees. Our General Counsel maintains the Key Employees list, and you will be notified if you’re on it. Key Employees have special responsibilities when trading securities as outlined below.</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b.</w:t>
      </w:r>
      <w:r>
        <w:rPr>
          <w:rFonts w:ascii="Times New Roman;sans-serif" w:hAnsi="Times New Roman;sans-serif"/>
          <w:b/>
          <w:color w:val="000000"/>
          <w:sz w:val="20"/>
        </w:rPr>
        <w:t>Key Employees should not trade our securities during a Blackout Window unless trading under an approved Rule 10b-5 Plan.</w:t>
      </w:r>
      <w:r>
        <w:rPr>
          <w:color w:val="000000"/>
        </w:rPr>
        <w:t xml:space="preserve"> </w:t>
      </w:r>
      <w:r>
        <w:rPr>
          <w:rFonts w:ascii="Times New Roman;sans-serif" w:hAnsi="Times New Roman;sans-serif"/>
          <w:b w:val="false"/>
          <w:color w:val="000000"/>
          <w:sz w:val="20"/>
        </w:rPr>
        <w:t>We require all Key Employees (as well as designated consultants), and any persons acting on behalf of such persons, not to conduct transactions (for their own or related accounts) involving the purchase or sale of our securities during the following periods (“Blackout Windows”):</w:t>
      </w:r>
    </w:p>
    <w:p>
      <w:pPr>
        <w:pStyle w:val="TextBody"/>
        <w:bidi w:val="0"/>
        <w:spacing w:lineRule="auto" w:line="268" w:before="0" w:after="0"/>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i.the period in any fiscal quarter commencing on the fourth Saturday preceding the end of the quarter and ending two days (including the day of disclosure, and also including at least one full trading session) after the public disclosure of the financial results for that fiscal quarter or year; and</w:t>
      </w:r>
    </w:p>
    <w:p>
      <w:pPr>
        <w:pStyle w:val="TextBody"/>
        <w:bidi w:val="0"/>
        <w:spacing w:lineRule="auto" w:line="268"/>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ii.any other period designated in writing by the General Counsel.</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color w:val="000000"/>
          <w:sz w:val="20"/>
        </w:rPr>
        <w:t>Even if we’re not in a Blackout Window, Key Employees must get pre-clearance from the Insider Trading Compliance Group prior to trading.</w:t>
      </w:r>
      <w:r>
        <w:rPr>
          <w:color w:val="000000"/>
        </w:rPr>
        <w:t xml:space="preserve"> </w:t>
      </w:r>
      <w:r>
        <w:rPr>
          <w:rFonts w:ascii="Times New Roman;sans-serif" w:hAnsi="Times New Roman;sans-serif"/>
          <w:b w:val="false"/>
          <w:color w:val="000000"/>
          <w:sz w:val="20"/>
        </w:rPr>
        <w:t>Our General Counsel, VP and Controller, and VP Investor Relations serve on our Insider Trading Compliance Group, and at least two members of that Group must pre-approve all trades by Key Employees. Trades can be submitted to the group by emailing the group at compliancegroup.insidertrading@daveandbusters.com at least two business days prior to the proposed trade. Trades by the CEO, CFO, COO, General Counsel and members of the Board of Directors must also be pre-approved by the Chair of the Compensation Committee of the Board of Directors (and, for any trades by the Chair of the Compensation Committee, pre-approved by the Chair of the Board). Pre-clearance is not required for the following transactions in Company securities:</w:t>
      </w:r>
    </w:p>
    <w:p>
      <w:pPr>
        <w:pStyle w:val="TextBody"/>
        <w:bidi w:val="0"/>
        <w:spacing w:lineRule="auto" w:line="268" w:before="0" w:after="0"/>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i.purchases or sales of securities through any tax-qualified employee benefit plan of the Company;</w:t>
      </w:r>
    </w:p>
    <w:p>
      <w:pPr>
        <w:pStyle w:val="TextBody"/>
        <w:bidi w:val="0"/>
        <w:spacing w:lineRule="auto" w:line="268" w:before="0" w:after="0"/>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ii.transactions effected in accordance with a properly established, written Rule 10b-5 trading plan (see requirements below). Note: not only must the plan itself be pre-approved, but Key Employees also must request pre-clearance for any modification or termination of any such plan. </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d.</w:t>
      </w:r>
      <w:r>
        <w:rPr>
          <w:rFonts w:ascii="Times New Roman;sans-serif" w:hAnsi="Times New Roman;sans-serif"/>
          <w:b/>
          <w:color w:val="000000"/>
          <w:sz w:val="20"/>
        </w:rPr>
        <w:t xml:space="preserve">Key Employees may request a hardship exception during a Blackout Window. </w:t>
      </w:r>
      <w:r>
        <w:rPr>
          <w:rFonts w:ascii="Times New Roman;sans-serif" w:hAnsi="Times New Roman;sans-serif"/>
          <w:b w:val="false"/>
          <w:color w:val="000000"/>
          <w:sz w:val="20"/>
        </w:rPr>
        <w:t>We recognize that life events do not neatly fit into corporate calendars. If you are a Key Employee and, during a Blackout Window, experience an event related to serious illness, immediate family death or divorce proceedings, you may request a hardship exception for a trade between the start of the Blackout Window and the end of the fiscal quarter. The request must be submitted for approval to our Insider Trading Compliance Group by email at compliancegroup.insidertrading@daveandbusters.com at least two business days prior to the proposed trade. The Insider Trading Compliance Group has the sole discretion to approve the proposed trade. Any hardship trade is still subject to what information you know.</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e.</w:t>
      </w:r>
      <w:r>
        <w:rPr>
          <w:rFonts w:ascii="Times New Roman;sans-serif" w:hAnsi="Times New Roman;sans-serif"/>
          <w:b/>
          <w:color w:val="000000"/>
          <w:sz w:val="20"/>
        </w:rPr>
        <w:t>You still may not trade if you’re aware of material, nonpublic information about the Company (this applies even if you get clearance to trade as a Key Employee)</w:t>
      </w:r>
      <w:r>
        <w:rPr>
          <w:rFonts w:ascii="Times New Roman;sans-serif" w:hAnsi="Times New Roman;sans-serif"/>
          <w:b w:val="false"/>
          <w:color w:val="000000"/>
          <w:sz w:val="20"/>
        </w:rPr>
        <w:t xml:space="preserve">. The duty to avoid trading based on material, nonpublic information is </w:t>
      </w:r>
      <w:r>
        <w:rPr>
          <w:rFonts w:ascii="Times New Roman;sans-serif" w:hAnsi="Times New Roman;sans-serif"/>
          <w:b w:val="false"/>
          <w:i/>
          <w:color w:val="000000"/>
          <w:sz w:val="20"/>
        </w:rPr>
        <w:t xml:space="preserve">your </w:t>
      </w:r>
      <w:r>
        <w:rPr>
          <w:rFonts w:ascii="Times New Roman;sans-serif" w:hAnsi="Times New Roman;sans-serif"/>
          <w:b w:val="false"/>
          <w:color w:val="000000"/>
          <w:sz w:val="20"/>
        </w:rPr>
        <w:t xml:space="preserve">duty – even if we clear you to trade, if you know something material and nonpublic, you must refrain from trading. </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f.</w:t>
      </w:r>
      <w:r>
        <w:rPr>
          <w:rFonts w:ascii="Times New Roman;sans-serif" w:hAnsi="Times New Roman;sans-serif"/>
          <w:b/>
          <w:color w:val="000000"/>
          <w:sz w:val="20"/>
        </w:rPr>
        <w:t>If you a “Form 4 filer,” you can’t have short-swing trades.</w:t>
      </w:r>
      <w:r>
        <w:rPr>
          <w:color w:val="000000"/>
        </w:rPr>
        <w:t xml:space="preserve"> </w:t>
      </w:r>
      <w:r>
        <w:rPr>
          <w:rFonts w:ascii="Times New Roman;sans-serif" w:hAnsi="Times New Roman;sans-serif"/>
          <w:b w:val="false"/>
          <w:color w:val="000000"/>
          <w:sz w:val="20"/>
        </w:rPr>
        <w:t>Certain officers and all members of the Board of Directors of the Company must also comply with certain reporting obligations (Form 4) and limitations on short-swing profit transactions. The practical effect of these limitations is that any officer or Board director who is a Form 4 filer and who purchases and sells the Company’s securities within a 6-month period must disgorge all profits. The GC will confirm if you are a Form 4 filer.</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g.</w:t>
      </w:r>
      <w:r>
        <w:rPr>
          <w:rFonts w:ascii="Times New Roman;sans-serif" w:hAnsi="Times New Roman;sans-serif"/>
          <w:b/>
          <w:color w:val="000000"/>
          <w:sz w:val="20"/>
        </w:rPr>
        <w:t>We encourage use of Rule 10b-5 plans, but for Key Employees, such plans must meet these conditions:</w:t>
      </w:r>
    </w:p>
    <w:p>
      <w:pPr>
        <w:pStyle w:val="TextBody"/>
        <w:bidi w:val="0"/>
        <w:spacing w:lineRule="auto" w:line="268" w:before="0" w:after="0"/>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i.be entered into only during an open window for stock trading;</w:t>
      </w:r>
    </w:p>
    <w:p>
      <w:pPr>
        <w:pStyle w:val="TextBody"/>
        <w:bidi w:val="0"/>
        <w:spacing w:lineRule="auto" w:line="268" w:before="0" w:after="0"/>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ii.be submitted to (A) the Insider Trading Compliance Group for review and pre-approval not less than seventy-two (72) hours prior to desired effective date; and (B) for the CEO, CFO, COO, GC, or a member of the Board of Directors, the Chair of the Compensation Committee of the Board of Directors (and, for any plans by the Chair of the Compensation Committee, the Chair of the Board) must also pre-approve the plan;</w:t>
      </w:r>
    </w:p>
    <w:p>
      <w:pPr>
        <w:pStyle w:val="TextBody"/>
        <w:bidi w:val="0"/>
        <w:spacing w:lineRule="auto" w:line="268" w:before="0" w:after="0"/>
        <w:ind w:left="0" w:right="0" w:hanging="576"/>
        <w:jc w:val="both"/>
        <w:rPr>
          <w:rFonts w:ascii="Times New Roman;sans-serif" w:hAnsi="Times New Roman;sans-serif"/>
          <w:b w:val="false"/>
          <w:color w:val="000000"/>
          <w:sz w:val="20"/>
        </w:rPr>
      </w:pPr>
      <w:r>
        <w:rPr>
          <w:rFonts w:ascii="Times New Roman;sans-serif" w:hAnsi="Times New Roman;sans-serif"/>
          <w:b w:val="false"/>
          <w:color w:val="000000"/>
          <w:sz w:val="20"/>
        </w:rPr>
        <w:t>iii.have a maximum term no greater than two years;</w:t>
      </w:r>
    </w:p>
    <w:p>
      <w:pPr>
        <w:pStyle w:val="TextBody"/>
        <w:bidi w:val="0"/>
        <w:spacing w:lineRule="auto" w:line="268" w:before="0" w:after="0"/>
        <w:ind w:left="0" w:right="0" w:hanging="565"/>
        <w:jc w:val="both"/>
        <w:rPr>
          <w:rFonts w:ascii="Times New Roman;sans-serif" w:hAnsi="Times New Roman;sans-serif"/>
          <w:b w:val="false"/>
          <w:color w:val="000000"/>
          <w:sz w:val="20"/>
        </w:rPr>
      </w:pPr>
      <w:r>
        <w:rPr>
          <w:rFonts w:ascii="Times New Roman;sans-serif" w:hAnsi="Times New Roman;sans-serif"/>
          <w:b w:val="false"/>
          <w:color w:val="000000"/>
          <w:sz w:val="20"/>
        </w:rPr>
        <w:t>iv.have at least a 30-calendar day waiting period before the first trade is allowed under the plan (and at least a 90-120 calendar day period is required for Section 16 reporting persons). The GC will confirm if you are a Form 4 filer;</w:t>
      </w:r>
    </w:p>
    <w:p>
      <w:pPr>
        <w:pStyle w:val="TextBody"/>
        <w:bidi w:val="0"/>
        <w:spacing w:lineRule="auto" w:line="268" w:before="0" w:after="0"/>
        <w:ind w:left="0" w:right="0" w:hanging="510"/>
        <w:jc w:val="both"/>
        <w:rPr>
          <w:rFonts w:ascii="Times New Roman;sans-serif" w:hAnsi="Times New Roman;sans-serif"/>
          <w:b w:val="false"/>
          <w:color w:val="000000"/>
          <w:sz w:val="20"/>
        </w:rPr>
      </w:pPr>
      <w:r>
        <w:rPr>
          <w:rFonts w:ascii="Times New Roman;sans-serif" w:hAnsi="Times New Roman;sans-serif"/>
          <w:b w:val="false"/>
          <w:color w:val="000000"/>
          <w:sz w:val="20"/>
        </w:rPr>
        <w:t>v.if a plan is terminated by a Key Employee, they must wait 30 days before entering a new plan and another 30 days (or 90-120 days, as applicable) before the first trade is allowed under the new plan;</w:t>
      </w:r>
    </w:p>
    <w:p>
      <w:pPr>
        <w:pStyle w:val="TextBody"/>
        <w:bidi w:val="0"/>
        <w:spacing w:lineRule="auto" w:line="268" w:before="0" w:after="0"/>
        <w:ind w:left="0" w:right="0" w:hanging="565"/>
        <w:jc w:val="both"/>
        <w:rPr>
          <w:rFonts w:ascii="Times New Roman;sans-serif" w:hAnsi="Times New Roman;sans-serif"/>
          <w:b w:val="false"/>
          <w:color w:val="000000"/>
          <w:sz w:val="20"/>
        </w:rPr>
      </w:pPr>
      <w:r>
        <w:rPr>
          <w:rFonts w:ascii="Times New Roman;sans-serif" w:hAnsi="Times New Roman;sans-serif"/>
          <w:b w:val="false"/>
          <w:color w:val="000000"/>
          <w:sz w:val="20"/>
        </w:rPr>
        <w:t>vi.a new plan may be adopted prior to or following the expiration of an existing Plan. No trading will be permitted under the new Plan until thirty (30) days (or 90-120 days, as applicable) following the later of (a) the effective date of the new plan or (b) the expiration of the existing plan;</w:t>
      </w:r>
    </w:p>
    <w:p>
      <w:pPr>
        <w:pStyle w:val="TextBody"/>
        <w:bidi w:val="0"/>
        <w:spacing w:lineRule="auto" w:line="268" w:before="0" w:after="0"/>
        <w:ind w:left="0" w:right="0" w:hanging="621"/>
        <w:jc w:val="both"/>
        <w:rPr>
          <w:rFonts w:ascii="Times New Roman;sans-serif" w:hAnsi="Times New Roman;sans-serif"/>
          <w:b w:val="false"/>
          <w:color w:val="000000"/>
          <w:sz w:val="20"/>
        </w:rPr>
      </w:pPr>
      <w:r>
        <w:rPr>
          <w:rFonts w:ascii="Times New Roman;sans-serif" w:hAnsi="Times New Roman;sans-serif"/>
          <w:b w:val="false"/>
          <w:color w:val="000000"/>
          <w:sz w:val="20"/>
        </w:rPr>
        <w:t>vii.the plan must provide for automatic termination or suspension of trading due to personal events (death, etc.) and must allow for termination or suspension upon the request of the Company upon the occurrence of or due to the pendency of a material corporate event;</w:t>
      </w:r>
    </w:p>
    <w:p>
      <w:pPr>
        <w:pStyle w:val="TextBody"/>
        <w:bidi w:val="0"/>
        <w:spacing w:lineRule="auto" w:line="268" w:before="0" w:after="0"/>
        <w:ind w:left="0" w:right="0" w:hanging="676"/>
        <w:jc w:val="both"/>
        <w:rPr>
          <w:rFonts w:ascii="Times New Roman;sans-serif" w:hAnsi="Times New Roman;sans-serif"/>
          <w:b w:val="false"/>
          <w:color w:val="000000"/>
          <w:sz w:val="20"/>
        </w:rPr>
      </w:pPr>
      <w:r>
        <w:rPr>
          <w:rFonts w:ascii="Times New Roman;sans-serif" w:hAnsi="Times New Roman;sans-serif"/>
          <w:b w:val="false"/>
          <w:color w:val="000000"/>
          <w:sz w:val="20"/>
        </w:rPr>
        <w:t>viii.carry-over or cumulative sales are allowed in a trading period only to the extent that (a) they are specifically provided for in the plan and (b)(i) the trigger price for sale of shares is not reached in the immediately prior trading period or (ii) all of the shares set for sale during the immediately prior trading period are not sold. Carry-over or cumulative sales relate only to unsold shares from the immediately prior trading period but not any other previous trading periods;</w:t>
      </w:r>
    </w:p>
    <w:p>
      <w:pPr>
        <w:pStyle w:val="TextBody"/>
        <w:bidi w:val="0"/>
        <w:spacing w:lineRule="auto" w:line="268"/>
        <w:ind w:left="0" w:right="0" w:hanging="56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ix.the plan must require the broker to provide email notice of a transaction under the plan to the General Counsel or other designated administrator for the Company wherever possible on the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same business day as the execution of the transaction but in no event more than twenty-four (24) hours from the date of execution of the transaction; and</w:t>
      </w:r>
    </w:p>
    <w:p>
      <w:pPr>
        <w:pStyle w:val="TextBody"/>
        <w:bidi w:val="0"/>
        <w:spacing w:lineRule="auto" w:line="268" w:before="0" w:after="0"/>
        <w:ind w:left="0" w:right="0" w:hanging="510"/>
        <w:jc w:val="both"/>
        <w:rPr>
          <w:rFonts w:ascii="Times New Roman;sans-serif" w:hAnsi="Times New Roman;sans-serif"/>
          <w:b w:val="false"/>
          <w:color w:val="000000"/>
          <w:sz w:val="20"/>
        </w:rPr>
      </w:pPr>
      <w:r>
        <w:rPr>
          <w:rFonts w:ascii="Times New Roman;sans-serif" w:hAnsi="Times New Roman;sans-serif"/>
          <w:b w:val="false"/>
          <w:color w:val="000000"/>
          <w:sz w:val="20"/>
        </w:rPr>
        <w:t>x.the transaction date and settlement date for option exercises in connection with a Plan must be on the same day. The Company is prohibited from extending credit to a director or officer.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Don’t engage in speculative activity.</w:t>
      </w:r>
      <w:r>
        <w:rPr>
          <w:color w:val="000000"/>
        </w:rPr>
        <w:t xml:space="preserve"> </w:t>
      </w:r>
      <w:r>
        <w:rPr>
          <w:rFonts w:ascii="Times New Roman;sans-serif" w:hAnsi="Times New Roman;sans-serif"/>
          <w:b w:val="false"/>
          <w:color w:val="000000"/>
          <w:sz w:val="20"/>
        </w:rPr>
        <w:t>Speculative trading of our securities may give the appearance that trading based on non-public information is occurring. Speculative trading includes trading on a short-term basis (purchasing stock on margin, pledging stock as collateral for loans, short selling stock and hedging transactions (such as trading in derivative securities relating to the Company’s securities). All such speculative trading is prohibited by this policy.</w:t>
      </w:r>
    </w:p>
    <w:p>
      <w:pPr>
        <w:pStyle w:val="TextBody"/>
        <w:bidi w:val="0"/>
        <w:spacing w:before="0" w:after="0"/>
        <w:jc w:val="left"/>
        <w:rPr/>
      </w:pPr>
      <w:r>
        <w:rPr/>
      </w:r>
    </w:p>
    <w:p>
      <w:pPr>
        <w:pStyle w:val="TextBody"/>
        <w:bidi w:val="0"/>
        <w:spacing w:lineRule="auto" w:line="268"/>
        <w:jc w:val="both"/>
        <w:rPr/>
      </w:pPr>
      <w:r>
        <w:rPr>
          <w:rFonts w:ascii="Times New Roman;sans-serif" w:hAnsi="Times New Roman;sans-serif"/>
          <w:b/>
          <w:color w:val="000000"/>
          <w:sz w:val="20"/>
        </w:rPr>
        <w:t>This policy doesn’t apply to transactions under Company Plans</w:t>
      </w:r>
      <w:r>
        <w:rPr>
          <w:rFonts w:ascii="Times New Roman;sans-serif" w:hAnsi="Times New Roman;sans-serif"/>
          <w:b w:val="false"/>
          <w:color w:val="000000"/>
          <w:sz w:val="20"/>
        </w:rPr>
        <w:t xml:space="preserve">. This policy does not apply to the exercise of an employee stock option and holding of the stock or the vesting of restricted stock under our equity compensation plans. This policy does apply, however, to any sale of stock (including a broker-assisted cashless exercise of an option, or any other market sale for the purpose of generating the cash needed to pay the exercise price of an option).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21.1 </w: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SUBSIDIARIES OF THE REGISTRANT</w:t>
      </w:r>
    </w:p>
    <w:p>
      <w:pPr>
        <w:pStyle w:val="TextBody"/>
        <w:bidi w:val="0"/>
        <w:spacing w:lineRule="auto" w:line="240" w:before="0" w:after="0"/>
        <w:jc w:val="left"/>
        <w:rPr>
          <w:color w:val="000000"/>
          <w:shd w:fill="FFFFFF" w:val="clear"/>
        </w:rPr>
      </w:pPr>
      <w:r>
        <w:rPr>
          <w:color w:val="000000"/>
          <w:shd w:fill="FFFFFF" w:val="clear"/>
        </w:rPr>
        <w:t> </w:t>
      </w:r>
    </w:p>
    <w:tbl>
      <w:tblPr>
        <w:tblW w:w="6522" w:type="dxa"/>
        <w:jc w:val="left"/>
        <w:tblInd w:w="0" w:type="dxa"/>
        <w:tblLayout w:type="fixed"/>
        <w:tblCellMar>
          <w:top w:w="28" w:type="dxa"/>
          <w:left w:w="28" w:type="dxa"/>
          <w:bottom w:w="28" w:type="dxa"/>
          <w:right w:w="28" w:type="dxa"/>
        </w:tblCellMar>
      </w:tblPr>
      <w:tblGrid>
        <w:gridCol w:w="1302"/>
        <w:gridCol w:w="1143"/>
        <w:gridCol w:w="1155"/>
        <w:gridCol w:w="109"/>
        <w:gridCol w:w="109"/>
        <w:gridCol w:w="109"/>
        <w:gridCol w:w="760"/>
        <w:gridCol w:w="760"/>
        <w:gridCol w:w="1075"/>
      </w:tblGrid>
      <w:tr>
        <w:trPr/>
        <w:tc>
          <w:tcPr>
            <w:tcW w:w="130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State or Other Jurisdiction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Incorporation or Organization</w:t>
            </w:r>
          </w:p>
        </w:tc>
      </w:tr>
      <w:tr>
        <w:trPr/>
        <w:tc>
          <w:tcPr>
            <w:tcW w:w="3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I, L.P.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Missouri</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Management Corporation,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Alabama,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Alaska,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Arkansas,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California,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Colorado,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Colorado</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Connecticut,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Florida, LP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Florida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Georgia,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Georgia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Hawaii,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Hawaii</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Idaho,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Illinois,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Illinois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Indiana,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Indiana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Iowa,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Kansas,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Kansas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Kentucky,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Louisiana,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Maryland,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Maryland</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Massachusetts,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Nebraska,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Nebraska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Nevada,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New Hampshire,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New Jersey,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New Mexico,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New York,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Oklahoma,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Oklahoma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Oregon,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Oregon</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Pennsylvania,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Pennsylvania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Pittsburgh,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Pennsylvania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Puerto Rico,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South Carolina,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South Dakota,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Utah,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Virginia,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Virginia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Washington,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Washington</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of Wisconsin,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Wisconsin</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D&amp;B Delco,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D&amp;B Marketing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Virginia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DANB Texas,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Acquisition,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License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Arizona,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Arundel,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Farmingdale,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Franklin,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Houston,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628" w:type="dxa"/>
        <w:jc w:val="left"/>
        <w:tblInd w:w="0" w:type="dxa"/>
        <w:tblLayout w:type="fixed"/>
        <w:tblCellMar>
          <w:top w:w="28" w:type="dxa"/>
          <w:left w:w="28" w:type="dxa"/>
          <w:bottom w:w="28" w:type="dxa"/>
          <w:right w:w="28" w:type="dxa"/>
        </w:tblCellMar>
      </w:tblPr>
      <w:tblGrid>
        <w:gridCol w:w="890"/>
        <w:gridCol w:w="783"/>
        <w:gridCol w:w="787"/>
        <w:gridCol w:w="109"/>
        <w:gridCol w:w="109"/>
        <w:gridCol w:w="109"/>
        <w:gridCol w:w="246"/>
        <w:gridCol w:w="246"/>
        <w:gridCol w:w="349"/>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North Carolina,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Tennessee,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Tango of Westbury,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6131646 Canada,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Ardent Leisure US Holding,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 HoldCo,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 Event Entertainment,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Florida</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Main Event Florida,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Florida</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Main Event Kansas,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Kansas</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Main Event Louisiana,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Main Event Maryland,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Maryland</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ME Acquisition,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Main Event SE,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Florida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Consent of Independent Registered Public Accounting Firm</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consent to the incorporation by reference in the registration statements (Nos. 333-239590 and 333-199239) on Form S-8 and (No. 333-237664) on Form S-3 of our reports dated April 2, 2024, with respect to the consolidated financial statements of Dave &amp; Buster’s Entertainment, Inc., and the effectiveness of internal control over financial reporting.</w:t>
      </w:r>
    </w:p>
    <w:p>
      <w:pPr>
        <w:pStyle w:val="TextBody"/>
        <w:bidi w:val="0"/>
        <w:spacing w:lineRule="auto" w:line="240" w:before="36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KPMG LLP</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Dallas, Texas</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Christopher Morris, Chief Executive Officer of Dave &amp; Buster’s Entertainment, Inc., certify that: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Dave &amp; Buster’s Entertainment, Inc.;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155" w:type="dxa"/>
        <w:jc w:val="left"/>
        <w:tblInd w:w="0" w:type="dxa"/>
        <w:tblLayout w:type="fixed"/>
        <w:tblCellMar>
          <w:top w:w="28" w:type="dxa"/>
          <w:left w:w="28" w:type="dxa"/>
          <w:bottom w:w="28" w:type="dxa"/>
          <w:right w:w="28" w:type="dxa"/>
        </w:tblCellMar>
      </w:tblPr>
      <w:tblGrid>
        <w:gridCol w:w="607"/>
        <w:gridCol w:w="535"/>
        <w:gridCol w:w="538"/>
        <w:gridCol w:w="723"/>
        <w:gridCol w:w="723"/>
        <w:gridCol w:w="1029"/>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 2024</w:t>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Morris</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Morris</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A. Quartieri, Chief Financial Officer of Dave &amp; Buster’s Entertainment, Inc., certify that: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Dave &amp; Buster’s Entertainment, Inc.;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5444" w:type="dxa"/>
        <w:jc w:val="left"/>
        <w:tblInd w:w="0" w:type="dxa"/>
        <w:tblLayout w:type="fixed"/>
        <w:tblCellMar>
          <w:top w:w="28" w:type="dxa"/>
          <w:left w:w="28" w:type="dxa"/>
          <w:bottom w:w="28" w:type="dxa"/>
          <w:right w:w="28" w:type="dxa"/>
        </w:tblCellMar>
      </w:tblPr>
      <w:tblGrid>
        <w:gridCol w:w="607"/>
        <w:gridCol w:w="535"/>
        <w:gridCol w:w="538"/>
        <w:gridCol w:w="1101"/>
        <w:gridCol w:w="1101"/>
        <w:gridCol w:w="1562"/>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 2024</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Dave &amp; Buster’s Entertainment, Inc. (the “Company”) on Form 10-K for the period ended February 4, 2024 as filed with the Securities and Exchange Commission on the date hereof (the “Report”), I, Christopher Morris, Chief Executive Officer of the Company, certify, pursuant to 18 U.S.C. Section 1350, that: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applicable requirements of Section 13(a) or 15(d), as applicable, of the Securities Exchange Act of 1934; and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tbl>
      <w:tblPr>
        <w:tblW w:w="4199" w:type="dxa"/>
        <w:jc w:val="left"/>
        <w:tblInd w:w="0" w:type="dxa"/>
        <w:tblLayout w:type="fixed"/>
        <w:tblCellMar>
          <w:top w:w="28" w:type="dxa"/>
          <w:left w:w="28" w:type="dxa"/>
          <w:bottom w:w="28" w:type="dxa"/>
          <w:right w:w="28" w:type="dxa"/>
        </w:tblCellMar>
      </w:tblPr>
      <w:tblGrid>
        <w:gridCol w:w="623"/>
        <w:gridCol w:w="549"/>
        <w:gridCol w:w="552"/>
        <w:gridCol w:w="723"/>
        <w:gridCol w:w="723"/>
        <w:gridCol w:w="1029"/>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 2024 </w:t>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Morris</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Morris</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Dave &amp; Buster’s Entertainment, Inc. (the “Company”) on Form 10-K for the period ended February 4, 2024 as filed with the Securities and Exchange Commission on the date hereof (the “Report”), I, Michael A. Quartieri, Chief Financial Officer of the Company, certify, pursuant to 18 U.S.C. Section 1350, that: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applicable requirements of Section 13(a) or 15(d), as applicable, of the Securities Exchange Act of 1934; and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tbl>
      <w:tblPr>
        <w:tblW w:w="5488" w:type="dxa"/>
        <w:jc w:val="left"/>
        <w:tblInd w:w="0" w:type="dxa"/>
        <w:tblLayout w:type="fixed"/>
        <w:tblCellMar>
          <w:top w:w="28" w:type="dxa"/>
          <w:left w:w="28" w:type="dxa"/>
          <w:bottom w:w="28" w:type="dxa"/>
          <w:right w:w="28" w:type="dxa"/>
        </w:tblCellMar>
      </w:tblPr>
      <w:tblGrid>
        <w:gridCol w:w="623"/>
        <w:gridCol w:w="549"/>
        <w:gridCol w:w="552"/>
        <w:gridCol w:w="1101"/>
        <w:gridCol w:w="1101"/>
        <w:gridCol w:w="1562"/>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 2024 </w:t>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Quartieri</w:t>
            </w:r>
          </w:p>
        </w:tc>
      </w:tr>
      <w:tr>
        <w:trPr/>
        <w:tc>
          <w:tcPr>
            <w:tcW w:w="1724"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7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Quartieri</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97</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DAVE &amp; BUSTER’S ENTERTAINMENT,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Policy On Recoupment of Incentive Compensation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(Adopted effective October 2,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Introduction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Board of Directors (the “</w:t>
      </w:r>
      <w:r>
        <w:rPr>
          <w:rFonts w:ascii="Times New Roman;sans-serif" w:hAnsi="Times New Roman;sans-serif"/>
          <w:b w:val="false"/>
          <w:color w:val="000000"/>
          <w:sz w:val="20"/>
          <w:u w:val="single"/>
        </w:rPr>
        <w:t>Board</w:t>
      </w:r>
      <w:r>
        <w:rPr>
          <w:color w:val="000000"/>
        </w:rPr>
        <w:t>”</w:t>
      </w:r>
      <w:r>
        <w:rPr>
          <w:rFonts w:ascii="Times New Roman;sans-serif" w:hAnsi="Times New Roman;sans-serif"/>
          <w:b w:val="false"/>
          <w:color w:val="000000"/>
          <w:sz w:val="20"/>
        </w:rPr>
        <w:t>) of Dave &amp; Buster’s Entertainment,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has adopted this Policy on Recoupment of Incentive Compensation (this “</w:t>
      </w:r>
      <w:r>
        <w:rPr>
          <w:rFonts w:ascii="Times New Roman;sans-serif" w:hAnsi="Times New Roman;sans-serif"/>
          <w:b w:val="false"/>
          <w:color w:val="000000"/>
          <w:sz w:val="20"/>
          <w:u w:val="single"/>
        </w:rPr>
        <w:t>Policy</w:t>
      </w:r>
      <w:r>
        <w:rPr>
          <w:color w:val="000000"/>
        </w:rPr>
        <w:t>”</w:t>
      </w:r>
      <w:r>
        <w:rPr>
          <w:rFonts w:ascii="Times New Roman;sans-serif" w:hAnsi="Times New Roman;sans-serif"/>
          <w:b w:val="false"/>
          <w:color w:val="000000"/>
          <w:sz w:val="20"/>
        </w:rPr>
        <w:t>), which provides for the recoupment of compensation in certain circumstances in the event of a restatement of financial results by the Company. This Policy is intended to comply with the requirements of Securities and Exchange Commission (“</w:t>
      </w:r>
      <w:r>
        <w:rPr>
          <w:rFonts w:ascii="Times New Roman;sans-serif" w:hAnsi="Times New Roman;sans-serif"/>
          <w:b w:val="false"/>
          <w:color w:val="000000"/>
          <w:sz w:val="20"/>
          <w:u w:val="single"/>
        </w:rPr>
        <w:t>SEC</w:t>
      </w:r>
      <w:r>
        <w:rPr>
          <w:color w:val="000000"/>
        </w:rPr>
        <w:t>”</w:t>
      </w:r>
      <w:r>
        <w:rPr>
          <w:rFonts w:ascii="Times New Roman;sans-serif" w:hAnsi="Times New Roman;sans-serif"/>
          <w:b w:val="false"/>
          <w:color w:val="000000"/>
          <w:sz w:val="20"/>
        </w:rPr>
        <w:t>) rules and Nasdaq Stock Market (“</w:t>
      </w:r>
      <w:r>
        <w:rPr>
          <w:rFonts w:ascii="Times New Roman;sans-serif" w:hAnsi="Times New Roman;sans-serif"/>
          <w:b w:val="false"/>
          <w:color w:val="000000"/>
          <w:sz w:val="20"/>
          <w:u w:val="single"/>
        </w:rPr>
        <w:t>Nasdaq</w:t>
      </w:r>
      <w:r>
        <w:rPr>
          <w:color w:val="000000"/>
        </w:rPr>
        <w:t>”</w:t>
      </w:r>
      <w:r>
        <w:rPr>
          <w:rFonts w:ascii="Times New Roman;sans-serif" w:hAnsi="Times New Roman;sans-serif"/>
          <w:b w:val="false"/>
          <w:color w:val="000000"/>
          <w:sz w:val="20"/>
        </w:rPr>
        <w:t>) listing standards implementing Section 954 of the Dodd-Frank Wall Street Reform and Consumer Protection Act of 2010 (the “</w:t>
      </w:r>
      <w:r>
        <w:rPr>
          <w:rFonts w:ascii="Times New Roman;sans-serif" w:hAnsi="Times New Roman;sans-serif"/>
          <w:b w:val="false"/>
          <w:color w:val="000000"/>
          <w:sz w:val="20"/>
          <w:u w:val="single"/>
        </w:rPr>
        <w:t>Dodd-Frank Act</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Administration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may amend this Policy from time to time in its discretion.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Covered Executives</w:t>
      </w:r>
    </w:p>
    <w:p>
      <w:pPr>
        <w:pStyle w:val="TextBody"/>
        <w:bidi w:val="0"/>
        <w:spacing w:lineRule="auto" w:line="268" w:before="0" w:after="0"/>
        <w:jc w:val="left"/>
        <w:rPr/>
      </w:pPr>
      <w:r>
        <w:rPr>
          <w:rFonts w:ascii="Times New Roman;sans-serif" w:hAnsi="Times New Roman;sans-serif"/>
          <w:b w:val="false"/>
          <w:color w:val="000000"/>
          <w:sz w:val="20"/>
        </w:rPr>
        <w:t>This Policy applies to any current or former “executive officer,” within the meaning of Rule 10D-1 under the Securities Exchange Act of 1934, as amended, who was employed by the Company or a subsidiary of the Company (each such individual, an “</w:t>
      </w:r>
      <w:r>
        <w:rPr>
          <w:rFonts w:ascii="Times New Roman;sans-serif" w:hAnsi="Times New Roman;sans-serif"/>
          <w:b w:val="false"/>
          <w:color w:val="000000"/>
          <w:sz w:val="20"/>
          <w:u w:val="single"/>
        </w:rPr>
        <w:t>Executive</w:t>
      </w:r>
      <w:r>
        <w:rPr>
          <w:color w:val="000000"/>
        </w:rPr>
        <w:t>”</w:t>
      </w:r>
      <w:r>
        <w:rPr>
          <w:rFonts w:ascii="Times New Roman;sans-serif" w:hAnsi="Times New Roman;sans-serif"/>
          <w:b w:val="false"/>
          <w:color w:val="000000"/>
          <w:sz w:val="20"/>
        </w:rPr>
        <w:t>) and received any compensation during the applicable Recovery Period, as defined below. This Policy shall be binding and enforceable against all Executives and their beneficiaries, executors, administrators, and other legal representatives.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Recoupment Upon Financial Restatement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sans-serif" w:hAnsi="Times New Roman;sans-serif"/>
          <w:b w:val="false"/>
          <w:color w:val="000000"/>
          <w:sz w:val="20"/>
          <w:u w:val="single"/>
        </w:rPr>
        <w:t>Financial Restatement</w:t>
      </w:r>
      <w:r>
        <w:rPr>
          <w:color w:val="000000"/>
        </w:rPr>
        <w:t>”</w:t>
      </w:r>
      <w:r>
        <w:rPr>
          <w:rFonts w:ascii="Times New Roman;sans-serif" w:hAnsi="Times New Roman;sans-serif"/>
          <w:b w:val="false"/>
          <w:color w:val="000000"/>
          <w:sz w:val="20"/>
        </w:rPr>
        <w:t xml:space="preserve">), the Compensation Committee shall cause the Company to recoup from each Executive, as promptly as reasonably possible, any erroneously awarded Incentive-Based Compensation, as defined below.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No-Fault Recovery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Recoupment under this Policy shall be required regardless of whether the Executive or any other person was at fault or responsible for accounting errors that contributed to the need for the Financial Restatement or engaged in any misconduct.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Compensation Subject to Recovery; Enforcement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This Policy applies to all compensation granted, earned or vested based wholly or in part upon the attainment of any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w:t>
      </w:r>
      <w:r>
        <w:rPr>
          <w:rFonts w:ascii="Times New Roman;sans-serif" w:hAnsi="Times New Roman;sans-serif"/>
          <w:b w:val="false"/>
          <w:color w:val="000000"/>
          <w:sz w:val="20"/>
          <w:u w:val="single"/>
        </w:rPr>
        <w:t>TSR</w:t>
      </w:r>
      <w:r>
        <w:rPr>
          <w:color w:val="000000"/>
        </w:rPr>
        <w:t>”</w:t>
      </w:r>
      <w:r>
        <w:rPr>
          <w:rFonts w:ascii="Times New Roman;sans-serif" w:hAnsi="Times New Roman;sans-serif"/>
          <w:b w:val="false"/>
          <w:color w:val="000000"/>
          <w:sz w:val="20"/>
        </w:rPr>
        <w:t>), including but not limited to performance-based cash, stock, options or other equity-based awards paid or granted to the Executive (“</w:t>
      </w:r>
      <w:r>
        <w:rPr>
          <w:rFonts w:ascii="Times New Roman;sans-serif" w:hAnsi="Times New Roman;sans-serif"/>
          <w:b w:val="false"/>
          <w:color w:val="000000"/>
          <w:sz w:val="20"/>
          <w:u w:val="single"/>
        </w:rPr>
        <w:t>Incentive-Based Compensation</w:t>
      </w:r>
      <w:r>
        <w:rPr>
          <w:color w:val="000000"/>
        </w:rPr>
        <w:t>”</w:t>
      </w:r>
      <w:r>
        <w:rPr>
          <w:rFonts w:ascii="Times New Roman;sans-serif" w:hAnsi="Times New Roman;sans-serif"/>
          <w:b w:val="false"/>
          <w:color w:val="000000"/>
          <w:sz w:val="20"/>
        </w:rPr>
        <w:t xml:space="preserve">). Compensation that is granted, vests or is earned based solely upon the occurrence of non-financial events, such as base salary, restricted stock or options with time-based vesting, or a bonus awarded solely at the discretion of the Board or Compensation Committee and not based on the attainment of any financial measure, is not subject to this Policy except as permitted by applicable law. </w:t>
      </w:r>
    </w:p>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 Financial Restatement, the amount to be recovered will be the excess of (i) the Incentive-Based Compensation received by the Executive during the three completed fiscal years immediately preceding the date on which the Company is required to prepare the Financial Restatement, as determined in accordance with the last sentence of this paragraph, or any transition period (that results from a change in the Company’s fiscal year) within or immediately following those three completed fiscal years (provided that a transition period between the last day of the Company’s previous fiscal year and the first day of its new fiscal year that comprises a period of nine to twelve months would be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83235"/>
                <wp:effectExtent l="0" t="0" r="0" b="0"/>
                <wp:wrapNone/>
                <wp:docPr id="86" name="Frame85"/>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r>
                              <w:br w:type="page"/>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Clawback Policy</w: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1 of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Clawback Policy</w: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1 of 3</w:t>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0"/>
        </w:rPr>
        <w:t>deemed a completed fiscal year) (the “</w:t>
      </w:r>
      <w:r>
        <w:rPr>
          <w:rFonts w:ascii="Times New Roman;sans-serif" w:hAnsi="Times New Roman;sans-serif"/>
          <w:b w:val="false"/>
          <w:color w:val="000000"/>
          <w:sz w:val="20"/>
          <w:u w:val="single"/>
        </w:rPr>
        <w:t>Recovery Period</w:t>
      </w:r>
      <w:r>
        <w:rPr>
          <w:color w:val="000000"/>
        </w:rPr>
        <w:t>”</w:t>
      </w:r>
      <w:r>
        <w:rPr>
          <w:rFonts w:ascii="Times New Roman;sans-serif" w:hAnsi="Times New Roman;sans-serif"/>
          <w:b w:val="false"/>
          <w:color w:val="000000"/>
          <w:sz w:val="20"/>
        </w:rPr>
        <w:t>),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this purpose, Incentive-Based Compensation is considered to have been received by an Executive in the fiscal year during which the applicable financial reporting measure was attained or purportedly attained, regardless of when the payment or grant of such Incentive-Based Compensation occurs.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Incentive-Based Compensation based on stock price or TSR, where the amount of erroneously awarded Incentive-Based Compensation is not subject to mathematical recalculation directly from the information in the Financial Restatement, then the Compensation Committee shall determine (and the Board shall confirm) the amount to be recovered based on a reasonable estimate of the effect of the Financial Restatement on the stock price or TSR upon which the Incentive-Based Compensation was received and the Company shall document the determination of that estimate and provide it to Nasdaq.</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use any legal or equitable remedies that are available to the Company to recoup any erroneously awarded Incentive-Based Compensation, including but not limited to collecting from the Executive a cash payment or shares of Company common stock or by forfeiting any amounts that the Company owes to the Executive.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 Indemnification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shall not indemnify any Executive or pay or reimburse the premium for any insurance policy to cover any losses incurred by such Executive under this Policy.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Exceptions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Incentive-Based Compensation recouped under this Policy shall be limited to Incentive-Based Compensation received by Executive (i) on or after the Effective Date, (ii) after beginning service as an Executive, (iii) if such individual served as an Executive at any time during the performance period for such Incentive-Based Compensation, (iv) while the Company has a class of securities listed on a national securities exchange or a national securities association, and (v) during the applicable Recovery Period. The Compensation Committee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 (C) recovery would likely cause the Company’s 401(k) plan or any other tax-qualified retirement plan to fail to meet the requirements of Section 401(a)(13) or Section 411(a) of the Internal Revenue Code of 1986, as amended, and the regulations thereunder.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Remedies Not Precluded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exercise by the Compensation Committee of any rights pursuant to this Policy shall be without prejudice to any other rights or remedies that the Company, the Board or the Compensation Committee may have with respect to any Executive subject to this Policy.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in its discretion, shall take such action as it deems necessary or appropriate to address the events that gave rise to the Financial Restatement and to prevent its recurrence. In certain cases, such action may include, to the extent permitted by applicable law: (i) requiring partial or full reimbursement of any bonus or other incentive compensation paid to the Executive; (ii) causing the partial or full cancellation of MSUs, RSUs, PSUs, and Stock Options; (iii) adjusting the future compensation of such Executive; and (iv) dismissing or taking legal action against the Executive, in each case as the Board, upon recommendation of the Compensation Committee, determines to be in the Company’s best interests and that of our shareholders. These remedies would be in addition to, and not in lieu of, any penalties imposed by law enforcement agencies, regulators or other authorities. </w:t>
      </w:r>
    </w:p>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incentive-based awards or payments or other compensation paid to current and former Executives under employment agreements or any other agreement or arrangement with the Company which is subject to recovery under any other law or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83235"/>
                <wp:effectExtent l="0" t="0" r="0" b="0"/>
                <wp:wrapNone/>
                <wp:docPr id="87" name="Frame86"/>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r>
                              <w:br w:type="page"/>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Clawback Policy</w: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2 of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Clawback Policy</w: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2 of 3</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regulation will be subject to the deductions and clawback as may be required by such other law or government regulation.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Effective Date</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val="false"/>
          <w:color w:val="000000"/>
          <w:sz w:val="20"/>
        </w:rPr>
        <w:t>This Policy has been adopted by the Board, effective as of October 2, 2023 (the “</w:t>
      </w:r>
      <w:r>
        <w:rPr>
          <w:rFonts w:ascii="Times New Roman;sans-serif" w:hAnsi="Times New Roman;sans-serif"/>
          <w:b w:val="false"/>
          <w:color w:val="000000"/>
          <w:sz w:val="20"/>
          <w:u w:val="single"/>
        </w:rPr>
        <w:t>Effective Date</w:t>
      </w:r>
      <w:r>
        <w:rPr>
          <w:color w:val="000000"/>
        </w:rPr>
        <w:t>”</w:t>
      </w:r>
      <w:r>
        <w:rPr>
          <w:rFonts w:ascii="Times New Roman;sans-serif" w:hAnsi="Times New Roman;sans-serif"/>
          <w:b w:val="false"/>
          <w:color w:val="000000"/>
          <w:sz w:val="20"/>
        </w:rPr>
        <w:t>) and shall apply to any Incentive-Based Compensation that is received by an Executive on or after the Effective Date. The Committee shall take reasonable steps to inform Executives of this Policy and obtain their agreement to this Policy, which steps may constitute the inclusion of this Policy as an attachment to any award that is accepted by the Executive.</w:t>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83235"/>
                <wp:effectExtent l="0" t="0" r="0" b="0"/>
                <wp:wrapNone/>
                <wp:docPr id="88" name="Frame87"/>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r>
                              <w:br w:type="page"/>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Clawback Policy</w: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3 of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Clawback Policy</w: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Page 3 of 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25769/000114420417032049/v468800_ex3-1.htm" TargetMode="External"/><Relationship Id="rId4" Type="http://schemas.openxmlformats.org/officeDocument/2006/relationships/hyperlink" Target="http://www.sec.gov/Archives/edgar/data/1525769/000114420417032049/v468800_ex3-1.htm" TargetMode="External"/><Relationship Id="rId5" Type="http://schemas.openxmlformats.org/officeDocument/2006/relationships/hyperlink" Target="http://www.sec.gov/Archives/edgar/data/1525769/000114420417032049/v468800_ex3-1.htm" TargetMode="External"/><Relationship Id="rId6" Type="http://schemas.openxmlformats.org/officeDocument/2006/relationships/hyperlink" Target="http://www.sec.gov/Archives/edgar/data/1525769/000114420417032049/v468800_ex3-2.htm" TargetMode="External"/><Relationship Id="rId7" Type="http://schemas.openxmlformats.org/officeDocument/2006/relationships/hyperlink" Target="http://www.sec.gov/Archives/edgar/data/1525769/000119312514350516/d735753dex41.htm" TargetMode="External"/><Relationship Id="rId8" Type="http://schemas.openxmlformats.org/officeDocument/2006/relationships/hyperlink" Target="http://www.sec.gov/Archives/edgar/data/1525769/000119312521187892/d155206dex43.htm" TargetMode="External"/><Relationship Id="rId9" Type="http://schemas.openxmlformats.org/officeDocument/2006/relationships/hyperlink" Target="http://www.sec.gov/Archives/edgar/data/1525769/000110465920118595/tm2033932d1_ex4-1.htm" TargetMode="External"/><Relationship Id="rId10" Type="http://schemas.openxmlformats.org/officeDocument/2006/relationships/hyperlink" Target="http://www.sec.gov/Archives/edgar/data/1525769/000110465920118595/tm2033932d1_ex4-1.htm" TargetMode="External"/><Relationship Id="rId11" Type="http://schemas.openxmlformats.org/officeDocument/2006/relationships/hyperlink" Target="http://www.sec.gov/Archives/edgar/data/1525769/000119312515323448/d17514dex101.htm" TargetMode="External"/><Relationship Id="rId12" Type="http://schemas.openxmlformats.org/officeDocument/2006/relationships/hyperlink" Target="http://www.sec.gov/Archives/edgar/data/1525769/000119312515323448/d17514dex107.htm" TargetMode="External"/><Relationship Id="rId13" Type="http://schemas.openxmlformats.org/officeDocument/2006/relationships/hyperlink" Target="http://www.sec.gov/Archives/edgar/data/1525769/000119312515323448/d17514dex108.htm" TargetMode="External"/><Relationship Id="rId14" Type="http://schemas.openxmlformats.org/officeDocument/2006/relationships/hyperlink" Target="http://www.sec.gov/Archives/edgar/data/1525769/000119312515323448/d17514dex109.htm" TargetMode="External"/><Relationship Id="rId15" Type="http://schemas.openxmlformats.org/officeDocument/2006/relationships/hyperlink" Target="http://www.sec.gov/Archives/edgar/data/1525769/000119312515323448/d17514dex1010.htm" TargetMode="External"/><Relationship Id="rId16" Type="http://schemas.openxmlformats.org/officeDocument/2006/relationships/hyperlink" Target="http://www.sec.gov/Archives/edgar/data/1525769/000119312520314977/d16873dex101.htm" TargetMode="External"/><Relationship Id="rId17" Type="http://schemas.openxmlformats.org/officeDocument/2006/relationships/hyperlink" Target="http://www.sec.gov/Archives/edgar/data/1525769/000119312514350516/d735753dex1012.htm" TargetMode="External"/><Relationship Id="rId18" Type="http://schemas.openxmlformats.org/officeDocument/2006/relationships/hyperlink" Target="http://www.sec.gov/Archives/edgar/data/1525769/000119312519170337/d740439dex101.htm" TargetMode="External"/><Relationship Id="rId19" Type="http://schemas.openxmlformats.org/officeDocument/2006/relationships/hyperlink" Target="http://www.sec.gov/Archives/edgar/data/1525769/000119312519170337/d740439dex102.htm" TargetMode="External"/><Relationship Id="rId20" Type="http://schemas.openxmlformats.org/officeDocument/2006/relationships/hyperlink" Target="http://www.sec.gov/Archives/edgar/data/1525769/000119312519170337/d740439dex103.htm" TargetMode="External"/><Relationship Id="rId21" Type="http://schemas.openxmlformats.org/officeDocument/2006/relationships/hyperlink" Target="http://www.sec.gov/Archives/edgar/data/1525769/000119312519170337/d740439dex104.htm" TargetMode="External"/><Relationship Id="rId22" Type="http://schemas.openxmlformats.org/officeDocument/2006/relationships/hyperlink" Target="http://www.sec.gov/Archives/edgar/data/1525769/000110465920055876/tm2018455d2_ex10-1.htm" TargetMode="External"/><Relationship Id="rId23" Type="http://schemas.openxmlformats.org/officeDocument/2006/relationships/hyperlink" Target="http://www.sec.gov/Archives/edgar/data/1525769/000110465920055876/tm2018455d2_ex10-2.htm" TargetMode="External"/><Relationship Id="rId24" Type="http://schemas.openxmlformats.org/officeDocument/2006/relationships/hyperlink" Target="http://www.sec.gov/Archives/edgar/data/1525769/000119312521350391/d249935dex101.htm" TargetMode="External"/><Relationship Id="rId25" Type="http://schemas.openxmlformats.org/officeDocument/2006/relationships/hyperlink" Target="http://www.sec.gov/Archives/edgar/data/1525769/000119312521350391/d249935dex103.htm" TargetMode="External"/><Relationship Id="rId26" Type="http://schemas.openxmlformats.org/officeDocument/2006/relationships/hyperlink" Target="http://www.sec.gov/Archives/edgar/data/1525769/000119312521350391/d249935dex104.htm" TargetMode="External"/><Relationship Id="rId27" Type="http://schemas.openxmlformats.org/officeDocument/2006/relationships/hyperlink" Target="https://www.sec.gov/Archives/edgar/data/1525769/000110465922075863/tm2219893d1_ex10-1.htm" TargetMode="External"/><Relationship Id="rId28" Type="http://schemas.openxmlformats.org/officeDocument/2006/relationships/hyperlink" Target="https://www.sec.gov/Archives/edgar/data/1525769/000119312522087521/d294271dex1025.htm" TargetMode="External"/><Relationship Id="rId29" Type="http://schemas.openxmlformats.org/officeDocument/2006/relationships/hyperlink" Target="https://www.sec.gov/Archives/edgar/data/1525769/000110465922047394/tm2213029d1_ex10-1.htm" TargetMode="External"/><Relationship Id="rId30" Type="http://schemas.openxmlformats.org/officeDocument/2006/relationships/hyperlink" Target="https://www.sec.gov/Archives/edgar/data/1525769/000110465922047951/tm2213150d1_ex10-2.htm" TargetMode="External"/><Relationship Id="rId31" Type="http://schemas.openxmlformats.org/officeDocument/2006/relationships/hyperlink" Target="https://www.sec.gov/Archives/edgar/data/1525769/000119312522168906/d338607dex101.htm" TargetMode="External"/><Relationship Id="rId32" Type="http://schemas.openxmlformats.org/officeDocument/2006/relationships/hyperlink" Target="https://www.sec.gov/Archives/edgar/data/1525769/000110465922078832/tm2220782d2_ex10-1.htm" TargetMode="External"/><Relationship Id="rId33" Type="http://schemas.openxmlformats.org/officeDocument/2006/relationships/hyperlink" Target="https://www.sec.gov/Archives/edgar/data/1525769/000119312522240051/d363884dex101.htm" TargetMode="External"/><Relationship Id="rId34" Type="http://schemas.openxmlformats.org/officeDocument/2006/relationships/hyperlink" Target="https://www.sec.gov/Archives/edgar/data/1525769/000119312522240051/d363884dex102.htm" TargetMode="External"/><Relationship Id="rId35" Type="http://schemas.openxmlformats.org/officeDocument/2006/relationships/hyperlink" Target="https://www.sec.gov/Archives/edgar/data/1525769/000119312522240051/d363884dex103.htm" TargetMode="External"/><Relationship Id="rId36" Type="http://schemas.openxmlformats.org/officeDocument/2006/relationships/hyperlink" Target="https://www.sec.gov/Archives/edgar/data/1525769/000119312522240051/d363884dex104.htm" TargetMode="External"/><Relationship Id="rId37" Type="http://schemas.openxmlformats.org/officeDocument/2006/relationships/hyperlink" Target="https://www.sec.gov/Archives/edgar/data/1525769/000119312522240051/d363884dex105.htm" TargetMode="External"/><Relationship Id="rId38" Type="http://schemas.openxmlformats.org/officeDocument/2006/relationships/hyperlink" Target="https://www.sec.gov/Archives/edgar/data/1525769/000110465922107413/tm2227933d1_ex10-1.htm" TargetMode="External"/><Relationship Id="rId39" Type="http://schemas.openxmlformats.org/officeDocument/2006/relationships/hyperlink" Target="https://www.sec.gov/Archives/edgar/data/1525769/000110465923077830/tm2320337d1_ex10-1.htm" TargetMode="External"/><Relationship Id="rId40" Type="http://schemas.openxmlformats.org/officeDocument/2006/relationships/hyperlink" Target="https://www.sec.gov/Archives/edgar/data/1525769/000110465924005236/tm243635d1_ex10-1.htm" TargetMode="External"/><Relationship Id="rId41" Type="http://schemas.openxmlformats.org/officeDocument/2006/relationships/hyperlink" Target="https://www.sec.gov/Archives/edgar/data/1525769/000110465924009502/tm244605d1_ex10-1.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46852</Words>
  <Characters>260542</Characters>
  <CharactersWithSpaces>305824</CharactersWithSpaces>
  <Paragraphs>3542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